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770859" w:displacedByCustomXml="next"/>
    <w:bookmarkStart w:id="1" w:name="_Toc46507419" w:displacedByCustomXml="next"/>
    <w:bookmarkStart w:id="2" w:name="_Toc45113433" w:displacedByCustomXml="next"/>
    <w:bookmarkStart w:id="3" w:name="_Toc44694687" w:displacedByCustomXml="next"/>
    <w:sdt>
      <w:sdtPr>
        <w:rPr>
          <w:rFonts w:eastAsiaTheme="minorEastAsia" w:cs="Arial"/>
          <w:b/>
          <w:bCs/>
          <w:caps/>
          <w:noProof/>
          <w:color w:val="1F4E79" w:themeColor="accent1" w:themeShade="80"/>
          <w:spacing w:val="0"/>
          <w:lang w:eastAsia="en-US"/>
        </w:rPr>
        <w:id w:val="1128744166"/>
        <w:docPartObj>
          <w:docPartGallery w:val="Table of Contents"/>
          <w:docPartUnique/>
        </w:docPartObj>
      </w:sdtPr>
      <w:sdtEndPr>
        <w:rPr>
          <w:rFonts w:eastAsiaTheme="minorHAnsi"/>
        </w:rPr>
      </w:sdtEndPr>
      <w:sdtContent>
        <w:p w14:paraId="16E7A02A" w14:textId="10D706E6" w:rsidR="008540AD" w:rsidRDefault="008540AD" w:rsidP="00A6120B">
          <w:pPr>
            <w:pStyle w:val="05-Textonormal"/>
            <w:rPr>
              <w:rFonts w:eastAsiaTheme="minorEastAsia"/>
              <w:noProof/>
            </w:rPr>
            <w:sectPr w:rsidR="008540AD" w:rsidSect="008540AD">
              <w:headerReference w:type="default" r:id="rId8"/>
              <w:footerReference w:type="default" r:id="rId9"/>
              <w:pgSz w:w="11906" w:h="16838" w:code="9"/>
              <w:pgMar w:top="0" w:right="0" w:bottom="0" w:left="0" w:header="0" w:footer="0" w:gutter="0"/>
              <w:pgNumType w:start="1"/>
              <w:cols w:space="708"/>
              <w:docGrid w:linePitch="360"/>
            </w:sectPr>
          </w:pPr>
          <w:r w:rsidRPr="008540AD">
            <w:rPr>
              <w:noProof/>
              <w:sz w:val="2"/>
              <w:szCs w:val="2"/>
            </w:rPr>
            <w:drawing>
              <wp:inline distT="0" distB="0" distL="0" distR="0" wp14:anchorId="3D0D0A73" wp14:editId="7294DE1C">
                <wp:extent cx="7553657" cy="10690860"/>
                <wp:effectExtent l="0" t="0" r="9525"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7554672" cy="10692297"/>
                        </a:xfrm>
                        <a:prstGeom prst="rect">
                          <a:avLst/>
                        </a:prstGeom>
                      </pic:spPr>
                    </pic:pic>
                  </a:graphicData>
                </a:graphic>
              </wp:inline>
            </w:drawing>
          </w:r>
        </w:p>
        <w:p w14:paraId="6D9906D0" w14:textId="77777777" w:rsidR="008540AD" w:rsidRDefault="008540AD">
          <w:pPr>
            <w:rPr>
              <w:rFonts w:eastAsiaTheme="minorEastAsia" w:cs="Arial"/>
              <w:b/>
              <w:bCs/>
              <w:caps/>
              <w:noProof/>
              <w:color w:val="1F4E79"/>
              <w:szCs w:val="18"/>
            </w:rPr>
          </w:pPr>
        </w:p>
        <w:p w14:paraId="50822F93" w14:textId="12EB729F" w:rsidR="00627550" w:rsidRPr="00FC723F" w:rsidRDefault="00627550" w:rsidP="00FA6C78">
          <w:pPr>
            <w:pStyle w:val="05-Textonormal1"/>
            <w:jc w:val="center"/>
            <w:rPr>
              <w:rStyle w:val="Hyperlink"/>
              <w:rFonts w:eastAsiaTheme="minorHAnsi" w:cs="Arial"/>
              <w:b/>
              <w:bCs/>
              <w:caps/>
              <w:noProof/>
              <w:color w:val="1F4E79" w:themeColor="accent1" w:themeShade="80"/>
              <w:spacing w:val="0"/>
              <w:u w:val="none"/>
              <w:lang w:eastAsia="en-US"/>
            </w:rPr>
          </w:pPr>
          <w:r w:rsidRPr="00FC723F">
            <w:rPr>
              <w:rStyle w:val="Hyperlink"/>
              <w:rFonts w:eastAsiaTheme="minorHAnsi" w:cs="Arial"/>
              <w:b/>
              <w:bCs/>
              <w:caps/>
              <w:noProof/>
              <w:color w:val="1F4E79" w:themeColor="accent1" w:themeShade="80"/>
              <w:spacing w:val="0"/>
              <w:u w:val="none"/>
              <w:lang w:eastAsia="en-US"/>
            </w:rPr>
            <w:t>ÍNDICE</w:t>
          </w:r>
          <w:bookmarkEnd w:id="3"/>
          <w:bookmarkEnd w:id="2"/>
          <w:bookmarkEnd w:id="1"/>
          <w:bookmarkEnd w:id="0"/>
        </w:p>
        <w:p w14:paraId="1E9DD7C1" w14:textId="797C36EF"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RELATÓRIO DA ADMINISTRAÇÃO</w:t>
          </w:r>
          <w:r>
            <w:rPr>
              <w:webHidden/>
            </w:rPr>
            <w:tab/>
          </w:r>
          <w:r w:rsidR="00126F8B">
            <w:rPr>
              <w:webHidden/>
            </w:rPr>
            <w:t>1</w:t>
          </w:r>
        </w:p>
        <w:p w14:paraId="286AC84D" w14:textId="62966D03"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DEMONSTRAÇÃO DO RESULTADO</w:t>
          </w:r>
          <w:r>
            <w:rPr>
              <w:webHidden/>
            </w:rPr>
            <w:tab/>
          </w:r>
          <w:r w:rsidR="00126F8B">
            <w:rPr>
              <w:webHidden/>
            </w:rPr>
            <w:t>19</w:t>
          </w:r>
        </w:p>
        <w:p w14:paraId="23930CDD" w14:textId="52A3E9B8"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DEMONSTRAÇÃO DO RESULTADO ABRANGENTE</w:t>
          </w:r>
          <w:r>
            <w:rPr>
              <w:webHidden/>
            </w:rPr>
            <w:tab/>
          </w:r>
          <w:r w:rsidR="00126F8B">
            <w:rPr>
              <w:webHidden/>
            </w:rPr>
            <w:t>19</w:t>
          </w:r>
        </w:p>
        <w:p w14:paraId="5B613A6C" w14:textId="128903CD"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BALANÇO PATRIMONIAL</w:t>
          </w:r>
          <w:r>
            <w:rPr>
              <w:webHidden/>
            </w:rPr>
            <w:tab/>
          </w:r>
          <w:r w:rsidR="00126F8B">
            <w:rPr>
              <w:webHidden/>
            </w:rPr>
            <w:t>20</w:t>
          </w:r>
        </w:p>
        <w:p w14:paraId="3C0B2DA8" w14:textId="5B3E8D70"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DEMONSTRAÇÃO DOS FLUXOS DE CAIXA</w:t>
          </w:r>
          <w:r>
            <w:rPr>
              <w:webHidden/>
            </w:rPr>
            <w:tab/>
          </w:r>
          <w:r w:rsidR="00126F8B">
            <w:rPr>
              <w:webHidden/>
            </w:rPr>
            <w:t>21</w:t>
          </w:r>
        </w:p>
        <w:p w14:paraId="13E35981" w14:textId="17B47959"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DEMONSTRAÇÃO DAS MUTAÇÕES DO PATRIMÔNIO LÍQUIDO</w:t>
          </w:r>
          <w:r>
            <w:rPr>
              <w:webHidden/>
            </w:rPr>
            <w:tab/>
          </w:r>
          <w:r w:rsidR="00126F8B">
            <w:rPr>
              <w:webHidden/>
            </w:rPr>
            <w:t>22</w:t>
          </w:r>
        </w:p>
        <w:p w14:paraId="13ED6AAE" w14:textId="74E9D261"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DEMONSTRAÇÃO DO VALOR ADICIONADO</w:t>
          </w:r>
          <w:r>
            <w:rPr>
              <w:webHidden/>
            </w:rPr>
            <w:tab/>
          </w:r>
          <w:r w:rsidR="00126F8B">
            <w:rPr>
              <w:webHidden/>
            </w:rPr>
            <w:t>23</w:t>
          </w:r>
        </w:p>
        <w:p w14:paraId="16224D43" w14:textId="613D43E2"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NOTAS EXPLICATIVAS ÀS DEMONSTRAÇÕES CONTÁBEIS</w:t>
          </w:r>
          <w:r>
            <w:rPr>
              <w:webHidden/>
            </w:rPr>
            <w:tab/>
          </w:r>
          <w:r w:rsidR="00126F8B">
            <w:rPr>
              <w:webHidden/>
            </w:rPr>
            <w:t>24</w:t>
          </w:r>
        </w:p>
        <w:p w14:paraId="3CFAB1B9" w14:textId="6C1DB318"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 – CONTEXTO OPERACIONAL</w:t>
          </w:r>
          <w:r>
            <w:rPr>
              <w:webHidden/>
            </w:rPr>
            <w:tab/>
          </w:r>
          <w:r w:rsidR="00126F8B">
            <w:rPr>
              <w:webHidden/>
            </w:rPr>
            <w:t>24</w:t>
          </w:r>
        </w:p>
        <w:p w14:paraId="7880CA63" w14:textId="7888C2E1"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 – AQUISIÇÕES, VENDAS E REESTRUTURAÇÕES SOCIETÁRIAS</w:t>
          </w:r>
          <w:r>
            <w:rPr>
              <w:webHidden/>
            </w:rPr>
            <w:tab/>
          </w:r>
          <w:r w:rsidR="00126F8B">
            <w:rPr>
              <w:webHidden/>
            </w:rPr>
            <w:t>25</w:t>
          </w:r>
        </w:p>
        <w:p w14:paraId="7FE14367" w14:textId="3094DC6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3 – APRESENTAÇÃO DAS DEMONSTRAÇÕES CONTÁBEIS</w:t>
          </w:r>
          <w:r>
            <w:rPr>
              <w:webHidden/>
            </w:rPr>
            <w:tab/>
          </w:r>
          <w:r w:rsidR="00126F8B">
            <w:rPr>
              <w:webHidden/>
            </w:rPr>
            <w:t>27</w:t>
          </w:r>
        </w:p>
        <w:p w14:paraId="7FE3C7F7" w14:textId="2383F42E"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4 – RESUMO DAS PRINCIPAIS PRÁTICAS CONTÁBEIS</w:t>
          </w:r>
          <w:r>
            <w:rPr>
              <w:webHidden/>
            </w:rPr>
            <w:tab/>
          </w:r>
          <w:r w:rsidR="00126F8B">
            <w:rPr>
              <w:webHidden/>
            </w:rPr>
            <w:t>28</w:t>
          </w:r>
        </w:p>
        <w:p w14:paraId="607B512E" w14:textId="6D25A7C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5 – GERENCIAMENTO DE RISCOS</w:t>
          </w:r>
          <w:r>
            <w:rPr>
              <w:webHidden/>
            </w:rPr>
            <w:tab/>
          </w:r>
          <w:r w:rsidR="00126F8B">
            <w:rPr>
              <w:webHidden/>
            </w:rPr>
            <w:t>34</w:t>
          </w:r>
        </w:p>
        <w:p w14:paraId="75E634B0" w14:textId="73FCC77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6 – INFORMAÇÕES POR SEGMENTO</w:t>
          </w:r>
          <w:r>
            <w:rPr>
              <w:webHidden/>
            </w:rPr>
            <w:tab/>
          </w:r>
          <w:r w:rsidR="00126F8B">
            <w:rPr>
              <w:webHidden/>
            </w:rPr>
            <w:t>39</w:t>
          </w:r>
        </w:p>
        <w:p w14:paraId="1B80421F" w14:textId="16472899"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rPr>
              <w:lang w:val="en-US"/>
            </w:rPr>
            <w:t>7 – INVESTIMENTOS EM PARTICIPAÇÕES SOCIETÁRIAS</w:t>
          </w:r>
          <w:r>
            <w:rPr>
              <w:webHidden/>
            </w:rPr>
            <w:tab/>
          </w:r>
          <w:r w:rsidR="00126F8B">
            <w:rPr>
              <w:webHidden/>
            </w:rPr>
            <w:t>41</w:t>
          </w:r>
        </w:p>
        <w:p w14:paraId="22754E3E" w14:textId="44AA1DDA"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8 – RECEITAS DE COMISSÕES</w:t>
          </w:r>
          <w:r>
            <w:rPr>
              <w:webHidden/>
            </w:rPr>
            <w:tab/>
          </w:r>
          <w:r w:rsidR="00126F8B">
            <w:rPr>
              <w:webHidden/>
            </w:rPr>
            <w:t>49</w:t>
          </w:r>
        </w:p>
        <w:p w14:paraId="09477618" w14:textId="0497AC69"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9 – CUSTOS DOS SERVIÇOS PRESTADOS</w:t>
          </w:r>
          <w:r>
            <w:rPr>
              <w:webHidden/>
            </w:rPr>
            <w:tab/>
          </w:r>
          <w:r w:rsidR="00126F8B">
            <w:rPr>
              <w:webHidden/>
            </w:rPr>
            <w:t>50</w:t>
          </w:r>
        </w:p>
        <w:p w14:paraId="158A3AD5" w14:textId="69B5EAEB"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10 – DESPESAS COM PESSOAL</w:t>
          </w:r>
          <w:r>
            <w:rPr>
              <w:webHidden/>
            </w:rPr>
            <w:tab/>
          </w:r>
          <w:r w:rsidR="00126F8B">
            <w:rPr>
              <w:webHidden/>
            </w:rPr>
            <w:t>50</w:t>
          </w:r>
        </w:p>
        <w:p w14:paraId="72FFB51F" w14:textId="08AD686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11 – DESPESAS ADMINISTRATIVAS E COM VENDAS</w:t>
          </w:r>
          <w:r>
            <w:rPr>
              <w:webHidden/>
            </w:rPr>
            <w:tab/>
          </w:r>
          <w:r w:rsidR="00126F8B">
            <w:rPr>
              <w:webHidden/>
            </w:rPr>
            <w:t>50</w:t>
          </w:r>
        </w:p>
        <w:p w14:paraId="56D46BDC" w14:textId="65E18D20"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12 – TRIBUTOS</w:t>
          </w:r>
          <w:r>
            <w:rPr>
              <w:webHidden/>
            </w:rPr>
            <w:tab/>
          </w:r>
          <w:r w:rsidR="00126F8B">
            <w:rPr>
              <w:webHidden/>
            </w:rPr>
            <w:t>51</w:t>
          </w:r>
        </w:p>
        <w:p w14:paraId="2E3AABAB" w14:textId="6A549559"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13 – OUTRAS RECEITAS E DESPESAS</w:t>
          </w:r>
          <w:r>
            <w:rPr>
              <w:webHidden/>
            </w:rPr>
            <w:tab/>
          </w:r>
          <w:r w:rsidR="00126F8B">
            <w:rPr>
              <w:webHidden/>
            </w:rPr>
            <w:t>53</w:t>
          </w:r>
        </w:p>
        <w:p w14:paraId="1BD8834F" w14:textId="65BC386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14 – RESULTADO FINANCEIRO</w:t>
          </w:r>
          <w:r>
            <w:rPr>
              <w:webHidden/>
            </w:rPr>
            <w:tab/>
          </w:r>
          <w:r w:rsidR="00126F8B">
            <w:rPr>
              <w:webHidden/>
            </w:rPr>
            <w:t>53</w:t>
          </w:r>
        </w:p>
        <w:p w14:paraId="5C322C6A" w14:textId="4A6B6B1C"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15 – CAIXA E EQUIVALENTES DE CAIXA</w:t>
          </w:r>
          <w:r>
            <w:rPr>
              <w:webHidden/>
            </w:rPr>
            <w:tab/>
          </w:r>
          <w:r w:rsidR="00126F8B">
            <w:rPr>
              <w:webHidden/>
            </w:rPr>
            <w:t>53</w:t>
          </w:r>
        </w:p>
        <w:p w14:paraId="0BDEB9A0" w14:textId="35F787D4"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16 – INSTRUMENTOS FINANCEIROS</w:t>
          </w:r>
          <w:r>
            <w:rPr>
              <w:webHidden/>
            </w:rPr>
            <w:tab/>
          </w:r>
          <w:r w:rsidR="00126F8B">
            <w:rPr>
              <w:webHidden/>
            </w:rPr>
            <w:t>54</w:t>
          </w:r>
        </w:p>
        <w:p w14:paraId="7A83DDCD" w14:textId="2E9DAB57"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17 – DIVIDENDOS / JUROS SOBRE CAPITAL PRÓPRIO A RECEBER</w:t>
          </w:r>
          <w:r>
            <w:rPr>
              <w:webHidden/>
            </w:rPr>
            <w:tab/>
          </w:r>
          <w:r w:rsidR="00126F8B">
            <w:rPr>
              <w:webHidden/>
            </w:rPr>
            <w:t>55</w:t>
          </w:r>
        </w:p>
        <w:p w14:paraId="2FE107E5" w14:textId="6FDAD6D7"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18 – COMISSÕES A RECEBER</w:t>
          </w:r>
          <w:r>
            <w:rPr>
              <w:webHidden/>
            </w:rPr>
            <w:tab/>
          </w:r>
          <w:r w:rsidR="00126F8B">
            <w:rPr>
              <w:webHidden/>
            </w:rPr>
            <w:t>55</w:t>
          </w:r>
        </w:p>
        <w:p w14:paraId="66F8B0EF" w14:textId="1D7C5D8B"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19 – ATIVO INTANGÍVEL</w:t>
          </w:r>
          <w:r>
            <w:rPr>
              <w:webHidden/>
            </w:rPr>
            <w:tab/>
          </w:r>
          <w:r w:rsidR="00126F8B">
            <w:rPr>
              <w:webHidden/>
            </w:rPr>
            <w:t>56</w:t>
          </w:r>
        </w:p>
        <w:p w14:paraId="6DA8AB5F" w14:textId="3856F2F1"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20 – OUTROS ATIVOS</w:t>
          </w:r>
          <w:r>
            <w:rPr>
              <w:webHidden/>
            </w:rPr>
            <w:tab/>
          </w:r>
          <w:r w:rsidR="00126F8B">
            <w:rPr>
              <w:webHidden/>
            </w:rPr>
            <w:t>56</w:t>
          </w:r>
        </w:p>
        <w:p w14:paraId="7AC34096" w14:textId="5A5C95DE"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21 – OBRIGAÇÕES SOCIETÁRIAS E ESTATUTÁRIAS</w:t>
          </w:r>
          <w:r>
            <w:rPr>
              <w:webHidden/>
            </w:rPr>
            <w:tab/>
          </w:r>
          <w:r w:rsidR="00126F8B">
            <w:rPr>
              <w:webHidden/>
            </w:rPr>
            <w:t>56</w:t>
          </w:r>
        </w:p>
        <w:p w14:paraId="2F91BC0B" w14:textId="629D881A"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22 – PROVISÕES E PASSIVOS CONTINGENTES</w:t>
          </w:r>
          <w:r>
            <w:rPr>
              <w:webHidden/>
            </w:rPr>
            <w:tab/>
          </w:r>
          <w:r w:rsidR="00126F8B">
            <w:rPr>
              <w:webHidden/>
            </w:rPr>
            <w:t>57</w:t>
          </w:r>
        </w:p>
        <w:p w14:paraId="04E7CE16" w14:textId="1C5AC06B"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23 – COMISSÕES A APROPRIAR</w:t>
          </w:r>
          <w:r>
            <w:rPr>
              <w:webHidden/>
            </w:rPr>
            <w:tab/>
          </w:r>
          <w:r w:rsidR="00126F8B">
            <w:rPr>
              <w:webHidden/>
            </w:rPr>
            <w:t>59</w:t>
          </w:r>
        </w:p>
        <w:p w14:paraId="4BD9DE89" w14:textId="276A20B5"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24 – OUTROS PASSIVOS</w:t>
          </w:r>
          <w:r>
            <w:rPr>
              <w:webHidden/>
            </w:rPr>
            <w:tab/>
          </w:r>
          <w:r w:rsidR="00126F8B">
            <w:rPr>
              <w:webHidden/>
            </w:rPr>
            <w:t>60</w:t>
          </w:r>
        </w:p>
        <w:p w14:paraId="003AFE9F" w14:textId="55F98B1D"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25 – PATRIMÔNIO LÍQUIDO</w:t>
          </w:r>
          <w:r>
            <w:rPr>
              <w:webHidden/>
            </w:rPr>
            <w:tab/>
          </w:r>
          <w:r w:rsidR="00126F8B">
            <w:rPr>
              <w:webHidden/>
            </w:rPr>
            <w:t>60</w:t>
          </w:r>
        </w:p>
        <w:p w14:paraId="7246CCDC" w14:textId="5C2CB983"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26 – PARTES RELACIONADAS</w:t>
          </w:r>
          <w:r>
            <w:rPr>
              <w:webHidden/>
            </w:rPr>
            <w:tab/>
          </w:r>
          <w:r w:rsidR="00126F8B">
            <w:rPr>
              <w:webHidden/>
            </w:rPr>
            <w:t>64</w:t>
          </w:r>
        </w:p>
        <w:p w14:paraId="212E0F7B" w14:textId="64FF5F16" w:rsidR="003B1B70" w:rsidRDefault="003B1B70">
          <w:pPr>
            <w:pStyle w:val="Sumrio1"/>
            <w:rPr>
              <w:rFonts w:asciiTheme="minorHAnsi" w:eastAsiaTheme="minorEastAsia" w:hAnsiTheme="minorHAnsi" w:cstheme="minorBidi"/>
              <w:b w:val="0"/>
              <w:bCs w:val="0"/>
              <w:caps w:val="0"/>
              <w:color w:val="auto"/>
              <w:sz w:val="22"/>
              <w:szCs w:val="22"/>
              <w:lang w:eastAsia="pt-BR"/>
            </w:rPr>
          </w:pPr>
          <w:r w:rsidRPr="00571767">
            <w:t>27 – OUTRAS INFORMAÇÕES</w:t>
          </w:r>
          <w:r>
            <w:rPr>
              <w:webHidden/>
            </w:rPr>
            <w:tab/>
          </w:r>
          <w:r w:rsidR="00126F8B">
            <w:rPr>
              <w:webHidden/>
            </w:rPr>
            <w:t>67</w:t>
          </w:r>
        </w:p>
        <w:p w14:paraId="12AAD4AB" w14:textId="190F42A3" w:rsidR="0073170F" w:rsidRPr="00FC723F" w:rsidRDefault="0073170F" w:rsidP="004952EC">
          <w:pPr>
            <w:pStyle w:val="Sumrio1"/>
            <w:rPr>
              <w:sz w:val="2"/>
              <w:szCs w:val="2"/>
              <w:lang w:eastAsia="pt-BR"/>
            </w:rPr>
          </w:pPr>
        </w:p>
        <w:p w14:paraId="30FD7E6B" w14:textId="2BAB0C35" w:rsidR="00A13206" w:rsidRDefault="00114D85" w:rsidP="004952EC">
          <w:pPr>
            <w:pStyle w:val="Sumrio1"/>
            <w:rPr>
              <w:lang w:eastAsia="pt-BR"/>
            </w:rPr>
          </w:pPr>
          <w:r w:rsidRPr="00FC723F">
            <w:rPr>
              <w:lang w:eastAsia="pt-BR"/>
            </w:rPr>
            <w:t>RELATÓRIO DOS AUDITORES INDEPENDENTES</w:t>
          </w:r>
        </w:p>
        <w:p w14:paraId="29F3FB57" w14:textId="599CAB1B" w:rsidR="003174CB" w:rsidRDefault="003174CB" w:rsidP="003174CB">
          <w:pPr>
            <w:pStyle w:val="Sumrio1"/>
            <w:rPr>
              <w:lang w:eastAsia="pt-BR"/>
            </w:rPr>
          </w:pPr>
          <w:r>
            <w:rPr>
              <w:lang w:eastAsia="pt-BR"/>
            </w:rPr>
            <w:t>Resumo do Relatório do Comitê de Auditoria – Exercício 2021</w:t>
          </w:r>
        </w:p>
        <w:p w14:paraId="5C000E84" w14:textId="0FFE009D" w:rsidR="003174CB" w:rsidRPr="003174CB" w:rsidRDefault="003174CB" w:rsidP="003174CB">
          <w:pPr>
            <w:pStyle w:val="Sumrio1"/>
            <w:rPr>
              <w:lang w:eastAsia="pt-BR"/>
            </w:rPr>
          </w:pPr>
          <w:r>
            <w:rPr>
              <w:lang w:eastAsia="pt-BR"/>
            </w:rPr>
            <w:t>PARECER DO CONSELHO FISCAL</w:t>
          </w:r>
        </w:p>
        <w:p w14:paraId="4EFE0981" w14:textId="257EDFB3" w:rsidR="00A13206" w:rsidRPr="00FC723F" w:rsidRDefault="00114D85" w:rsidP="004952EC">
          <w:pPr>
            <w:pStyle w:val="Sumrio1"/>
            <w:rPr>
              <w:lang w:eastAsia="pt-BR"/>
            </w:rPr>
          </w:pPr>
          <w:r w:rsidRPr="00FC723F">
            <w:rPr>
              <w:lang w:eastAsia="pt-BR"/>
            </w:rPr>
            <w:t>DECLARAÇÃO DOS MEMBROS DA DIRETORIA EXECUTIVA SOBRE AS DEMONSTRAÇÕES FINANCEIRAS</w:t>
          </w:r>
        </w:p>
        <w:p w14:paraId="0607190B" w14:textId="0C801FD3" w:rsidR="00A13206" w:rsidRPr="00FC723F" w:rsidRDefault="00114D85" w:rsidP="004952EC">
          <w:pPr>
            <w:pStyle w:val="Sumrio1"/>
            <w:rPr>
              <w:lang w:eastAsia="pt-BR"/>
            </w:rPr>
          </w:pPr>
          <w:r w:rsidRPr="00FC723F">
            <w:rPr>
              <w:lang w:eastAsia="pt-BR"/>
            </w:rPr>
            <w:t>DECLARAÇÃO DOS MEMBROS DA DIRETORIA EXECUTIVA SOBRE O RELATÓRIO DOS AUDITORES INDEPENDENTES</w:t>
          </w:r>
        </w:p>
        <w:p w14:paraId="52187E0E" w14:textId="17A3B3CE" w:rsidR="00627550" w:rsidRPr="00FC723F" w:rsidRDefault="00114D85" w:rsidP="004952EC">
          <w:pPr>
            <w:pStyle w:val="Sumrio1"/>
            <w:rPr>
              <w:lang w:eastAsia="pt-BR"/>
            </w:rPr>
          </w:pPr>
          <w:r w:rsidRPr="00FC723F">
            <w:rPr>
              <w:lang w:eastAsia="pt-BR"/>
            </w:rPr>
            <w:t>MEMBROS DA ADMINISTRAÇÃO</w:t>
          </w:r>
        </w:p>
      </w:sdtContent>
    </w:sdt>
    <w:p w14:paraId="7E07046E" w14:textId="5A511918" w:rsidR="007B58CB" w:rsidRPr="00FC723F" w:rsidRDefault="002D71EB" w:rsidP="00FA29D1">
      <w:pPr>
        <w:tabs>
          <w:tab w:val="left" w:pos="6495"/>
        </w:tabs>
        <w:rPr>
          <w:rFonts w:cs="Arial"/>
          <w:lang w:eastAsia="pt-BR"/>
        </w:rPr>
      </w:pPr>
      <w:r w:rsidRPr="00FC723F">
        <w:rPr>
          <w:rFonts w:eastAsiaTheme="minorEastAsia" w:cs="Arial"/>
          <w:noProof/>
          <w:color w:val="1F4E79" w:themeColor="accent1" w:themeShade="80"/>
          <w:sz w:val="20"/>
          <w:szCs w:val="20"/>
          <w:lang w:eastAsia="pt-BR"/>
        </w:rPr>
        <w:tab/>
      </w:r>
      <w:r w:rsidRPr="00FC723F">
        <w:rPr>
          <w:rFonts w:cs="Arial"/>
          <w:lang w:eastAsia="pt-BR"/>
        </w:rPr>
        <w:tab/>
      </w:r>
      <w:r w:rsidR="007B58CB" w:rsidRPr="00FC723F">
        <w:rPr>
          <w:rFonts w:cs="Arial"/>
          <w:lang w:eastAsia="pt-BR"/>
        </w:rPr>
        <w:br w:type="page"/>
      </w:r>
    </w:p>
    <w:p w14:paraId="37328DCE" w14:textId="77777777" w:rsidR="007B58CB" w:rsidRPr="00FC723F" w:rsidRDefault="007B58CB" w:rsidP="002D71EB">
      <w:pPr>
        <w:tabs>
          <w:tab w:val="left" w:pos="6495"/>
        </w:tabs>
        <w:rPr>
          <w:rFonts w:eastAsiaTheme="minorEastAsia" w:cs="Arial"/>
          <w:noProof/>
          <w:color w:val="1F4E79" w:themeColor="accent1" w:themeShade="80"/>
          <w:sz w:val="20"/>
          <w:szCs w:val="20"/>
          <w:lang w:eastAsia="pt-BR"/>
        </w:rPr>
        <w:sectPr w:rsidR="007B58CB" w:rsidRPr="00FC723F" w:rsidSect="00AD75AD">
          <w:headerReference w:type="default" r:id="rId12"/>
          <w:pgSz w:w="11906" w:h="16838" w:code="9"/>
          <w:pgMar w:top="1134" w:right="1134" w:bottom="851" w:left="1134" w:header="851" w:footer="284" w:gutter="0"/>
          <w:pgNumType w:start="1"/>
          <w:cols w:space="708"/>
          <w:docGrid w:linePitch="360"/>
        </w:sectPr>
      </w:pPr>
    </w:p>
    <w:p w14:paraId="78310E20" w14:textId="37E35D2D" w:rsidR="004B56B5" w:rsidRDefault="00267AF3" w:rsidP="00267AF3">
      <w:pPr>
        <w:pStyle w:val="02-TtulodeNota"/>
        <w:rPr>
          <w:color w:val="1F4E79" w:themeColor="accent1" w:themeShade="80"/>
        </w:rPr>
      </w:pPr>
      <w:bookmarkStart w:id="4" w:name="_Toc94861051"/>
      <w:r w:rsidRPr="00267AF3">
        <w:rPr>
          <w:color w:val="1F4E79" w:themeColor="accent1" w:themeShade="80"/>
        </w:rPr>
        <w:lastRenderedPageBreak/>
        <w:t>RELATÓRIO DA ADMINISTRAÇÃO</w:t>
      </w:r>
      <w:bookmarkEnd w:id="4"/>
    </w:p>
    <w:p w14:paraId="287A47DD" w14:textId="77777777" w:rsidR="00A06521" w:rsidRPr="00A06521" w:rsidRDefault="00A06521" w:rsidP="00A06521">
      <w:pPr>
        <w:rPr>
          <w:lang w:eastAsia="pt-BR"/>
        </w:rPr>
      </w:pPr>
    </w:p>
    <w:p w14:paraId="6080B419" w14:textId="15B47B6D" w:rsidR="00182FC3" w:rsidRDefault="00182FC3" w:rsidP="00C81A16">
      <w:pPr>
        <w:pStyle w:val="03-SubttulodeNota"/>
        <w:spacing w:line="276" w:lineRule="auto"/>
        <w:rPr>
          <w:color w:val="1F4E79" w:themeColor="accent1" w:themeShade="80"/>
        </w:rPr>
      </w:pPr>
      <w:r>
        <w:rPr>
          <w:color w:val="1F4E79" w:themeColor="accent1" w:themeShade="80"/>
        </w:rPr>
        <w:t>Prezados Acionistas, Colaboradores e Parceiros de Negócios.</w:t>
      </w:r>
    </w:p>
    <w:p w14:paraId="4489FF9E" w14:textId="77777777" w:rsidR="00182FC3" w:rsidRPr="00591873" w:rsidRDefault="00182FC3" w:rsidP="00C81A16">
      <w:pPr>
        <w:pStyle w:val="05-Textonormal"/>
        <w:rPr>
          <w:rFonts w:cs="Arial"/>
        </w:rPr>
      </w:pPr>
      <w:r w:rsidRPr="00591873">
        <w:rPr>
          <w:rFonts w:cs="Arial"/>
        </w:rPr>
        <w:t>Apresentamos o Relatório Anual da Administração da BB Seguridade Participações S.A. (“BB Seguridade” ou “Companhia”) relativo ao ano de 2021, de acordo com as exigências da Lei das Sociedades por Ações, da Comissão de Valores Mobiliários (CVM) e do seu Estatuto Social.</w:t>
      </w:r>
    </w:p>
    <w:p w14:paraId="7D2036BF" w14:textId="77777777" w:rsidR="00182FC3" w:rsidRPr="00591873" w:rsidRDefault="00182FC3" w:rsidP="00C81A16">
      <w:pPr>
        <w:pStyle w:val="05-Textonormal"/>
        <w:rPr>
          <w:rFonts w:cs="Arial"/>
        </w:rPr>
      </w:pPr>
      <w:r w:rsidRPr="00591873">
        <w:rPr>
          <w:rFonts w:cs="Arial"/>
        </w:rPr>
        <w:t>As demonstrações financeiras consolidadas foram preparadas em conformidade com as Normas Internacionais de Contabilidade (IFRS).</w:t>
      </w:r>
    </w:p>
    <w:p w14:paraId="57E1423C" w14:textId="77777777" w:rsidR="00182FC3" w:rsidRPr="00591873" w:rsidRDefault="00182FC3" w:rsidP="00C81A16">
      <w:pPr>
        <w:pStyle w:val="05-Textonormal"/>
        <w:rPr>
          <w:rFonts w:cs="Arial"/>
        </w:rPr>
      </w:pPr>
      <w:r w:rsidRPr="00591873">
        <w:rPr>
          <w:rFonts w:cs="Arial"/>
        </w:rPr>
        <w:t>Cabe ressaltar que este relatório apresenta dados contábeis das companhias investidas da BB Seguridade que podem divergir dos divulgados pelas participadas, tanto por diferenças nos padrões contábeis utilizados como por eventuais amortizações de intangíveis, eliminações de resultados entre as participadas, entre outros motivos. Nesse contexto, o lucro líquido atribuído às investidas reflete o resultado apurado pela Companhia para cada segmento de negócios, na forma da Nota Explicativa de Investimentos em Participações Societárias.</w:t>
      </w:r>
    </w:p>
    <w:p w14:paraId="77B6D395" w14:textId="77777777" w:rsidR="00182FC3" w:rsidRDefault="00182FC3" w:rsidP="00C81A16">
      <w:pPr>
        <w:pStyle w:val="05-Textonormal"/>
        <w:rPr>
          <w:rFonts w:cs="Arial"/>
        </w:rPr>
      </w:pPr>
      <w:r w:rsidRPr="00591873">
        <w:rPr>
          <w:rFonts w:cs="Arial"/>
        </w:rPr>
        <w:t>Ao longo deste relatório abordaremos as ações realizadas e resultados alcançados no ano, bem como apresentaremos as prioridades estratégicas da Companhia.</w:t>
      </w:r>
    </w:p>
    <w:p w14:paraId="3BDFE886" w14:textId="77777777" w:rsidR="00182FC3" w:rsidRDefault="00182FC3" w:rsidP="00C81A16">
      <w:pPr>
        <w:pStyle w:val="05-Textonormal"/>
        <w:rPr>
          <w:rFonts w:cs="Arial"/>
        </w:rPr>
      </w:pPr>
    </w:p>
    <w:p w14:paraId="17E83E04" w14:textId="77777777" w:rsidR="00182FC3" w:rsidRDefault="00182FC3" w:rsidP="00182FC3">
      <w:pPr>
        <w:pStyle w:val="01-TtulodeNota"/>
        <w:numPr>
          <w:ilvl w:val="0"/>
          <w:numId w:val="40"/>
        </w:numPr>
        <w:ind w:left="357" w:hanging="357"/>
        <w:rPr>
          <w:color w:val="1F4E79" w:themeColor="accent1" w:themeShade="80"/>
        </w:rPr>
      </w:pPr>
      <w:r>
        <w:rPr>
          <w:color w:val="1F4E79" w:themeColor="accent1" w:themeShade="80"/>
        </w:rPr>
        <w:t>DESCRIÇÃO DOS NEGÓCIOS</w:t>
      </w:r>
    </w:p>
    <w:p w14:paraId="439FD10E" w14:textId="77777777" w:rsidR="00182FC3" w:rsidRPr="000A0843" w:rsidRDefault="00182FC3" w:rsidP="00C81A16">
      <w:pPr>
        <w:pStyle w:val="01-Textonormal"/>
        <w:rPr>
          <w:rFonts w:cs="Arial"/>
        </w:rPr>
      </w:pPr>
      <w:r w:rsidRPr="000A0843">
        <w:rPr>
          <w:rFonts w:cs="Arial"/>
        </w:rPr>
        <w:t>A BB Seguridade é uma empresa de participações (“</w:t>
      </w:r>
      <w:r w:rsidRPr="000A0843">
        <w:rPr>
          <w:rFonts w:cs="Arial"/>
          <w:i/>
        </w:rPr>
        <w:t>holding</w:t>
      </w:r>
      <w:r w:rsidRPr="000A0843">
        <w:rPr>
          <w:rFonts w:cs="Arial"/>
        </w:rPr>
        <w:t>”) que concentra seus investimentos nos segmentos de seguros, previdência aberta, capitalização e planos de assistência odontológica por meio de parcerias privadas em sociedades mantidas por sua subsidiária integral, a BB Seguros Participações S.A. (“BB Seguros”)</w:t>
      </w:r>
      <w:r>
        <w:rPr>
          <w:rFonts w:cs="Arial"/>
        </w:rPr>
        <w:t xml:space="preserve">, bem como em negócios que intermediam a venda desses produtos, com destaque para a sua controlada </w:t>
      </w:r>
      <w:r w:rsidRPr="000A0843">
        <w:rPr>
          <w:rFonts w:cs="Arial"/>
        </w:rPr>
        <w:t xml:space="preserve">BB Corretora de Seguros e Administradora de Bens S.A. (“BB Corretora”). </w:t>
      </w:r>
    </w:p>
    <w:p w14:paraId="6523E95D" w14:textId="77777777" w:rsidR="00182FC3" w:rsidRPr="000A0843" w:rsidRDefault="00182FC3" w:rsidP="00C81A16">
      <w:pPr>
        <w:pStyle w:val="01-Textonormal"/>
        <w:rPr>
          <w:rFonts w:cs="Arial"/>
        </w:rPr>
      </w:pPr>
      <w:r w:rsidRPr="000A0843">
        <w:rPr>
          <w:rFonts w:cs="Arial"/>
        </w:rPr>
        <w:t>No segmento de seguros, a atuação se dá por meio</w:t>
      </w:r>
      <w:r>
        <w:rPr>
          <w:rFonts w:cs="Arial"/>
        </w:rPr>
        <w:t xml:space="preserve"> de</w:t>
      </w:r>
      <w:r w:rsidRPr="000A0843">
        <w:rPr>
          <w:rFonts w:cs="Arial"/>
        </w:rPr>
        <w:t xml:space="preserve"> </w:t>
      </w:r>
      <w:r w:rsidRPr="000A0843">
        <w:rPr>
          <w:rFonts w:cs="Arial"/>
          <w:i/>
        </w:rPr>
        <w:t>joint-venture</w:t>
      </w:r>
      <w:r w:rsidRPr="000A0843">
        <w:rPr>
          <w:rFonts w:cs="Arial"/>
        </w:rPr>
        <w:t xml:space="preserve"> com o grupo espanhol MAPFRE</w:t>
      </w:r>
      <w:r>
        <w:rPr>
          <w:rFonts w:cs="Arial"/>
        </w:rPr>
        <w:t>,</w:t>
      </w:r>
      <w:r w:rsidRPr="000A0843">
        <w:rPr>
          <w:rFonts w:cs="Arial"/>
        </w:rPr>
        <w:t xml:space="preserve"> por um prazo de 20 anos,</w:t>
      </w:r>
      <w:r>
        <w:rPr>
          <w:rFonts w:cs="Arial"/>
        </w:rPr>
        <w:t xml:space="preserve"> que teve</w:t>
      </w:r>
      <w:r w:rsidRPr="000A0843">
        <w:rPr>
          <w:rFonts w:cs="Arial"/>
        </w:rPr>
        <w:t xml:space="preserve"> início em 2011</w:t>
      </w:r>
      <w:r>
        <w:rPr>
          <w:rFonts w:cs="Arial"/>
        </w:rPr>
        <w:t xml:space="preserve">. Essa parceria é operada por meio de duas companhias seguradoras: </w:t>
      </w:r>
      <w:r w:rsidRPr="000A0843">
        <w:rPr>
          <w:rFonts w:cs="Arial"/>
        </w:rPr>
        <w:t xml:space="preserve">Brasilseg Companhia de Seguros S.A. e Aliança do Brasil Seguros S.A. (em conjunto, “Brasilseg”), com foco nos segmentos de pessoas, rural, habitacional, residencial, empresarial e </w:t>
      </w:r>
      <w:r>
        <w:rPr>
          <w:rFonts w:cs="Arial"/>
        </w:rPr>
        <w:t xml:space="preserve">demais segmentos de produtos </w:t>
      </w:r>
      <w:r w:rsidRPr="000A0843">
        <w:rPr>
          <w:rFonts w:cs="Arial"/>
        </w:rPr>
        <w:t>massificados</w:t>
      </w:r>
      <w:r>
        <w:rPr>
          <w:rFonts w:cs="Arial"/>
        </w:rPr>
        <w:t>.</w:t>
      </w:r>
    </w:p>
    <w:p w14:paraId="2DBC887A" w14:textId="7DAC55CC" w:rsidR="00182FC3" w:rsidRPr="000A0843" w:rsidRDefault="00182FC3" w:rsidP="00C81A16">
      <w:pPr>
        <w:pStyle w:val="01-Textonormal"/>
        <w:rPr>
          <w:rFonts w:cs="Arial"/>
        </w:rPr>
      </w:pPr>
      <w:r w:rsidRPr="000A0843">
        <w:rPr>
          <w:rFonts w:cs="Arial"/>
        </w:rPr>
        <w:t>Em previdência</w:t>
      </w:r>
      <w:r>
        <w:rPr>
          <w:rFonts w:cs="Arial"/>
        </w:rPr>
        <w:t xml:space="preserve"> </w:t>
      </w:r>
      <w:r w:rsidRPr="000A0843">
        <w:rPr>
          <w:rFonts w:cs="Arial"/>
        </w:rPr>
        <w:t xml:space="preserve">aberta, a BB Seguridade </w:t>
      </w:r>
      <w:r>
        <w:rPr>
          <w:rFonts w:cs="Arial"/>
        </w:rPr>
        <w:t>opera</w:t>
      </w:r>
      <w:r w:rsidRPr="000A0843">
        <w:rPr>
          <w:rFonts w:cs="Arial"/>
        </w:rPr>
        <w:t xml:space="preserve"> em conjunto com </w:t>
      </w:r>
      <w:r>
        <w:rPr>
          <w:rFonts w:cs="Arial"/>
        </w:rPr>
        <w:t>o</w:t>
      </w:r>
      <w:r w:rsidRPr="000A0843">
        <w:rPr>
          <w:rFonts w:cs="Arial"/>
        </w:rPr>
        <w:t xml:space="preserve"> Principal Financial Group</w:t>
      </w:r>
      <w:r>
        <w:rPr>
          <w:rFonts w:cs="Arial"/>
        </w:rPr>
        <w:t xml:space="preserve">, </w:t>
      </w:r>
      <w:r w:rsidRPr="000A0843">
        <w:rPr>
          <w:rFonts w:cs="Arial"/>
        </w:rPr>
        <w:t>por meio da Brasilprev Seguros e Previdência S.A. (“Brasilprev”)</w:t>
      </w:r>
      <w:r>
        <w:rPr>
          <w:rFonts w:cs="Arial"/>
        </w:rPr>
        <w:t>, em uma parceria que se estenderá até 2032, conforme acordo celebrado em 2009</w:t>
      </w:r>
      <w:r w:rsidRPr="000A0843">
        <w:rPr>
          <w:rFonts w:cs="Arial"/>
        </w:rPr>
        <w:t xml:space="preserve">. A Brasilprev comercializa soluções privadas de previdência, com destaque para </w:t>
      </w:r>
      <w:r>
        <w:rPr>
          <w:rFonts w:cs="Arial"/>
        </w:rPr>
        <w:t xml:space="preserve">planos de contribuição definida, nas modalidades </w:t>
      </w:r>
      <w:r w:rsidRPr="000A0843">
        <w:rPr>
          <w:rFonts w:cs="Arial"/>
        </w:rPr>
        <w:t>PGBL e VGBL.</w:t>
      </w:r>
    </w:p>
    <w:p w14:paraId="34CC752E" w14:textId="77777777" w:rsidR="00182FC3" w:rsidRPr="000A0843" w:rsidRDefault="00182FC3" w:rsidP="00C81A16">
      <w:pPr>
        <w:pStyle w:val="01-Textonormal"/>
        <w:rPr>
          <w:rFonts w:cs="Arial"/>
        </w:rPr>
      </w:pPr>
      <w:r>
        <w:rPr>
          <w:rFonts w:cs="Arial"/>
        </w:rPr>
        <w:t>Os negócios da Companhia em</w:t>
      </w:r>
      <w:r w:rsidRPr="000A0843">
        <w:rPr>
          <w:rFonts w:cs="Arial"/>
        </w:rPr>
        <w:t xml:space="preserve"> títulos de capitalização</w:t>
      </w:r>
      <w:r>
        <w:rPr>
          <w:rFonts w:cs="Arial"/>
        </w:rPr>
        <w:t xml:space="preserve"> se concentram na</w:t>
      </w:r>
      <w:r w:rsidRPr="000A0843">
        <w:rPr>
          <w:rFonts w:cs="Arial"/>
        </w:rPr>
        <w:t xml:space="preserve"> Brasilcap Capitalização S.A. (“Brasilcap”), em sociedade com a Icatu Seguros e a Aliança da Bahia. </w:t>
      </w:r>
    </w:p>
    <w:p w14:paraId="22B83CC8" w14:textId="77777777" w:rsidR="00182FC3" w:rsidRPr="000A0843" w:rsidRDefault="00182FC3" w:rsidP="00C81A16">
      <w:pPr>
        <w:pStyle w:val="01-Textonormal"/>
        <w:rPr>
          <w:rFonts w:cs="Arial"/>
        </w:rPr>
      </w:pPr>
      <w:r w:rsidRPr="000A0843">
        <w:rPr>
          <w:rFonts w:cs="Arial"/>
        </w:rPr>
        <w:t xml:space="preserve">Ainda, no segmento de planos de assistência odontológica, a Companhia atua em conjunto com a Odontoprev por meio da Brasildental Operadora de Planos Odontológicos S.A. (“Brasildental”). A operação conjunta, na forma de </w:t>
      </w:r>
      <w:r w:rsidRPr="000A0843">
        <w:rPr>
          <w:rFonts w:cs="Arial"/>
          <w:i/>
        </w:rPr>
        <w:t>joint-venture</w:t>
      </w:r>
      <w:r w:rsidRPr="000A0843">
        <w:rPr>
          <w:rFonts w:cs="Arial"/>
        </w:rPr>
        <w:t>, teve início em 2014 e se estenderá pelo prazo de 20 anos.</w:t>
      </w:r>
    </w:p>
    <w:p w14:paraId="11007AAF" w14:textId="77777777" w:rsidR="00182FC3" w:rsidRDefault="00182FC3" w:rsidP="00C81A16">
      <w:pPr>
        <w:pStyle w:val="01-Textonormal"/>
        <w:rPr>
          <w:rFonts w:cs="Arial"/>
        </w:rPr>
      </w:pPr>
      <w:r w:rsidRPr="000A0843">
        <w:rPr>
          <w:rFonts w:cs="Arial"/>
        </w:rPr>
        <w:t>N</w:t>
      </w:r>
      <w:r>
        <w:rPr>
          <w:rFonts w:cs="Arial"/>
        </w:rPr>
        <w:t xml:space="preserve">a vertical </w:t>
      </w:r>
      <w:r w:rsidRPr="000A0843">
        <w:rPr>
          <w:rFonts w:cs="Arial"/>
        </w:rPr>
        <w:t xml:space="preserve">de distribuição de produtos de </w:t>
      </w:r>
      <w:r>
        <w:rPr>
          <w:rFonts w:cs="Arial"/>
        </w:rPr>
        <w:t>seguridade</w:t>
      </w:r>
      <w:r w:rsidRPr="000A0843">
        <w:rPr>
          <w:rFonts w:cs="Arial"/>
        </w:rPr>
        <w:t>, a</w:t>
      </w:r>
      <w:r>
        <w:rPr>
          <w:rFonts w:cs="Arial"/>
        </w:rPr>
        <w:t xml:space="preserve"> BB Corretora tem como principal balcão de vendas o canal bancário do </w:t>
      </w:r>
      <w:r w:rsidRPr="000A0843">
        <w:rPr>
          <w:rFonts w:cs="Arial"/>
        </w:rPr>
        <w:t xml:space="preserve">Banco do Brasil. </w:t>
      </w:r>
      <w:r>
        <w:rPr>
          <w:rFonts w:cs="Arial"/>
        </w:rPr>
        <w:t xml:space="preserve">De forma complementar, a BB Corretora busca expandir seus canais de distribuição, por meio de parcerias comerciais com empresas dos mais diversos segmentos de negócios e mantendo investimento estratégico em uma corretora digital, a </w:t>
      </w:r>
      <w:r w:rsidRPr="000A0843">
        <w:rPr>
          <w:rFonts w:cs="Arial"/>
        </w:rPr>
        <w:t>Ciclic Corretora de Seguros S.A. (“Ciclic”)</w:t>
      </w:r>
      <w:r>
        <w:rPr>
          <w:rFonts w:cs="Arial"/>
        </w:rPr>
        <w:t>, em parceria com o Principal Financial Group que se iniciou em 2018 e se estenderá até 2032 e que tem o objetivo de desenvolver a venda de produtos de seguridade por meio de canais remotos.</w:t>
      </w:r>
    </w:p>
    <w:p w14:paraId="5A6F3DA0" w14:textId="77777777" w:rsidR="00182FC3" w:rsidRDefault="00182FC3">
      <w:r>
        <w:br w:type="page"/>
      </w:r>
    </w:p>
    <w:p w14:paraId="789C09D9" w14:textId="77777777" w:rsidR="00182FC3" w:rsidRDefault="00182FC3" w:rsidP="00182FC3">
      <w:pPr>
        <w:pStyle w:val="01-TtulodeNota"/>
        <w:numPr>
          <w:ilvl w:val="0"/>
          <w:numId w:val="40"/>
        </w:numPr>
        <w:ind w:left="357" w:hanging="357"/>
        <w:rPr>
          <w:color w:val="1F4E79" w:themeColor="accent1" w:themeShade="80"/>
        </w:rPr>
      </w:pPr>
      <w:r>
        <w:rPr>
          <w:color w:val="1F4E79" w:themeColor="accent1" w:themeShade="80"/>
        </w:rPr>
        <w:lastRenderedPageBreak/>
        <w:t>AMBIENTE DE NEGÓCIOS</w:t>
      </w:r>
    </w:p>
    <w:p w14:paraId="1532CB29" w14:textId="77777777" w:rsidR="00182FC3" w:rsidRDefault="00182FC3" w:rsidP="00B85BEE">
      <w:pPr>
        <w:jc w:val="both"/>
        <w:rPr>
          <w:rFonts w:eastAsia="Times New Roman" w:cs="Arial"/>
          <w:spacing w:val="-2"/>
          <w:szCs w:val="18"/>
          <w:lang w:eastAsia="pt-BR"/>
        </w:rPr>
      </w:pPr>
      <w:r w:rsidRPr="001A2C69">
        <w:rPr>
          <w:rFonts w:eastAsia="Times New Roman" w:cs="Arial"/>
          <w:spacing w:val="-2"/>
          <w:szCs w:val="18"/>
          <w:lang w:eastAsia="pt-BR"/>
        </w:rPr>
        <w:t xml:space="preserve">O exercício de 2021 foi marcado novamente por desafios impostos pela crise sanitária gerada pela pandemia de Covid-19, que </w:t>
      </w:r>
      <w:r>
        <w:rPr>
          <w:rFonts w:eastAsia="Times New Roman" w:cs="Arial"/>
          <w:spacing w:val="-2"/>
          <w:szCs w:val="18"/>
          <w:lang w:eastAsia="pt-BR"/>
        </w:rPr>
        <w:t>atravessou</w:t>
      </w:r>
      <w:r w:rsidRPr="001A2C69">
        <w:rPr>
          <w:rFonts w:eastAsia="Times New Roman" w:cs="Arial"/>
          <w:spacing w:val="-2"/>
          <w:szCs w:val="18"/>
          <w:lang w:eastAsia="pt-BR"/>
        </w:rPr>
        <w:t xml:space="preserve"> o seu momento mais crítico </w:t>
      </w:r>
      <w:r>
        <w:rPr>
          <w:rFonts w:eastAsia="Times New Roman" w:cs="Arial"/>
          <w:spacing w:val="-2"/>
          <w:szCs w:val="18"/>
          <w:lang w:eastAsia="pt-BR"/>
        </w:rPr>
        <w:t xml:space="preserve">no </w:t>
      </w:r>
      <w:r w:rsidRPr="001A2C69">
        <w:rPr>
          <w:rFonts w:eastAsia="Times New Roman" w:cs="Arial"/>
          <w:spacing w:val="-2"/>
          <w:szCs w:val="18"/>
          <w:lang w:eastAsia="pt-BR"/>
        </w:rPr>
        <w:t>primeiro semestre do ano</w:t>
      </w:r>
      <w:r>
        <w:rPr>
          <w:rFonts w:eastAsia="Times New Roman" w:cs="Arial"/>
          <w:spacing w:val="-2"/>
          <w:szCs w:val="18"/>
          <w:lang w:eastAsia="pt-BR"/>
        </w:rPr>
        <w:t>.</w:t>
      </w:r>
    </w:p>
    <w:p w14:paraId="58A8AB26" w14:textId="77777777" w:rsidR="00182FC3" w:rsidRPr="00B85BEE" w:rsidRDefault="00182FC3" w:rsidP="00B85BEE">
      <w:pPr>
        <w:jc w:val="both"/>
        <w:rPr>
          <w:rFonts w:eastAsia="Times New Roman" w:cs="Arial"/>
          <w:spacing w:val="-2"/>
          <w:szCs w:val="18"/>
          <w:lang w:eastAsia="pt-BR"/>
        </w:rPr>
      </w:pPr>
      <w:r>
        <w:rPr>
          <w:rFonts w:eastAsia="Times New Roman" w:cs="Arial"/>
          <w:spacing w:val="-2"/>
          <w:szCs w:val="18"/>
          <w:lang w:eastAsia="pt-BR"/>
        </w:rPr>
        <w:t>Já a</w:t>
      </w:r>
      <w:r w:rsidRPr="00B85BEE">
        <w:rPr>
          <w:rFonts w:eastAsia="Times New Roman" w:cs="Arial"/>
          <w:spacing w:val="-2"/>
          <w:szCs w:val="18"/>
          <w:lang w:eastAsia="pt-BR"/>
        </w:rPr>
        <w:t>o longo d</w:t>
      </w:r>
      <w:r>
        <w:rPr>
          <w:rFonts w:eastAsia="Times New Roman" w:cs="Arial"/>
          <w:spacing w:val="-2"/>
          <w:szCs w:val="18"/>
          <w:lang w:eastAsia="pt-BR"/>
        </w:rPr>
        <w:t>a segunda metade de</w:t>
      </w:r>
      <w:r w:rsidRPr="00B85BEE">
        <w:rPr>
          <w:rFonts w:eastAsia="Times New Roman" w:cs="Arial"/>
          <w:spacing w:val="-2"/>
          <w:szCs w:val="18"/>
          <w:lang w:eastAsia="pt-BR"/>
        </w:rPr>
        <w:t xml:space="preserve"> 2021, </w:t>
      </w:r>
      <w:r>
        <w:rPr>
          <w:rFonts w:eastAsia="Times New Roman" w:cs="Arial"/>
          <w:spacing w:val="-2"/>
          <w:szCs w:val="18"/>
          <w:lang w:eastAsia="pt-BR"/>
        </w:rPr>
        <w:t xml:space="preserve">o </w:t>
      </w:r>
      <w:r w:rsidRPr="00B85BEE">
        <w:rPr>
          <w:rFonts w:eastAsia="Times New Roman" w:cs="Arial"/>
          <w:spacing w:val="-2"/>
          <w:szCs w:val="18"/>
          <w:lang w:eastAsia="pt-BR"/>
        </w:rPr>
        <w:t>avanço substancial no processo de vacinação da população brasileira</w:t>
      </w:r>
      <w:r>
        <w:rPr>
          <w:rFonts w:eastAsia="Times New Roman" w:cs="Arial"/>
          <w:spacing w:val="-2"/>
          <w:szCs w:val="18"/>
          <w:lang w:eastAsia="pt-BR"/>
        </w:rPr>
        <w:t xml:space="preserve"> levou à</w:t>
      </w:r>
      <w:r w:rsidRPr="00B85BEE">
        <w:rPr>
          <w:rFonts w:eastAsia="Times New Roman" w:cs="Arial"/>
          <w:spacing w:val="-2"/>
          <w:szCs w:val="18"/>
          <w:lang w:eastAsia="pt-BR"/>
        </w:rPr>
        <w:t xml:space="preserve"> diminuição do número de internações e óbitos e possibilitou a retomada de setores econômicos até então paralisado</w:t>
      </w:r>
      <w:r>
        <w:rPr>
          <w:rFonts w:eastAsia="Times New Roman" w:cs="Arial"/>
          <w:spacing w:val="-2"/>
          <w:szCs w:val="18"/>
          <w:lang w:eastAsia="pt-BR"/>
        </w:rPr>
        <w:t>s</w:t>
      </w:r>
      <w:r w:rsidRPr="00B85BEE">
        <w:rPr>
          <w:rFonts w:eastAsia="Times New Roman" w:cs="Arial"/>
          <w:spacing w:val="-2"/>
          <w:szCs w:val="18"/>
          <w:lang w:eastAsia="pt-BR"/>
        </w:rPr>
        <w:t xml:space="preserve">. Entretanto, </w:t>
      </w:r>
      <w:r>
        <w:rPr>
          <w:rFonts w:eastAsia="Times New Roman" w:cs="Arial"/>
          <w:spacing w:val="-2"/>
          <w:szCs w:val="18"/>
          <w:lang w:eastAsia="pt-BR"/>
        </w:rPr>
        <w:t>a emersão d</w:t>
      </w:r>
      <w:r w:rsidRPr="00B85BEE">
        <w:rPr>
          <w:rFonts w:eastAsia="Times New Roman" w:cs="Arial"/>
          <w:spacing w:val="-2"/>
          <w:szCs w:val="18"/>
          <w:lang w:eastAsia="pt-BR"/>
        </w:rPr>
        <w:t>esse quadro mais promissor foi contraposta pelo cenário conturbado relacionado à inflação mais elevada e aos juros alcançando o campo contracionista. A escalada dos preços se mostrou mais persistente e disseminada e exigiu uma postura mais restritiva do Banco Central, que elevou a Selic em 725 pontos base ao longo do ano, passando de 2,0% em jan</w:t>
      </w:r>
      <w:r>
        <w:rPr>
          <w:rFonts w:eastAsia="Times New Roman" w:cs="Arial"/>
          <w:spacing w:val="-2"/>
          <w:szCs w:val="18"/>
          <w:lang w:eastAsia="pt-BR"/>
        </w:rPr>
        <w:t>eiro de 20</w:t>
      </w:r>
      <w:r w:rsidRPr="00B85BEE">
        <w:rPr>
          <w:rFonts w:eastAsia="Times New Roman" w:cs="Arial"/>
          <w:spacing w:val="-2"/>
          <w:szCs w:val="18"/>
          <w:lang w:eastAsia="pt-BR"/>
        </w:rPr>
        <w:t>21 para 9,25% em dez</w:t>
      </w:r>
      <w:r>
        <w:rPr>
          <w:rFonts w:eastAsia="Times New Roman" w:cs="Arial"/>
          <w:spacing w:val="-2"/>
          <w:szCs w:val="18"/>
          <w:lang w:eastAsia="pt-BR"/>
        </w:rPr>
        <w:t>embro</w:t>
      </w:r>
      <w:r w:rsidRPr="00B85BEE">
        <w:rPr>
          <w:rFonts w:eastAsia="Times New Roman" w:cs="Arial"/>
          <w:spacing w:val="-2"/>
          <w:szCs w:val="18"/>
          <w:lang w:eastAsia="pt-BR"/>
        </w:rPr>
        <w:t xml:space="preserve">. Essa combinação pressionou a renda disponível das famílias e reduziu o espaço para um crescimento mais intenso do consumo de novos bens e serviços, fato que se refletiu na perda de vigor da atividade econômica no decorrer do ano. </w:t>
      </w:r>
    </w:p>
    <w:p w14:paraId="59BAC70A" w14:textId="77777777" w:rsidR="00182FC3" w:rsidRPr="00B85BEE" w:rsidRDefault="00182FC3" w:rsidP="00B85BEE">
      <w:pPr>
        <w:jc w:val="both"/>
        <w:rPr>
          <w:rFonts w:eastAsia="Times New Roman" w:cs="Arial"/>
          <w:spacing w:val="-2"/>
          <w:szCs w:val="18"/>
          <w:lang w:eastAsia="pt-BR"/>
        </w:rPr>
      </w:pPr>
      <w:r w:rsidRPr="00B85BEE">
        <w:rPr>
          <w:rFonts w:eastAsia="Times New Roman" w:cs="Arial"/>
          <w:spacing w:val="-2"/>
          <w:szCs w:val="18"/>
          <w:lang w:eastAsia="pt-BR"/>
        </w:rPr>
        <w:t xml:space="preserve">Em 2021, </w:t>
      </w:r>
      <w:r>
        <w:rPr>
          <w:rFonts w:eastAsia="Times New Roman" w:cs="Arial"/>
          <w:spacing w:val="-2"/>
          <w:szCs w:val="18"/>
          <w:lang w:eastAsia="pt-BR"/>
        </w:rPr>
        <w:t xml:space="preserve">observou-se </w:t>
      </w:r>
      <w:r w:rsidRPr="00B85BEE">
        <w:rPr>
          <w:rFonts w:eastAsia="Times New Roman" w:cs="Arial"/>
          <w:spacing w:val="-2"/>
          <w:szCs w:val="18"/>
          <w:lang w:eastAsia="pt-BR"/>
        </w:rPr>
        <w:t>também uma forte volatilidade dos ativos financeiros, com destaque para a cotação do Real em relação ao Dólar, impactada por fatores internos notadamente ligados às incertezas de cunho fiscal. Na contramão desse processo, o mercado de crédito do Sistema Financeiro Nacional apresentou desempenho positivo puxado pelo avanço</w:t>
      </w:r>
      <w:r>
        <w:rPr>
          <w:rFonts w:eastAsia="Times New Roman" w:cs="Arial"/>
          <w:spacing w:val="-2"/>
          <w:szCs w:val="18"/>
          <w:lang w:eastAsia="pt-BR"/>
        </w:rPr>
        <w:t xml:space="preserve"> relacionado às medidas emergenciais adotadas.</w:t>
      </w:r>
      <w:r w:rsidRPr="00B85BEE">
        <w:rPr>
          <w:rFonts w:eastAsia="Times New Roman" w:cs="Arial"/>
          <w:spacing w:val="-2"/>
          <w:szCs w:val="18"/>
          <w:lang w:eastAsia="pt-BR"/>
        </w:rPr>
        <w:t xml:space="preserve"> Além disso, observ</w:t>
      </w:r>
      <w:r>
        <w:rPr>
          <w:rFonts w:eastAsia="Times New Roman" w:cs="Arial"/>
          <w:spacing w:val="-2"/>
          <w:szCs w:val="18"/>
          <w:lang w:eastAsia="pt-BR"/>
        </w:rPr>
        <w:t xml:space="preserve">ou-se </w:t>
      </w:r>
      <w:r w:rsidRPr="00B85BEE">
        <w:rPr>
          <w:rFonts w:eastAsia="Times New Roman" w:cs="Arial"/>
          <w:spacing w:val="-2"/>
          <w:szCs w:val="18"/>
          <w:lang w:eastAsia="pt-BR"/>
        </w:rPr>
        <w:t xml:space="preserve">uma dinâmica de recuperação da população ocupada, principalmente em postos de trabalhos informais. </w:t>
      </w:r>
    </w:p>
    <w:p w14:paraId="6D72BC99" w14:textId="77777777" w:rsidR="00182FC3" w:rsidRDefault="00182FC3" w:rsidP="00C81A16">
      <w:pPr>
        <w:pStyle w:val="01-Textonormal"/>
        <w:rPr>
          <w:rFonts w:cs="Arial"/>
          <w:spacing w:val="0"/>
        </w:rPr>
      </w:pPr>
      <w:r>
        <w:rPr>
          <w:rFonts w:cs="Arial"/>
          <w:spacing w:val="0"/>
        </w:rPr>
        <w:t>No cenário externo, a</w:t>
      </w:r>
      <w:r w:rsidRPr="00B85BEE">
        <w:rPr>
          <w:rFonts w:cs="Arial"/>
          <w:spacing w:val="0"/>
        </w:rPr>
        <w:t xml:space="preserve">pós o grande impacto negativo da Covid sobre a atividade econômica mundial em 2020, </w:t>
      </w:r>
      <w:r>
        <w:rPr>
          <w:rFonts w:cs="Arial"/>
          <w:spacing w:val="0"/>
        </w:rPr>
        <w:t xml:space="preserve">o ano de 2021 foi marcado por </w:t>
      </w:r>
      <w:r w:rsidRPr="00B85BEE">
        <w:rPr>
          <w:rFonts w:cs="Arial"/>
          <w:spacing w:val="0"/>
        </w:rPr>
        <w:t xml:space="preserve">recuperação econômica </w:t>
      </w:r>
      <w:r>
        <w:rPr>
          <w:rFonts w:cs="Arial"/>
          <w:spacing w:val="0"/>
        </w:rPr>
        <w:t>generalizada</w:t>
      </w:r>
      <w:r w:rsidRPr="00B85BEE">
        <w:rPr>
          <w:rFonts w:cs="Arial"/>
          <w:spacing w:val="0"/>
        </w:rPr>
        <w:t xml:space="preserve">, </w:t>
      </w:r>
      <w:r>
        <w:rPr>
          <w:rFonts w:cs="Arial"/>
          <w:spacing w:val="0"/>
        </w:rPr>
        <w:t xml:space="preserve">mas também </w:t>
      </w:r>
      <w:r w:rsidRPr="00B85BEE">
        <w:rPr>
          <w:rFonts w:cs="Arial"/>
          <w:spacing w:val="0"/>
        </w:rPr>
        <w:t>por uma série de pontos que pesaram negativamente sobre o dinamismo global. A crise energética na Europa e os problemas relacionados ao setor de construção civil na China deram o tom da incerteza mundial</w:t>
      </w:r>
      <w:r>
        <w:rPr>
          <w:rFonts w:cs="Arial"/>
          <w:spacing w:val="0"/>
        </w:rPr>
        <w:t xml:space="preserve">, aliados </w:t>
      </w:r>
      <w:r w:rsidRPr="00B85BEE">
        <w:rPr>
          <w:rFonts w:cs="Arial"/>
          <w:spacing w:val="0"/>
        </w:rPr>
        <w:t xml:space="preserve">a persistência da crise da cadeia de suprimentos, a </w:t>
      </w:r>
      <w:r>
        <w:rPr>
          <w:rFonts w:cs="Arial"/>
          <w:spacing w:val="0"/>
        </w:rPr>
        <w:t xml:space="preserve">alta da </w:t>
      </w:r>
      <w:r w:rsidRPr="00B85BEE">
        <w:rPr>
          <w:rFonts w:cs="Arial"/>
          <w:spacing w:val="0"/>
        </w:rPr>
        <w:t xml:space="preserve">inflação </w:t>
      </w:r>
      <w:r>
        <w:rPr>
          <w:rFonts w:cs="Arial"/>
          <w:spacing w:val="0"/>
        </w:rPr>
        <w:t>registrada</w:t>
      </w:r>
      <w:r w:rsidRPr="00B85BEE">
        <w:rPr>
          <w:rFonts w:cs="Arial"/>
          <w:spacing w:val="0"/>
        </w:rPr>
        <w:t xml:space="preserve"> nas principais economias e </w:t>
      </w:r>
      <w:r>
        <w:rPr>
          <w:rFonts w:cs="Arial"/>
          <w:spacing w:val="0"/>
        </w:rPr>
        <w:t>a</w:t>
      </w:r>
      <w:r w:rsidRPr="00B85BEE">
        <w:rPr>
          <w:rFonts w:cs="Arial"/>
          <w:spacing w:val="0"/>
        </w:rPr>
        <w:t>o risco de uma nova onda da pandemia diante do baixo quadro vacinal dos países pobres pesaram negativamente sobre a recuperação da economia global. Inclusive, o surgimento da nova variante Ômicron do Coronav</w:t>
      </w:r>
      <w:r>
        <w:rPr>
          <w:rFonts w:cs="Arial"/>
          <w:spacing w:val="0"/>
        </w:rPr>
        <w:t>í</w:t>
      </w:r>
      <w:r w:rsidRPr="00B85BEE">
        <w:rPr>
          <w:rFonts w:cs="Arial"/>
          <w:spacing w:val="0"/>
        </w:rPr>
        <w:t xml:space="preserve">rus e as dúvidas sobre o seu grau de agressividade contribuíram para ampliar a aversão ao risco global e levaram a novas medidas de distanciamento social em alguns continentes no final de 2021. </w:t>
      </w:r>
    </w:p>
    <w:p w14:paraId="65BA1DFC" w14:textId="77777777" w:rsidR="00182FC3" w:rsidRDefault="00182FC3" w:rsidP="009D1426">
      <w:pPr>
        <w:jc w:val="both"/>
        <w:rPr>
          <w:rFonts w:cs="Arial"/>
        </w:rPr>
      </w:pPr>
      <w:r w:rsidRPr="005271F8">
        <w:t>No mercado segurador brasileiro, o ponto positivo do ano foi o retorno do crescimento de dois dígitos no volume total de prêmios de seguros, contribuições de previdência e arrecadação com títulos de capitalização</w:t>
      </w:r>
      <w:r>
        <w:t>, que aumentou 13,4%</w:t>
      </w:r>
      <w:r w:rsidRPr="00DC29B8">
        <w:rPr>
          <w:rStyle w:val="Refdenotaderodap"/>
          <w:rFonts w:cs="Arial"/>
          <w:sz w:val="16"/>
          <w:szCs w:val="16"/>
        </w:rPr>
        <w:footnoteReference w:id="1"/>
      </w:r>
      <w:r w:rsidRPr="005271F8">
        <w:t xml:space="preserve"> em relação a 2020</w:t>
      </w:r>
      <w:r w:rsidRPr="00DC29B8">
        <w:t xml:space="preserve">, </w:t>
      </w:r>
      <w:r w:rsidRPr="005271F8">
        <w:t xml:space="preserve">conforme dados </w:t>
      </w:r>
      <w:r>
        <w:t xml:space="preserve">mais atuais </w:t>
      </w:r>
      <w:r w:rsidRPr="005271F8">
        <w:t xml:space="preserve">disponibilizados pela Superintendência de Seguros Privados (SUSEP). </w:t>
      </w:r>
      <w:r>
        <w:t xml:space="preserve">Apenas </w:t>
      </w:r>
      <w:r>
        <w:rPr>
          <w:rFonts w:cs="Arial"/>
        </w:rPr>
        <w:t>o</w:t>
      </w:r>
      <w:r w:rsidRPr="005271F8">
        <w:rPr>
          <w:rFonts w:cs="Arial"/>
        </w:rPr>
        <w:t>s prêmios emitidos de seguros registraram incremento de 13,5%, enquanto as contribuições de previdência se recuperaram da queda registrada em 2020</w:t>
      </w:r>
      <w:r>
        <w:rPr>
          <w:rFonts w:cs="Arial"/>
        </w:rPr>
        <w:t xml:space="preserve"> e cresceram</w:t>
      </w:r>
      <w:r w:rsidRPr="005271F8">
        <w:rPr>
          <w:rFonts w:cs="Arial"/>
        </w:rPr>
        <w:t xml:space="preserve"> </w:t>
      </w:r>
      <w:r>
        <w:rPr>
          <w:rFonts w:cs="Arial"/>
        </w:rPr>
        <w:t>14,6</w:t>
      </w:r>
      <w:r w:rsidRPr="005271F8">
        <w:rPr>
          <w:rFonts w:cs="Arial"/>
        </w:rPr>
        <w:t>%.</w:t>
      </w:r>
      <w:r>
        <w:rPr>
          <w:rFonts w:cs="Arial"/>
        </w:rPr>
        <w:t xml:space="preserve"> </w:t>
      </w:r>
    </w:p>
    <w:p w14:paraId="301D35AC" w14:textId="77777777" w:rsidR="00182FC3" w:rsidRDefault="00182FC3" w:rsidP="001F3D77">
      <w:pPr>
        <w:jc w:val="both"/>
        <w:rPr>
          <w:rFonts w:cs="Arial"/>
        </w:rPr>
      </w:pPr>
      <w:r>
        <w:rPr>
          <w:rFonts w:cs="Arial"/>
        </w:rPr>
        <w:t xml:space="preserve">Por outro lado, o ano foi marcado por um forte aumento da quantidade de avisos de sinistros dos seguros com cobertura por morte, especialmente no segundo trimestre, decorrente da disseminação das novas variantes do coronavírus. Já no segmento de previdência privada aberta, o menor nível de renda disponível da população e o aumento no endividamento contribuiu para um aumento dos resgates, limitando o crescimento das reservas desse produto. </w:t>
      </w:r>
    </w:p>
    <w:p w14:paraId="6BA0DB40" w14:textId="77777777" w:rsidR="00182FC3" w:rsidRDefault="00182FC3" w:rsidP="00591873">
      <w:pPr>
        <w:spacing w:line="256" w:lineRule="auto"/>
        <w:jc w:val="both"/>
        <w:rPr>
          <w:rFonts w:eastAsia="Times New Roman" w:cs="Arial"/>
          <w:spacing w:val="-2"/>
          <w:szCs w:val="18"/>
          <w:lang w:eastAsia="pt-BR"/>
        </w:rPr>
      </w:pPr>
      <w:r>
        <w:rPr>
          <w:rFonts w:cs="Arial"/>
        </w:rPr>
        <w:t xml:space="preserve">  </w:t>
      </w:r>
      <w:r>
        <w:rPr>
          <w:rFonts w:cs="Arial"/>
        </w:rPr>
        <w:br w:type="page"/>
      </w:r>
    </w:p>
    <w:p w14:paraId="1508294D" w14:textId="77777777" w:rsidR="00182FC3" w:rsidRDefault="00182FC3" w:rsidP="00182FC3">
      <w:pPr>
        <w:pStyle w:val="01-TtulodeNota"/>
        <w:numPr>
          <w:ilvl w:val="0"/>
          <w:numId w:val="40"/>
        </w:numPr>
        <w:ind w:left="357" w:hanging="357"/>
        <w:rPr>
          <w:color w:val="1F4E79" w:themeColor="accent1" w:themeShade="80"/>
        </w:rPr>
      </w:pPr>
      <w:r>
        <w:rPr>
          <w:color w:val="1F4E79" w:themeColor="accent1" w:themeShade="80"/>
        </w:rPr>
        <w:lastRenderedPageBreak/>
        <w:t>DESEMPENHO ECONÔMICO-FINANCEIRO</w:t>
      </w:r>
    </w:p>
    <w:p w14:paraId="75253CF8" w14:textId="77777777" w:rsidR="00182FC3" w:rsidRPr="009B1893" w:rsidRDefault="00182FC3" w:rsidP="00402DCE">
      <w:pPr>
        <w:pStyle w:val="01-Textonormal"/>
        <w:rPr>
          <w:rFonts w:cs="Arial"/>
        </w:rPr>
      </w:pPr>
      <w:r w:rsidRPr="009B1893">
        <w:rPr>
          <w:rFonts w:cs="Arial"/>
        </w:rPr>
        <w:t xml:space="preserve">Enquanto empresa de participações, o lucro líquido da BB Seguridade é composto basicamente pelo resultado de equivalência patrimonial, apurado a partir do resultado de suas empresas investidas, e das demais receitas e despesas operacionais e financeiras da Companhia. </w:t>
      </w:r>
    </w:p>
    <w:p w14:paraId="30A0F9AB" w14:textId="77777777" w:rsidR="00182FC3" w:rsidRPr="009B1893" w:rsidRDefault="00182FC3" w:rsidP="00402DCE">
      <w:pPr>
        <w:pStyle w:val="01-Textonormal"/>
        <w:rPr>
          <w:rFonts w:cs="Arial"/>
        </w:rPr>
      </w:pPr>
      <w:r w:rsidRPr="009B1893">
        <w:rPr>
          <w:rFonts w:cs="Arial"/>
        </w:rPr>
        <w:t>Abaixo, apresentamos o resultado da BB Seguridade para os exercícios 2021 e 2020</w:t>
      </w:r>
      <w:r>
        <w:rPr>
          <w:rFonts w:cs="Arial"/>
        </w:rPr>
        <w:t xml:space="preserve"> e os nossos comentários em relação às principais variações ocorridas no exercício</w:t>
      </w:r>
      <w:r w:rsidRPr="009B1893">
        <w:rPr>
          <w:rFonts w:cs="Arial"/>
        </w:rPr>
        <w:t>:</w:t>
      </w:r>
    </w:p>
    <w:p w14:paraId="2A96ED77" w14:textId="77777777" w:rsidR="00182FC3" w:rsidRPr="009B1893" w:rsidRDefault="00182FC3" w:rsidP="00402DCE">
      <w:pPr>
        <w:pStyle w:val="06-Rmil"/>
        <w:jc w:val="left"/>
        <w:rPr>
          <w:rFonts w:cs="Arial"/>
        </w:rPr>
      </w:pPr>
    </w:p>
    <w:p w14:paraId="7B20A79F" w14:textId="7BF75EA2" w:rsidR="00182FC3" w:rsidRPr="009B1893" w:rsidRDefault="00182FC3" w:rsidP="00402DCE">
      <w:pPr>
        <w:pStyle w:val="01-TtulodeNota"/>
        <w:rPr>
          <w:b w:val="0"/>
          <w:sz w:val="14"/>
        </w:rPr>
      </w:pPr>
      <w:r w:rsidRPr="009B1893">
        <w:rPr>
          <w:rFonts w:cs="Arial"/>
          <w:b w:val="0"/>
          <w:sz w:val="14"/>
          <w:szCs w:val="14"/>
        </w:rPr>
        <w:t xml:space="preserve">Tabela </w:t>
      </w:r>
      <w:r w:rsidR="00126F8B">
        <w:rPr>
          <w:rFonts w:cs="Arial"/>
          <w:b w:val="0"/>
          <w:noProof/>
          <w:sz w:val="14"/>
          <w:szCs w:val="14"/>
        </w:rPr>
        <w:t>1</w:t>
      </w:r>
      <w:r w:rsidRPr="009B1893">
        <w:rPr>
          <w:b w:val="0"/>
          <w:sz w:val="14"/>
        </w:rPr>
        <w:t xml:space="preserve"> – Desempenho econômico-financeiro | Demonstração de Resultados – Visão Controlador</w:t>
      </w:r>
    </w:p>
    <w:tbl>
      <w:tblPr>
        <w:tblStyle w:val="TabeladeLista6Colorida-nfase5"/>
        <w:tblW w:w="9639" w:type="dxa"/>
        <w:jc w:val="center"/>
        <w:tblLook w:val="04A0" w:firstRow="1" w:lastRow="0" w:firstColumn="1" w:lastColumn="0" w:noHBand="0" w:noVBand="1"/>
      </w:tblPr>
      <w:tblGrid>
        <w:gridCol w:w="3399"/>
        <w:gridCol w:w="2480"/>
        <w:gridCol w:w="2480"/>
        <w:gridCol w:w="1280"/>
      </w:tblGrid>
      <w:tr w:rsidR="003E5CAD" w:rsidRPr="00FA31E9" w14:paraId="0A338B63" w14:textId="77777777" w:rsidTr="003E5CAD">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3864" w:themeColor="accent5" w:themeShade="80"/>
              <w:left w:val="nil"/>
              <w:bottom w:val="nil"/>
              <w:right w:val="nil"/>
            </w:tcBorders>
            <w:shd w:val="clear" w:color="auto" w:fill="auto"/>
            <w:vAlign w:val="center"/>
          </w:tcPr>
          <w:p w14:paraId="2ECB8436" w14:textId="77777777" w:rsidR="00182FC3" w:rsidRPr="00AA6D51" w:rsidRDefault="00182FC3" w:rsidP="00402DCE">
            <w:pPr>
              <w:pStyle w:val="08-Tabelageral"/>
              <w:jc w:val="left"/>
              <w:rPr>
                <w:rFonts w:cs="Arial"/>
                <w:lang w:eastAsia="en-US"/>
              </w:rPr>
            </w:pPr>
            <w:r>
              <w:rPr>
                <w:rFonts w:cs="Arial"/>
                <w:lang w:eastAsia="en-US"/>
              </w:rPr>
              <w:t>R$ mil</w:t>
            </w:r>
          </w:p>
        </w:tc>
        <w:tc>
          <w:tcPr>
            <w:tcW w:w="0" w:type="dxa"/>
            <w:vMerge w:val="restart"/>
            <w:tcBorders>
              <w:top w:val="single" w:sz="2" w:space="0" w:color="1F3864" w:themeColor="accent5" w:themeShade="80"/>
              <w:left w:val="nil"/>
              <w:bottom w:val="single" w:sz="2" w:space="0" w:color="8EAADB" w:themeColor="accent5" w:themeTint="99"/>
              <w:right w:val="nil"/>
            </w:tcBorders>
            <w:shd w:val="clear" w:color="auto" w:fill="auto"/>
            <w:vAlign w:val="center"/>
            <w:hideMark/>
          </w:tcPr>
          <w:p w14:paraId="509BD26C" w14:textId="77777777" w:rsidR="00182FC3" w:rsidRPr="00AA6D51" w:rsidRDefault="00182FC3" w:rsidP="00402DC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Exercício/2021</w:t>
            </w:r>
          </w:p>
        </w:tc>
        <w:tc>
          <w:tcPr>
            <w:tcW w:w="0" w:type="dxa"/>
            <w:vMerge w:val="restart"/>
            <w:tcBorders>
              <w:top w:val="single" w:sz="2" w:space="0" w:color="1F3864" w:themeColor="accent5" w:themeShade="80"/>
              <w:left w:val="nil"/>
              <w:bottom w:val="single" w:sz="2" w:space="0" w:color="8EAADB" w:themeColor="accent5" w:themeTint="99"/>
              <w:right w:val="nil"/>
            </w:tcBorders>
            <w:shd w:val="clear" w:color="auto" w:fill="auto"/>
            <w:vAlign w:val="center"/>
            <w:hideMark/>
          </w:tcPr>
          <w:p w14:paraId="04E46C07" w14:textId="77777777" w:rsidR="00182FC3" w:rsidRPr="00AA6D51" w:rsidRDefault="00182FC3" w:rsidP="00402DC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Exercício/2020</w:t>
            </w:r>
          </w:p>
        </w:tc>
        <w:tc>
          <w:tcPr>
            <w:tcW w:w="0" w:type="dxa"/>
            <w:tcBorders>
              <w:top w:val="single" w:sz="2" w:space="0" w:color="1F3864" w:themeColor="accent5" w:themeShade="80"/>
              <w:left w:val="nil"/>
              <w:bottom w:val="nil"/>
              <w:right w:val="nil"/>
            </w:tcBorders>
            <w:shd w:val="clear" w:color="auto" w:fill="auto"/>
            <w:vAlign w:val="center"/>
            <w:hideMark/>
          </w:tcPr>
          <w:p w14:paraId="4A110682" w14:textId="77777777" w:rsidR="00182FC3" w:rsidRPr="00AA6D51" w:rsidRDefault="00182FC3" w:rsidP="00402DC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Var.%</w:t>
            </w:r>
          </w:p>
        </w:tc>
      </w:tr>
      <w:tr w:rsidR="003E5CAD" w:rsidRPr="00FA31E9" w14:paraId="6E31CA5B"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3864" w:themeColor="accent5" w:themeShade="80"/>
              <w:right w:val="nil"/>
            </w:tcBorders>
            <w:shd w:val="clear" w:color="auto" w:fill="auto"/>
          </w:tcPr>
          <w:p w14:paraId="7677067D" w14:textId="77777777" w:rsidR="00182FC3" w:rsidRPr="00AA6D51" w:rsidRDefault="00182FC3" w:rsidP="00402DCE">
            <w:pPr>
              <w:pStyle w:val="08-Tabelageral"/>
              <w:jc w:val="left"/>
              <w:rPr>
                <w:rFonts w:cs="Arial"/>
                <w:bCs w:val="0"/>
                <w:szCs w:val="14"/>
                <w:lang w:eastAsia="en-US"/>
              </w:rPr>
            </w:pPr>
          </w:p>
        </w:tc>
        <w:tc>
          <w:tcPr>
            <w:tcW w:w="0" w:type="auto"/>
            <w:vMerge/>
            <w:tcBorders>
              <w:top w:val="single" w:sz="2" w:space="0" w:color="8EAADB" w:themeColor="accent5" w:themeTint="99"/>
              <w:left w:val="nil"/>
              <w:bottom w:val="single" w:sz="2" w:space="0" w:color="1F3864" w:themeColor="accent5" w:themeShade="80"/>
              <w:right w:val="nil"/>
            </w:tcBorders>
            <w:shd w:val="clear" w:color="auto" w:fill="auto"/>
            <w:vAlign w:val="center"/>
            <w:hideMark/>
          </w:tcPr>
          <w:p w14:paraId="4F40EC16" w14:textId="77777777" w:rsidR="00182FC3" w:rsidRPr="00AA6D51" w:rsidRDefault="00182FC3" w:rsidP="00402DCE">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0" w:type="auto"/>
            <w:vMerge/>
            <w:tcBorders>
              <w:top w:val="single" w:sz="2" w:space="0" w:color="8EAADB" w:themeColor="accent5" w:themeTint="99"/>
              <w:left w:val="nil"/>
              <w:bottom w:val="single" w:sz="2" w:space="0" w:color="1F3864" w:themeColor="accent5" w:themeShade="80"/>
              <w:right w:val="nil"/>
            </w:tcBorders>
            <w:shd w:val="clear" w:color="auto" w:fill="auto"/>
            <w:vAlign w:val="center"/>
            <w:hideMark/>
          </w:tcPr>
          <w:p w14:paraId="08ADD971" w14:textId="77777777" w:rsidR="00182FC3" w:rsidRPr="00AA6D51" w:rsidRDefault="00182FC3" w:rsidP="00402DCE">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0" w:type="dxa"/>
            <w:tcBorders>
              <w:top w:val="nil"/>
              <w:left w:val="nil"/>
              <w:bottom w:val="single" w:sz="2" w:space="0" w:color="1F3864" w:themeColor="accent5" w:themeShade="80"/>
              <w:right w:val="nil"/>
            </w:tcBorders>
            <w:shd w:val="clear" w:color="auto" w:fill="auto"/>
            <w:vAlign w:val="center"/>
            <w:hideMark/>
          </w:tcPr>
          <w:p w14:paraId="107B888A" w14:textId="77777777" w:rsidR="00182FC3" w:rsidRPr="00AA6D51" w:rsidRDefault="00182FC3" w:rsidP="00402DCE">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AA6D51">
              <w:rPr>
                <w:rFonts w:cs="Arial"/>
                <w:b/>
                <w:lang w:eastAsia="en-US"/>
              </w:rPr>
              <w:t>s/ 2020</w:t>
            </w:r>
          </w:p>
        </w:tc>
      </w:tr>
      <w:tr w:rsidR="00182FC3" w:rsidRPr="00FA31E9" w14:paraId="6988C790" w14:textId="77777777" w:rsidTr="003E5CAD">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3864" w:themeColor="accent5" w:themeShade="80"/>
              <w:left w:val="nil"/>
              <w:bottom w:val="nil"/>
              <w:right w:val="nil"/>
            </w:tcBorders>
            <w:shd w:val="clear" w:color="auto" w:fill="auto"/>
            <w:hideMark/>
          </w:tcPr>
          <w:p w14:paraId="072CF60E" w14:textId="77777777" w:rsidR="00182FC3" w:rsidRPr="00AA6D51" w:rsidRDefault="00182FC3" w:rsidP="008B50EE">
            <w:pPr>
              <w:pStyle w:val="08-Tabelageral"/>
              <w:jc w:val="left"/>
              <w:rPr>
                <w:rFonts w:cs="Arial"/>
                <w:snapToGrid w:val="0"/>
                <w:lang w:eastAsia="en-US"/>
              </w:rPr>
            </w:pPr>
            <w:r w:rsidRPr="00AA6D51">
              <w:rPr>
                <w:rFonts w:cs="Arial"/>
                <w:lang w:eastAsia="en-US"/>
              </w:rPr>
              <w:t>Receitas de investimentos em participações societárias</w:t>
            </w:r>
          </w:p>
        </w:tc>
        <w:tc>
          <w:tcPr>
            <w:tcW w:w="0" w:type="dxa"/>
            <w:tcBorders>
              <w:top w:val="single" w:sz="2" w:space="0" w:color="1F3864" w:themeColor="accent5" w:themeShade="80"/>
              <w:left w:val="nil"/>
              <w:bottom w:val="nil"/>
              <w:right w:val="nil"/>
            </w:tcBorders>
            <w:shd w:val="clear" w:color="auto" w:fill="auto"/>
            <w:vAlign w:val="center"/>
            <w:hideMark/>
          </w:tcPr>
          <w:p w14:paraId="62E82743"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b/>
                <w:szCs w:val="14"/>
                <w:lang w:eastAsia="en-US"/>
              </w:rPr>
              <w:t>3.923.593</w:t>
            </w:r>
          </w:p>
        </w:tc>
        <w:tc>
          <w:tcPr>
            <w:tcW w:w="0" w:type="dxa"/>
            <w:tcBorders>
              <w:top w:val="single" w:sz="2" w:space="0" w:color="1F3864" w:themeColor="accent5" w:themeShade="80"/>
              <w:left w:val="nil"/>
              <w:bottom w:val="nil"/>
              <w:right w:val="nil"/>
            </w:tcBorders>
            <w:shd w:val="clear" w:color="auto" w:fill="auto"/>
            <w:vAlign w:val="center"/>
            <w:hideMark/>
          </w:tcPr>
          <w:p w14:paraId="7F372DAC"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b/>
                <w:bCs/>
                <w:szCs w:val="14"/>
                <w:lang w:eastAsia="en-US"/>
              </w:rPr>
              <w:t>3.833.384</w:t>
            </w:r>
          </w:p>
        </w:tc>
        <w:tc>
          <w:tcPr>
            <w:tcW w:w="0" w:type="dxa"/>
            <w:tcBorders>
              <w:top w:val="single" w:sz="2" w:space="0" w:color="1F3864" w:themeColor="accent5" w:themeShade="80"/>
              <w:left w:val="nil"/>
              <w:bottom w:val="nil"/>
              <w:right w:val="nil"/>
            </w:tcBorders>
            <w:shd w:val="clear" w:color="auto" w:fill="auto"/>
            <w:hideMark/>
          </w:tcPr>
          <w:p w14:paraId="02E014C0" w14:textId="77777777" w:rsidR="00182FC3" w:rsidRPr="008B50EE"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8B50EE">
              <w:rPr>
                <w:b/>
                <w:bCs/>
              </w:rPr>
              <w:t>2,4</w:t>
            </w:r>
          </w:p>
        </w:tc>
      </w:tr>
      <w:tr w:rsidR="00182FC3" w:rsidRPr="00FA31E9" w14:paraId="4EF9FB0A"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F5CD9E6" w14:textId="77777777" w:rsidR="00182FC3" w:rsidRPr="00AA6D51" w:rsidRDefault="00182FC3" w:rsidP="008B50EE">
            <w:pPr>
              <w:pStyle w:val="08-Tabelageral"/>
              <w:ind w:left="113"/>
              <w:jc w:val="left"/>
              <w:rPr>
                <w:rFonts w:cs="Arial"/>
                <w:b w:val="0"/>
                <w:snapToGrid w:val="0"/>
                <w:lang w:eastAsia="en-US"/>
              </w:rPr>
            </w:pPr>
            <w:r w:rsidRPr="00AA6D51">
              <w:rPr>
                <w:rFonts w:cs="Arial"/>
                <w:b w:val="0"/>
                <w:lang w:eastAsia="en-US"/>
              </w:rPr>
              <w:t>BB MAPFRE Participações S.A. (Brasilseg)</w:t>
            </w:r>
          </w:p>
        </w:tc>
        <w:tc>
          <w:tcPr>
            <w:tcW w:w="0" w:type="dxa"/>
            <w:tcBorders>
              <w:top w:val="nil"/>
              <w:left w:val="nil"/>
              <w:bottom w:val="nil"/>
              <w:right w:val="nil"/>
            </w:tcBorders>
            <w:shd w:val="clear" w:color="auto" w:fill="auto"/>
            <w:vAlign w:val="center"/>
            <w:hideMark/>
          </w:tcPr>
          <w:p w14:paraId="68201D53"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1.067.020</w:t>
            </w:r>
          </w:p>
        </w:tc>
        <w:tc>
          <w:tcPr>
            <w:tcW w:w="0" w:type="dxa"/>
            <w:tcBorders>
              <w:top w:val="nil"/>
              <w:left w:val="nil"/>
              <w:bottom w:val="nil"/>
              <w:right w:val="nil"/>
            </w:tcBorders>
            <w:shd w:val="clear" w:color="auto" w:fill="auto"/>
            <w:vAlign w:val="center"/>
            <w:hideMark/>
          </w:tcPr>
          <w:p w14:paraId="3311F203"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1.086.543</w:t>
            </w:r>
          </w:p>
        </w:tc>
        <w:tc>
          <w:tcPr>
            <w:tcW w:w="0" w:type="dxa"/>
            <w:tcBorders>
              <w:top w:val="nil"/>
              <w:left w:val="nil"/>
              <w:bottom w:val="nil"/>
              <w:right w:val="nil"/>
            </w:tcBorders>
            <w:shd w:val="clear" w:color="auto" w:fill="auto"/>
            <w:hideMark/>
          </w:tcPr>
          <w:p w14:paraId="527E3667"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t>(</w:t>
            </w:r>
            <w:r w:rsidRPr="001A39EB">
              <w:t>1,8</w:t>
            </w:r>
            <w:r>
              <w:t>)</w:t>
            </w:r>
          </w:p>
        </w:tc>
      </w:tr>
      <w:tr w:rsidR="00182FC3" w:rsidRPr="00FA31E9" w14:paraId="1ADC8469"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67207E81" w14:textId="77777777" w:rsidR="00182FC3" w:rsidRPr="00AA6D51" w:rsidRDefault="00182FC3" w:rsidP="008B50EE">
            <w:pPr>
              <w:pStyle w:val="08-Tabelageral"/>
              <w:ind w:left="113"/>
              <w:jc w:val="left"/>
              <w:rPr>
                <w:rFonts w:cs="Arial"/>
                <w:b w:val="0"/>
                <w:snapToGrid w:val="0"/>
                <w:lang w:eastAsia="en-US"/>
              </w:rPr>
            </w:pPr>
            <w:r w:rsidRPr="00AA6D51">
              <w:rPr>
                <w:rFonts w:cs="Arial"/>
                <w:b w:val="0"/>
                <w:lang w:eastAsia="en-US"/>
              </w:rPr>
              <w:t>Brasilprev Seguros e Previdência S.A.</w:t>
            </w:r>
          </w:p>
        </w:tc>
        <w:tc>
          <w:tcPr>
            <w:tcW w:w="0" w:type="dxa"/>
            <w:tcBorders>
              <w:top w:val="nil"/>
              <w:left w:val="nil"/>
              <w:bottom w:val="nil"/>
              <w:right w:val="nil"/>
            </w:tcBorders>
            <w:shd w:val="clear" w:color="auto" w:fill="auto"/>
            <w:vAlign w:val="center"/>
            <w:hideMark/>
          </w:tcPr>
          <w:p w14:paraId="64A20CD4"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756.544</w:t>
            </w:r>
          </w:p>
        </w:tc>
        <w:tc>
          <w:tcPr>
            <w:tcW w:w="0" w:type="dxa"/>
            <w:tcBorders>
              <w:top w:val="nil"/>
              <w:left w:val="nil"/>
              <w:bottom w:val="nil"/>
              <w:right w:val="nil"/>
            </w:tcBorders>
            <w:shd w:val="clear" w:color="auto" w:fill="auto"/>
            <w:vAlign w:val="center"/>
            <w:hideMark/>
          </w:tcPr>
          <w:p w14:paraId="37D3056C"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lang w:eastAsia="en-US"/>
              </w:rPr>
              <w:t>686.379</w:t>
            </w:r>
          </w:p>
        </w:tc>
        <w:tc>
          <w:tcPr>
            <w:tcW w:w="0" w:type="dxa"/>
            <w:tcBorders>
              <w:top w:val="nil"/>
              <w:left w:val="nil"/>
              <w:bottom w:val="nil"/>
              <w:right w:val="nil"/>
            </w:tcBorders>
            <w:shd w:val="clear" w:color="auto" w:fill="auto"/>
            <w:hideMark/>
          </w:tcPr>
          <w:p w14:paraId="3583C2FF"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1A39EB">
              <w:t>10,2</w:t>
            </w:r>
          </w:p>
        </w:tc>
      </w:tr>
      <w:tr w:rsidR="00182FC3" w:rsidRPr="00FA31E9" w14:paraId="61CA94AD"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18D06678" w14:textId="77777777" w:rsidR="00182FC3" w:rsidRPr="00AA6D51" w:rsidRDefault="00182FC3" w:rsidP="008B50EE">
            <w:pPr>
              <w:pStyle w:val="08-Tabelageral"/>
              <w:ind w:left="113"/>
              <w:jc w:val="left"/>
              <w:rPr>
                <w:rFonts w:cs="Arial"/>
                <w:b w:val="0"/>
                <w:snapToGrid w:val="0"/>
                <w:lang w:eastAsia="en-US"/>
              </w:rPr>
            </w:pPr>
            <w:r w:rsidRPr="00AA6D51">
              <w:rPr>
                <w:rFonts w:cs="Arial"/>
                <w:b w:val="0"/>
                <w:lang w:eastAsia="en-US"/>
              </w:rPr>
              <w:t>Brasilcap Capitalização S.A.</w:t>
            </w:r>
          </w:p>
        </w:tc>
        <w:tc>
          <w:tcPr>
            <w:tcW w:w="0" w:type="dxa"/>
            <w:tcBorders>
              <w:top w:val="nil"/>
              <w:left w:val="nil"/>
              <w:bottom w:val="nil"/>
              <w:right w:val="nil"/>
            </w:tcBorders>
            <w:shd w:val="clear" w:color="auto" w:fill="auto"/>
            <w:vAlign w:val="center"/>
            <w:hideMark/>
          </w:tcPr>
          <w:p w14:paraId="0DF7D786"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2.341</w:t>
            </w:r>
          </w:p>
        </w:tc>
        <w:tc>
          <w:tcPr>
            <w:tcW w:w="0" w:type="dxa"/>
            <w:tcBorders>
              <w:top w:val="nil"/>
              <w:left w:val="nil"/>
              <w:bottom w:val="nil"/>
              <w:right w:val="nil"/>
            </w:tcBorders>
            <w:shd w:val="clear" w:color="auto" w:fill="auto"/>
            <w:vAlign w:val="center"/>
            <w:hideMark/>
          </w:tcPr>
          <w:p w14:paraId="7813DF8E"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lang w:eastAsia="en-US"/>
              </w:rPr>
              <w:t>105.780</w:t>
            </w:r>
          </w:p>
        </w:tc>
        <w:tc>
          <w:tcPr>
            <w:tcW w:w="0" w:type="dxa"/>
            <w:tcBorders>
              <w:top w:val="nil"/>
              <w:left w:val="nil"/>
              <w:bottom w:val="nil"/>
              <w:right w:val="nil"/>
            </w:tcBorders>
            <w:shd w:val="clear" w:color="auto" w:fill="auto"/>
            <w:hideMark/>
          </w:tcPr>
          <w:p w14:paraId="2D744D6A"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t>(</w:t>
            </w:r>
            <w:r w:rsidRPr="001A39EB">
              <w:t>97,8</w:t>
            </w:r>
            <w:r>
              <w:t>)</w:t>
            </w:r>
          </w:p>
        </w:tc>
      </w:tr>
      <w:tr w:rsidR="00182FC3" w:rsidRPr="00FA31E9" w14:paraId="50874F94"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3B6A164" w14:textId="77777777" w:rsidR="00182FC3" w:rsidRPr="00AA6D51" w:rsidRDefault="00182FC3" w:rsidP="008B50EE">
            <w:pPr>
              <w:pStyle w:val="08-Tabelageral"/>
              <w:ind w:left="113"/>
              <w:jc w:val="left"/>
              <w:rPr>
                <w:rFonts w:cs="Arial"/>
                <w:b w:val="0"/>
                <w:snapToGrid w:val="0"/>
                <w:vertAlign w:val="superscript"/>
                <w:lang w:eastAsia="en-US"/>
              </w:rPr>
            </w:pPr>
            <w:r w:rsidRPr="00AA6D51">
              <w:rPr>
                <w:rFonts w:cs="Arial"/>
                <w:b w:val="0"/>
                <w:lang w:eastAsia="en-US"/>
              </w:rPr>
              <w:t>Brasildental Operadora de Planos Odontológicos S.A.</w:t>
            </w:r>
          </w:p>
        </w:tc>
        <w:tc>
          <w:tcPr>
            <w:tcW w:w="0" w:type="dxa"/>
            <w:tcBorders>
              <w:top w:val="nil"/>
              <w:left w:val="nil"/>
              <w:bottom w:val="nil"/>
              <w:right w:val="nil"/>
            </w:tcBorders>
            <w:shd w:val="clear" w:color="auto" w:fill="auto"/>
            <w:vAlign w:val="center"/>
            <w:hideMark/>
          </w:tcPr>
          <w:p w14:paraId="005A4C6E"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lang w:eastAsia="en-US"/>
              </w:rPr>
              <w:t>17.083</w:t>
            </w:r>
          </w:p>
        </w:tc>
        <w:tc>
          <w:tcPr>
            <w:tcW w:w="0" w:type="dxa"/>
            <w:tcBorders>
              <w:top w:val="nil"/>
              <w:left w:val="nil"/>
              <w:bottom w:val="nil"/>
              <w:right w:val="nil"/>
            </w:tcBorders>
            <w:shd w:val="clear" w:color="auto" w:fill="auto"/>
            <w:vAlign w:val="center"/>
            <w:hideMark/>
          </w:tcPr>
          <w:p w14:paraId="2332B5EF"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lang w:eastAsia="en-US"/>
              </w:rPr>
              <w:t>17.702</w:t>
            </w:r>
          </w:p>
        </w:tc>
        <w:tc>
          <w:tcPr>
            <w:tcW w:w="0" w:type="dxa"/>
            <w:tcBorders>
              <w:top w:val="nil"/>
              <w:left w:val="nil"/>
              <w:bottom w:val="nil"/>
              <w:right w:val="nil"/>
            </w:tcBorders>
            <w:shd w:val="clear" w:color="auto" w:fill="auto"/>
            <w:hideMark/>
          </w:tcPr>
          <w:p w14:paraId="6B7A5E7A"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t>(</w:t>
            </w:r>
            <w:r w:rsidRPr="001A39EB">
              <w:t>3,5</w:t>
            </w:r>
            <w:r>
              <w:t>)</w:t>
            </w:r>
          </w:p>
        </w:tc>
      </w:tr>
      <w:tr w:rsidR="00182FC3" w:rsidRPr="00FA31E9" w14:paraId="21D04139"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204B1E9" w14:textId="77777777" w:rsidR="00182FC3" w:rsidRPr="00AA6D51" w:rsidRDefault="00182FC3" w:rsidP="008B50EE">
            <w:pPr>
              <w:pStyle w:val="08-Tabelageral"/>
              <w:ind w:left="113"/>
              <w:jc w:val="left"/>
              <w:rPr>
                <w:rFonts w:cs="Arial"/>
                <w:b w:val="0"/>
                <w:snapToGrid w:val="0"/>
                <w:lang w:eastAsia="en-US"/>
              </w:rPr>
            </w:pPr>
            <w:r w:rsidRPr="00AA6D51">
              <w:rPr>
                <w:rFonts w:cs="Arial"/>
                <w:b w:val="0"/>
                <w:lang w:eastAsia="en-US"/>
              </w:rPr>
              <w:t>BB Corretora de Seguros e Administradora de Bens S.A.</w:t>
            </w:r>
          </w:p>
        </w:tc>
        <w:tc>
          <w:tcPr>
            <w:tcW w:w="0" w:type="dxa"/>
            <w:tcBorders>
              <w:top w:val="nil"/>
              <w:left w:val="nil"/>
              <w:bottom w:val="nil"/>
              <w:right w:val="nil"/>
            </w:tcBorders>
            <w:shd w:val="clear" w:color="auto" w:fill="auto"/>
            <w:vAlign w:val="center"/>
            <w:hideMark/>
          </w:tcPr>
          <w:p w14:paraId="392A2CFC"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2.162.039</w:t>
            </w:r>
          </w:p>
        </w:tc>
        <w:tc>
          <w:tcPr>
            <w:tcW w:w="0" w:type="dxa"/>
            <w:tcBorders>
              <w:top w:val="nil"/>
              <w:left w:val="nil"/>
              <w:bottom w:val="nil"/>
              <w:right w:val="nil"/>
            </w:tcBorders>
            <w:shd w:val="clear" w:color="auto" w:fill="auto"/>
            <w:vAlign w:val="center"/>
            <w:hideMark/>
          </w:tcPr>
          <w:p w14:paraId="220C8468"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1.969.105</w:t>
            </w:r>
          </w:p>
        </w:tc>
        <w:tc>
          <w:tcPr>
            <w:tcW w:w="0" w:type="dxa"/>
            <w:tcBorders>
              <w:top w:val="nil"/>
              <w:left w:val="nil"/>
              <w:bottom w:val="nil"/>
              <w:right w:val="nil"/>
            </w:tcBorders>
            <w:shd w:val="clear" w:color="auto" w:fill="auto"/>
            <w:hideMark/>
          </w:tcPr>
          <w:p w14:paraId="554060D9"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1A39EB">
              <w:t>9,8</w:t>
            </w:r>
          </w:p>
        </w:tc>
      </w:tr>
      <w:tr w:rsidR="00182FC3" w:rsidRPr="00FA31E9" w14:paraId="7BA92D0E" w14:textId="77777777" w:rsidTr="003E5CAD">
        <w:trPr>
          <w:trHeight w:hRule="exact" w:val="266"/>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D62D9C2" w14:textId="77777777" w:rsidR="00182FC3" w:rsidRPr="00AA6D51" w:rsidRDefault="00182FC3" w:rsidP="008B50EE">
            <w:pPr>
              <w:pStyle w:val="08-Tabelageral"/>
              <w:ind w:left="113"/>
              <w:jc w:val="left"/>
              <w:rPr>
                <w:rFonts w:cs="Arial"/>
                <w:b w:val="0"/>
                <w:lang w:eastAsia="en-US"/>
              </w:rPr>
            </w:pPr>
            <w:r w:rsidRPr="00AA6D51">
              <w:rPr>
                <w:rFonts w:cs="Arial"/>
                <w:b w:val="0"/>
                <w:lang w:eastAsia="en-US"/>
              </w:rPr>
              <w:t>Outros</w:t>
            </w:r>
          </w:p>
        </w:tc>
        <w:tc>
          <w:tcPr>
            <w:tcW w:w="0" w:type="dxa"/>
            <w:tcBorders>
              <w:top w:val="nil"/>
              <w:left w:val="nil"/>
              <w:bottom w:val="nil"/>
              <w:right w:val="nil"/>
            </w:tcBorders>
            <w:shd w:val="clear" w:color="auto" w:fill="auto"/>
            <w:vAlign w:val="center"/>
            <w:hideMark/>
          </w:tcPr>
          <w:p w14:paraId="6448CE34"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w:t>
            </w:r>
            <w:r>
              <w:rPr>
                <w:rFonts w:cs="Arial"/>
                <w:szCs w:val="14"/>
                <w:lang w:eastAsia="en-US"/>
              </w:rPr>
              <w:t>81.434</w:t>
            </w:r>
            <w:r w:rsidRPr="00AA6D51">
              <w:rPr>
                <w:rFonts w:cs="Arial"/>
                <w:szCs w:val="14"/>
                <w:lang w:eastAsia="en-US"/>
              </w:rPr>
              <w:t>)</w:t>
            </w:r>
          </w:p>
        </w:tc>
        <w:tc>
          <w:tcPr>
            <w:tcW w:w="0" w:type="dxa"/>
            <w:tcBorders>
              <w:top w:val="nil"/>
              <w:left w:val="nil"/>
              <w:bottom w:val="nil"/>
              <w:right w:val="nil"/>
            </w:tcBorders>
            <w:shd w:val="clear" w:color="auto" w:fill="auto"/>
            <w:vAlign w:val="center"/>
            <w:hideMark/>
          </w:tcPr>
          <w:p w14:paraId="581B7BDA"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(32.125)</w:t>
            </w:r>
          </w:p>
        </w:tc>
        <w:tc>
          <w:tcPr>
            <w:tcW w:w="0" w:type="dxa"/>
            <w:tcBorders>
              <w:top w:val="nil"/>
              <w:left w:val="nil"/>
              <w:bottom w:val="nil"/>
              <w:right w:val="nil"/>
            </w:tcBorders>
            <w:shd w:val="clear" w:color="auto" w:fill="auto"/>
            <w:hideMark/>
          </w:tcPr>
          <w:p w14:paraId="316B47AB"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1A39EB">
              <w:t>153,5</w:t>
            </w:r>
          </w:p>
        </w:tc>
      </w:tr>
      <w:tr w:rsidR="00182FC3" w:rsidRPr="00FA31E9" w14:paraId="48C865CB"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4326C4C" w14:textId="77777777" w:rsidR="00182FC3" w:rsidRPr="00AA6D51" w:rsidRDefault="00182FC3" w:rsidP="008B50EE">
            <w:pPr>
              <w:pStyle w:val="08-Tabelageral"/>
              <w:jc w:val="left"/>
              <w:rPr>
                <w:rFonts w:cs="Arial"/>
                <w:b w:val="0"/>
                <w:lang w:eastAsia="en-US"/>
              </w:rPr>
            </w:pPr>
            <w:r w:rsidRPr="00AA6D51">
              <w:rPr>
                <w:rFonts w:cs="Arial"/>
                <w:lang w:eastAsia="en-US"/>
              </w:rPr>
              <w:t>Outras Receitas e Despesas</w:t>
            </w:r>
          </w:p>
        </w:tc>
        <w:tc>
          <w:tcPr>
            <w:tcW w:w="0" w:type="dxa"/>
            <w:tcBorders>
              <w:top w:val="nil"/>
              <w:left w:val="nil"/>
              <w:bottom w:val="nil"/>
              <w:right w:val="nil"/>
            </w:tcBorders>
            <w:shd w:val="clear" w:color="auto" w:fill="auto"/>
            <w:vAlign w:val="center"/>
            <w:hideMark/>
          </w:tcPr>
          <w:p w14:paraId="3D715CFA"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(8.572)</w:t>
            </w:r>
          </w:p>
        </w:tc>
        <w:tc>
          <w:tcPr>
            <w:tcW w:w="0" w:type="dxa"/>
            <w:tcBorders>
              <w:top w:val="nil"/>
              <w:left w:val="nil"/>
              <w:bottom w:val="nil"/>
              <w:right w:val="nil"/>
            </w:tcBorders>
            <w:shd w:val="clear" w:color="auto" w:fill="auto"/>
            <w:vAlign w:val="center"/>
            <w:hideMark/>
          </w:tcPr>
          <w:p w14:paraId="4108B398"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(10.882)</w:t>
            </w:r>
          </w:p>
        </w:tc>
        <w:tc>
          <w:tcPr>
            <w:tcW w:w="0" w:type="dxa"/>
            <w:tcBorders>
              <w:top w:val="nil"/>
              <w:left w:val="nil"/>
              <w:bottom w:val="nil"/>
              <w:right w:val="nil"/>
            </w:tcBorders>
            <w:shd w:val="clear" w:color="auto" w:fill="auto"/>
            <w:hideMark/>
          </w:tcPr>
          <w:p w14:paraId="05DEA0B8" w14:textId="77777777" w:rsidR="00182FC3" w:rsidRPr="008B50EE"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b/>
                <w:bCs/>
              </w:rPr>
              <w:t>(</w:t>
            </w:r>
            <w:r w:rsidRPr="008B50EE">
              <w:rPr>
                <w:b/>
                <w:bCs/>
              </w:rPr>
              <w:t>21,2</w:t>
            </w:r>
            <w:r>
              <w:rPr>
                <w:b/>
                <w:bCs/>
              </w:rPr>
              <w:t>)</w:t>
            </w:r>
          </w:p>
        </w:tc>
      </w:tr>
      <w:tr w:rsidR="00182FC3" w:rsidRPr="00FA31E9" w14:paraId="4CF71293"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AF60A5E" w14:textId="77777777" w:rsidR="00182FC3" w:rsidRPr="00AA6D51" w:rsidRDefault="00182FC3" w:rsidP="008B50EE">
            <w:pPr>
              <w:pStyle w:val="08-Tabelageral"/>
              <w:ind w:left="113"/>
              <w:jc w:val="left"/>
              <w:rPr>
                <w:rFonts w:cs="Arial"/>
                <w:snapToGrid w:val="0"/>
                <w:lang w:eastAsia="en-US"/>
              </w:rPr>
            </w:pPr>
            <w:r w:rsidRPr="00AA6D51">
              <w:rPr>
                <w:rFonts w:cs="Arial"/>
                <w:b w:val="0"/>
                <w:lang w:eastAsia="en-US"/>
              </w:rPr>
              <w:t>Despesas com pessoal</w:t>
            </w:r>
          </w:p>
        </w:tc>
        <w:tc>
          <w:tcPr>
            <w:tcW w:w="0" w:type="dxa"/>
            <w:tcBorders>
              <w:top w:val="nil"/>
              <w:left w:val="nil"/>
              <w:bottom w:val="nil"/>
              <w:right w:val="nil"/>
            </w:tcBorders>
            <w:shd w:val="clear" w:color="auto" w:fill="auto"/>
            <w:vAlign w:val="center"/>
            <w:hideMark/>
          </w:tcPr>
          <w:p w14:paraId="5BF88805"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(12.167)</w:t>
            </w:r>
          </w:p>
        </w:tc>
        <w:tc>
          <w:tcPr>
            <w:tcW w:w="0" w:type="dxa"/>
            <w:tcBorders>
              <w:top w:val="nil"/>
              <w:left w:val="nil"/>
              <w:bottom w:val="nil"/>
              <w:right w:val="nil"/>
            </w:tcBorders>
            <w:shd w:val="clear" w:color="auto" w:fill="auto"/>
            <w:vAlign w:val="center"/>
            <w:hideMark/>
          </w:tcPr>
          <w:p w14:paraId="688719C8"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(11.602)</w:t>
            </w:r>
          </w:p>
        </w:tc>
        <w:tc>
          <w:tcPr>
            <w:tcW w:w="0" w:type="dxa"/>
            <w:tcBorders>
              <w:top w:val="nil"/>
              <w:left w:val="nil"/>
              <w:bottom w:val="nil"/>
              <w:right w:val="nil"/>
            </w:tcBorders>
            <w:shd w:val="clear" w:color="auto" w:fill="auto"/>
            <w:hideMark/>
          </w:tcPr>
          <w:p w14:paraId="21F4F210"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1A39EB">
              <w:t>4,9</w:t>
            </w:r>
          </w:p>
        </w:tc>
      </w:tr>
      <w:tr w:rsidR="00182FC3" w:rsidRPr="00FA31E9" w14:paraId="3C3DA96D"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D90652C" w14:textId="77777777" w:rsidR="00182FC3" w:rsidRPr="00AA6D51" w:rsidRDefault="00182FC3" w:rsidP="008B50EE">
            <w:pPr>
              <w:pStyle w:val="08-Tabelageral"/>
              <w:ind w:left="113"/>
              <w:jc w:val="left"/>
              <w:rPr>
                <w:rFonts w:cs="Arial"/>
                <w:b w:val="0"/>
                <w:snapToGrid w:val="0"/>
                <w:lang w:eastAsia="en-US"/>
              </w:rPr>
            </w:pPr>
            <w:r w:rsidRPr="00AA6D51">
              <w:rPr>
                <w:rFonts w:cs="Arial"/>
                <w:b w:val="0"/>
                <w:lang w:eastAsia="en-US"/>
              </w:rPr>
              <w:t>Despesas administrativas</w:t>
            </w:r>
          </w:p>
        </w:tc>
        <w:tc>
          <w:tcPr>
            <w:tcW w:w="0" w:type="dxa"/>
            <w:tcBorders>
              <w:top w:val="nil"/>
              <w:left w:val="nil"/>
              <w:bottom w:val="nil"/>
              <w:right w:val="nil"/>
            </w:tcBorders>
            <w:shd w:val="clear" w:color="auto" w:fill="auto"/>
            <w:vAlign w:val="center"/>
            <w:hideMark/>
          </w:tcPr>
          <w:p w14:paraId="678625AB"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(3.152)</w:t>
            </w:r>
          </w:p>
        </w:tc>
        <w:tc>
          <w:tcPr>
            <w:tcW w:w="0" w:type="dxa"/>
            <w:tcBorders>
              <w:top w:val="nil"/>
              <w:left w:val="nil"/>
              <w:bottom w:val="nil"/>
              <w:right w:val="nil"/>
            </w:tcBorders>
            <w:shd w:val="clear" w:color="auto" w:fill="auto"/>
            <w:vAlign w:val="center"/>
            <w:hideMark/>
          </w:tcPr>
          <w:p w14:paraId="20600569"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(3.096)</w:t>
            </w:r>
          </w:p>
        </w:tc>
        <w:tc>
          <w:tcPr>
            <w:tcW w:w="0" w:type="dxa"/>
            <w:tcBorders>
              <w:top w:val="nil"/>
              <w:left w:val="nil"/>
              <w:bottom w:val="nil"/>
              <w:right w:val="nil"/>
            </w:tcBorders>
            <w:shd w:val="clear" w:color="auto" w:fill="auto"/>
            <w:hideMark/>
          </w:tcPr>
          <w:p w14:paraId="1EBC6364"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1A39EB">
              <w:t>1,8</w:t>
            </w:r>
          </w:p>
        </w:tc>
      </w:tr>
      <w:tr w:rsidR="00182FC3" w:rsidRPr="00FA31E9" w14:paraId="7CEDCF70" w14:textId="77777777" w:rsidTr="003E5CAD">
        <w:trPr>
          <w:trHeight w:hRule="exact" w:val="279"/>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49999FC" w14:textId="77777777" w:rsidR="00182FC3" w:rsidRPr="00AA6D51" w:rsidRDefault="00182FC3" w:rsidP="008B50EE">
            <w:pPr>
              <w:pStyle w:val="08-Tabelageral"/>
              <w:ind w:left="113"/>
              <w:jc w:val="left"/>
              <w:rPr>
                <w:rFonts w:cs="Arial"/>
                <w:b w:val="0"/>
                <w:lang w:eastAsia="en-US"/>
              </w:rPr>
            </w:pPr>
            <w:r w:rsidRPr="00AA6D51">
              <w:rPr>
                <w:rFonts w:cs="Arial"/>
                <w:b w:val="0"/>
                <w:lang w:eastAsia="en-US"/>
              </w:rPr>
              <w:t>Despesas tributárias</w:t>
            </w:r>
          </w:p>
        </w:tc>
        <w:tc>
          <w:tcPr>
            <w:tcW w:w="0" w:type="dxa"/>
            <w:tcBorders>
              <w:top w:val="nil"/>
              <w:left w:val="nil"/>
              <w:bottom w:val="nil"/>
              <w:right w:val="nil"/>
            </w:tcBorders>
            <w:shd w:val="clear" w:color="auto" w:fill="auto"/>
            <w:vAlign w:val="center"/>
            <w:hideMark/>
          </w:tcPr>
          <w:p w14:paraId="33B514CA"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(2.083)</w:t>
            </w:r>
          </w:p>
        </w:tc>
        <w:tc>
          <w:tcPr>
            <w:tcW w:w="0" w:type="dxa"/>
            <w:tcBorders>
              <w:top w:val="nil"/>
              <w:left w:val="nil"/>
              <w:bottom w:val="nil"/>
              <w:right w:val="nil"/>
            </w:tcBorders>
            <w:shd w:val="clear" w:color="auto" w:fill="auto"/>
            <w:vAlign w:val="center"/>
            <w:hideMark/>
          </w:tcPr>
          <w:p w14:paraId="44EB64B8"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(3.645)</w:t>
            </w:r>
          </w:p>
        </w:tc>
        <w:tc>
          <w:tcPr>
            <w:tcW w:w="0" w:type="dxa"/>
            <w:tcBorders>
              <w:top w:val="nil"/>
              <w:left w:val="nil"/>
              <w:bottom w:val="nil"/>
              <w:right w:val="nil"/>
            </w:tcBorders>
            <w:shd w:val="clear" w:color="auto" w:fill="auto"/>
            <w:hideMark/>
          </w:tcPr>
          <w:p w14:paraId="1583D0CC"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t>(</w:t>
            </w:r>
            <w:r w:rsidRPr="001A39EB">
              <w:t>42,9</w:t>
            </w:r>
            <w:r>
              <w:t>)</w:t>
            </w:r>
          </w:p>
        </w:tc>
      </w:tr>
      <w:tr w:rsidR="00182FC3" w:rsidRPr="00FA31E9" w14:paraId="3F9D2A49" w14:textId="77777777" w:rsidTr="003E5CA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A3BF7C5" w14:textId="77777777" w:rsidR="00182FC3" w:rsidRPr="00AA6D51" w:rsidRDefault="00182FC3" w:rsidP="008B50EE">
            <w:pPr>
              <w:pStyle w:val="08-Tabelageral"/>
              <w:ind w:left="113"/>
              <w:jc w:val="left"/>
              <w:rPr>
                <w:rFonts w:cs="Arial"/>
                <w:b w:val="0"/>
                <w:lang w:eastAsia="en-US"/>
              </w:rPr>
            </w:pPr>
            <w:r w:rsidRPr="00AA6D51">
              <w:rPr>
                <w:rFonts w:cs="Arial"/>
                <w:b w:val="0"/>
                <w:lang w:eastAsia="en-US"/>
              </w:rPr>
              <w:t>Outras receitas/(despesas) operacionais</w:t>
            </w:r>
          </w:p>
        </w:tc>
        <w:tc>
          <w:tcPr>
            <w:tcW w:w="0" w:type="dxa"/>
            <w:tcBorders>
              <w:top w:val="nil"/>
              <w:left w:val="nil"/>
              <w:bottom w:val="nil"/>
              <w:right w:val="nil"/>
            </w:tcBorders>
            <w:shd w:val="clear" w:color="auto" w:fill="auto"/>
            <w:vAlign w:val="center"/>
            <w:hideMark/>
          </w:tcPr>
          <w:p w14:paraId="799D129C"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8.830</w:t>
            </w:r>
          </w:p>
        </w:tc>
        <w:tc>
          <w:tcPr>
            <w:tcW w:w="0" w:type="dxa"/>
            <w:tcBorders>
              <w:top w:val="nil"/>
              <w:left w:val="nil"/>
              <w:bottom w:val="nil"/>
              <w:right w:val="nil"/>
            </w:tcBorders>
            <w:shd w:val="clear" w:color="auto" w:fill="auto"/>
            <w:vAlign w:val="center"/>
            <w:hideMark/>
          </w:tcPr>
          <w:p w14:paraId="19DFE6E8"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7.461</w:t>
            </w:r>
          </w:p>
        </w:tc>
        <w:tc>
          <w:tcPr>
            <w:tcW w:w="0" w:type="dxa"/>
            <w:tcBorders>
              <w:top w:val="nil"/>
              <w:left w:val="nil"/>
              <w:bottom w:val="nil"/>
              <w:right w:val="nil"/>
            </w:tcBorders>
            <w:shd w:val="clear" w:color="auto" w:fill="auto"/>
            <w:hideMark/>
          </w:tcPr>
          <w:p w14:paraId="3DAA0C0D"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1A39EB">
              <w:t>18,3</w:t>
            </w:r>
          </w:p>
        </w:tc>
      </w:tr>
      <w:tr w:rsidR="00182FC3" w:rsidRPr="00FA31E9" w14:paraId="4EB4452A"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B6C0B03" w14:textId="77777777" w:rsidR="00182FC3" w:rsidRPr="00AA6D51" w:rsidRDefault="00182FC3" w:rsidP="008B50EE">
            <w:pPr>
              <w:pStyle w:val="08-Tabelageral"/>
              <w:jc w:val="left"/>
              <w:rPr>
                <w:rFonts w:cs="Arial"/>
                <w:b w:val="0"/>
                <w:snapToGrid w:val="0"/>
                <w:lang w:eastAsia="en-US"/>
              </w:rPr>
            </w:pPr>
            <w:r w:rsidRPr="00AA6D51">
              <w:rPr>
                <w:rFonts w:cs="Arial"/>
                <w:lang w:eastAsia="en-US"/>
              </w:rPr>
              <w:t>Resultado financeiro</w:t>
            </w:r>
          </w:p>
        </w:tc>
        <w:tc>
          <w:tcPr>
            <w:tcW w:w="0" w:type="dxa"/>
            <w:tcBorders>
              <w:top w:val="nil"/>
              <w:left w:val="nil"/>
              <w:bottom w:val="nil"/>
              <w:right w:val="nil"/>
            </w:tcBorders>
            <w:shd w:val="clear" w:color="auto" w:fill="auto"/>
            <w:vAlign w:val="center"/>
            <w:hideMark/>
          </w:tcPr>
          <w:p w14:paraId="4AEF396C"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b/>
                <w:bCs/>
                <w:szCs w:val="14"/>
                <w:lang w:eastAsia="en-US"/>
              </w:rPr>
              <w:t>22.901</w:t>
            </w:r>
          </w:p>
        </w:tc>
        <w:tc>
          <w:tcPr>
            <w:tcW w:w="0" w:type="dxa"/>
            <w:tcBorders>
              <w:top w:val="nil"/>
              <w:left w:val="nil"/>
              <w:bottom w:val="nil"/>
              <w:right w:val="nil"/>
            </w:tcBorders>
            <w:shd w:val="clear" w:color="auto" w:fill="auto"/>
            <w:vAlign w:val="center"/>
            <w:hideMark/>
          </w:tcPr>
          <w:p w14:paraId="567ABB13"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b/>
                <w:bCs/>
                <w:szCs w:val="14"/>
                <w:lang w:eastAsia="en-US"/>
              </w:rPr>
              <w:t>37.295</w:t>
            </w:r>
          </w:p>
        </w:tc>
        <w:tc>
          <w:tcPr>
            <w:tcW w:w="0" w:type="dxa"/>
            <w:tcBorders>
              <w:top w:val="nil"/>
              <w:left w:val="nil"/>
              <w:bottom w:val="nil"/>
              <w:right w:val="nil"/>
            </w:tcBorders>
            <w:shd w:val="clear" w:color="auto" w:fill="auto"/>
            <w:hideMark/>
          </w:tcPr>
          <w:p w14:paraId="3D67B5BF" w14:textId="77777777" w:rsidR="00182FC3" w:rsidRPr="008B50EE"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Pr>
                <w:b/>
                <w:bCs/>
              </w:rPr>
              <w:t>(</w:t>
            </w:r>
            <w:r w:rsidRPr="008B50EE">
              <w:rPr>
                <w:b/>
                <w:bCs/>
              </w:rPr>
              <w:t>38,6</w:t>
            </w:r>
            <w:r>
              <w:rPr>
                <w:b/>
                <w:bCs/>
              </w:rPr>
              <w:t>)</w:t>
            </w:r>
          </w:p>
        </w:tc>
      </w:tr>
      <w:tr w:rsidR="00182FC3" w:rsidRPr="00FA31E9" w14:paraId="1AFD06EF"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4CE41DC" w14:textId="77777777" w:rsidR="00182FC3" w:rsidRPr="00AA6D51" w:rsidRDefault="00182FC3" w:rsidP="008B50EE">
            <w:pPr>
              <w:pStyle w:val="08-Tabelageral"/>
              <w:ind w:left="113"/>
              <w:jc w:val="left"/>
              <w:rPr>
                <w:rFonts w:cs="Arial"/>
                <w:lang w:eastAsia="en-US"/>
              </w:rPr>
            </w:pPr>
            <w:r w:rsidRPr="00AA6D51">
              <w:rPr>
                <w:rFonts w:cs="Arial"/>
                <w:b w:val="0"/>
                <w:lang w:eastAsia="en-US"/>
              </w:rPr>
              <w:t>Receitas financeiras</w:t>
            </w:r>
          </w:p>
        </w:tc>
        <w:tc>
          <w:tcPr>
            <w:tcW w:w="0" w:type="dxa"/>
            <w:tcBorders>
              <w:top w:val="nil"/>
              <w:left w:val="nil"/>
              <w:bottom w:val="nil"/>
              <w:right w:val="nil"/>
            </w:tcBorders>
            <w:shd w:val="clear" w:color="auto" w:fill="auto"/>
            <w:vAlign w:val="center"/>
            <w:hideMark/>
          </w:tcPr>
          <w:p w14:paraId="27C17A74"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Cs/>
                <w:szCs w:val="14"/>
                <w:lang w:eastAsia="en-US"/>
              </w:rPr>
            </w:pPr>
            <w:r w:rsidRPr="00AA6D51">
              <w:rPr>
                <w:rFonts w:cs="Arial"/>
                <w:bCs/>
                <w:szCs w:val="14"/>
                <w:lang w:eastAsia="en-US"/>
              </w:rPr>
              <w:t>26.992</w:t>
            </w:r>
          </w:p>
        </w:tc>
        <w:tc>
          <w:tcPr>
            <w:tcW w:w="0" w:type="dxa"/>
            <w:tcBorders>
              <w:top w:val="nil"/>
              <w:left w:val="nil"/>
              <w:bottom w:val="nil"/>
              <w:right w:val="nil"/>
            </w:tcBorders>
            <w:shd w:val="clear" w:color="auto" w:fill="auto"/>
            <w:vAlign w:val="center"/>
            <w:hideMark/>
          </w:tcPr>
          <w:p w14:paraId="44836C69"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AA6D51">
              <w:rPr>
                <w:rFonts w:cs="Arial"/>
                <w:szCs w:val="14"/>
                <w:lang w:eastAsia="en-US"/>
              </w:rPr>
              <w:t>62.764</w:t>
            </w:r>
          </w:p>
        </w:tc>
        <w:tc>
          <w:tcPr>
            <w:tcW w:w="0" w:type="dxa"/>
            <w:tcBorders>
              <w:top w:val="nil"/>
              <w:left w:val="nil"/>
              <w:bottom w:val="nil"/>
              <w:right w:val="nil"/>
            </w:tcBorders>
            <w:shd w:val="clear" w:color="auto" w:fill="auto"/>
            <w:hideMark/>
          </w:tcPr>
          <w:p w14:paraId="00E2E1CC"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t>(</w:t>
            </w:r>
            <w:r w:rsidRPr="001A39EB">
              <w:t>57,0</w:t>
            </w:r>
            <w:r>
              <w:t>)</w:t>
            </w:r>
          </w:p>
        </w:tc>
      </w:tr>
      <w:tr w:rsidR="00182FC3" w:rsidRPr="00FA31E9" w14:paraId="4648608E"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7FFBEA9" w14:textId="77777777" w:rsidR="00182FC3" w:rsidRPr="00AA6D51" w:rsidRDefault="00182FC3" w:rsidP="008B50EE">
            <w:pPr>
              <w:pStyle w:val="08-Tabelageral"/>
              <w:ind w:left="113"/>
              <w:jc w:val="left"/>
              <w:rPr>
                <w:rFonts w:cs="Arial"/>
                <w:b w:val="0"/>
                <w:lang w:eastAsia="en-US"/>
              </w:rPr>
            </w:pPr>
            <w:r w:rsidRPr="00AA6D51">
              <w:rPr>
                <w:rFonts w:cs="Arial"/>
                <w:b w:val="0"/>
                <w:lang w:eastAsia="en-US"/>
              </w:rPr>
              <w:t>Despesas financeiras</w:t>
            </w:r>
          </w:p>
        </w:tc>
        <w:tc>
          <w:tcPr>
            <w:tcW w:w="0" w:type="dxa"/>
            <w:tcBorders>
              <w:top w:val="nil"/>
              <w:left w:val="nil"/>
              <w:bottom w:val="nil"/>
              <w:right w:val="nil"/>
            </w:tcBorders>
            <w:shd w:val="clear" w:color="auto" w:fill="auto"/>
            <w:vAlign w:val="center"/>
            <w:hideMark/>
          </w:tcPr>
          <w:p w14:paraId="29425BCF"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(4.091)</w:t>
            </w:r>
          </w:p>
        </w:tc>
        <w:tc>
          <w:tcPr>
            <w:tcW w:w="0" w:type="dxa"/>
            <w:tcBorders>
              <w:top w:val="nil"/>
              <w:left w:val="nil"/>
              <w:bottom w:val="nil"/>
              <w:right w:val="nil"/>
            </w:tcBorders>
            <w:shd w:val="clear" w:color="auto" w:fill="auto"/>
            <w:vAlign w:val="center"/>
            <w:hideMark/>
          </w:tcPr>
          <w:p w14:paraId="71C8E08C"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(25.469)</w:t>
            </w:r>
          </w:p>
        </w:tc>
        <w:tc>
          <w:tcPr>
            <w:tcW w:w="0" w:type="dxa"/>
            <w:tcBorders>
              <w:top w:val="nil"/>
              <w:left w:val="nil"/>
              <w:bottom w:val="nil"/>
              <w:right w:val="nil"/>
            </w:tcBorders>
            <w:shd w:val="clear" w:color="auto" w:fill="auto"/>
            <w:hideMark/>
          </w:tcPr>
          <w:p w14:paraId="425B5E95"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t>(</w:t>
            </w:r>
            <w:r w:rsidRPr="001A39EB">
              <w:t>83,9</w:t>
            </w:r>
            <w:r>
              <w:t>)</w:t>
            </w:r>
          </w:p>
        </w:tc>
      </w:tr>
      <w:tr w:rsidR="00182FC3" w:rsidRPr="00FA31E9" w14:paraId="19A7B9E2"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61AD0D0A" w14:textId="77777777" w:rsidR="00182FC3" w:rsidRPr="00AA6D51" w:rsidRDefault="00182FC3" w:rsidP="008B50EE">
            <w:pPr>
              <w:pStyle w:val="08-Tabelageral"/>
              <w:jc w:val="left"/>
              <w:rPr>
                <w:rFonts w:cs="Arial"/>
                <w:b w:val="0"/>
                <w:lang w:eastAsia="en-US"/>
              </w:rPr>
            </w:pPr>
            <w:r w:rsidRPr="00AA6D51">
              <w:rPr>
                <w:rFonts w:cs="Arial"/>
                <w:lang w:eastAsia="en-US"/>
              </w:rPr>
              <w:t>Resultado antes de imposto de renda e contribuição social</w:t>
            </w:r>
          </w:p>
        </w:tc>
        <w:tc>
          <w:tcPr>
            <w:tcW w:w="0" w:type="dxa"/>
            <w:tcBorders>
              <w:top w:val="nil"/>
              <w:left w:val="nil"/>
              <w:bottom w:val="nil"/>
              <w:right w:val="nil"/>
            </w:tcBorders>
            <w:shd w:val="clear" w:color="auto" w:fill="auto"/>
            <w:vAlign w:val="center"/>
            <w:hideMark/>
          </w:tcPr>
          <w:p w14:paraId="46DA1039"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3.937.922</w:t>
            </w:r>
          </w:p>
        </w:tc>
        <w:tc>
          <w:tcPr>
            <w:tcW w:w="0" w:type="dxa"/>
            <w:tcBorders>
              <w:top w:val="nil"/>
              <w:left w:val="nil"/>
              <w:bottom w:val="nil"/>
              <w:right w:val="nil"/>
            </w:tcBorders>
            <w:shd w:val="clear" w:color="auto" w:fill="auto"/>
            <w:vAlign w:val="center"/>
            <w:hideMark/>
          </w:tcPr>
          <w:p w14:paraId="36AD4182"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3.859.797</w:t>
            </w:r>
          </w:p>
        </w:tc>
        <w:tc>
          <w:tcPr>
            <w:tcW w:w="0" w:type="dxa"/>
            <w:tcBorders>
              <w:top w:val="nil"/>
              <w:left w:val="nil"/>
              <w:bottom w:val="nil"/>
              <w:right w:val="nil"/>
            </w:tcBorders>
            <w:shd w:val="clear" w:color="auto" w:fill="auto"/>
            <w:hideMark/>
          </w:tcPr>
          <w:p w14:paraId="2FB6FA29" w14:textId="77777777" w:rsidR="00182FC3" w:rsidRPr="008B50EE"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8B50EE">
              <w:rPr>
                <w:b/>
                <w:bCs/>
              </w:rPr>
              <w:t>2,0</w:t>
            </w:r>
          </w:p>
        </w:tc>
      </w:tr>
      <w:tr w:rsidR="00182FC3" w:rsidRPr="00FA31E9" w14:paraId="34F48C97"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5292D56A" w14:textId="77777777" w:rsidR="00182FC3" w:rsidRPr="00AA6D51" w:rsidRDefault="00182FC3" w:rsidP="008B50EE">
            <w:pPr>
              <w:pStyle w:val="08-Tabelageral"/>
              <w:ind w:left="113"/>
              <w:jc w:val="left"/>
              <w:rPr>
                <w:rFonts w:cs="Arial"/>
                <w:snapToGrid w:val="0"/>
                <w:lang w:eastAsia="en-US"/>
              </w:rPr>
            </w:pPr>
            <w:r w:rsidRPr="00AA6D51">
              <w:rPr>
                <w:rFonts w:cs="Arial"/>
                <w:b w:val="0"/>
                <w:lang w:eastAsia="en-US"/>
              </w:rPr>
              <w:t>Imposto de renda e contribuição social</w:t>
            </w:r>
          </w:p>
        </w:tc>
        <w:tc>
          <w:tcPr>
            <w:tcW w:w="0" w:type="dxa"/>
            <w:tcBorders>
              <w:top w:val="nil"/>
              <w:left w:val="nil"/>
              <w:bottom w:val="nil"/>
              <w:right w:val="nil"/>
            </w:tcBorders>
            <w:shd w:val="clear" w:color="auto" w:fill="auto"/>
            <w:vAlign w:val="center"/>
            <w:hideMark/>
          </w:tcPr>
          <w:p w14:paraId="661213D4"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(4.705)</w:t>
            </w:r>
          </w:p>
        </w:tc>
        <w:tc>
          <w:tcPr>
            <w:tcW w:w="0" w:type="dxa"/>
            <w:tcBorders>
              <w:top w:val="nil"/>
              <w:left w:val="nil"/>
              <w:bottom w:val="nil"/>
              <w:right w:val="nil"/>
            </w:tcBorders>
            <w:shd w:val="clear" w:color="auto" w:fill="auto"/>
            <w:vAlign w:val="center"/>
            <w:hideMark/>
          </w:tcPr>
          <w:p w14:paraId="5E8FA16D"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(9.026)</w:t>
            </w:r>
          </w:p>
        </w:tc>
        <w:tc>
          <w:tcPr>
            <w:tcW w:w="0" w:type="dxa"/>
            <w:tcBorders>
              <w:top w:val="nil"/>
              <w:left w:val="nil"/>
              <w:bottom w:val="nil"/>
              <w:right w:val="nil"/>
            </w:tcBorders>
            <w:shd w:val="clear" w:color="auto" w:fill="auto"/>
            <w:hideMark/>
          </w:tcPr>
          <w:p w14:paraId="4730C4A3" w14:textId="77777777" w:rsidR="00182FC3" w:rsidRPr="00AA6D51" w:rsidRDefault="00182FC3" w:rsidP="008B50E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t>(</w:t>
            </w:r>
            <w:r w:rsidRPr="001A39EB">
              <w:t>47,9</w:t>
            </w:r>
            <w:r>
              <w:t>)</w:t>
            </w:r>
          </w:p>
        </w:tc>
      </w:tr>
      <w:tr w:rsidR="00182FC3" w:rsidRPr="00FA31E9" w14:paraId="4D0D5126"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1F4E79" w:themeColor="accent1" w:themeShade="80"/>
              <w:right w:val="nil"/>
            </w:tcBorders>
            <w:shd w:val="clear" w:color="auto" w:fill="auto"/>
            <w:hideMark/>
          </w:tcPr>
          <w:p w14:paraId="24C23B7F" w14:textId="77777777" w:rsidR="00182FC3" w:rsidRPr="00AA6D51" w:rsidRDefault="00182FC3" w:rsidP="008B50EE">
            <w:pPr>
              <w:pStyle w:val="08-Tabelageral"/>
              <w:jc w:val="left"/>
              <w:rPr>
                <w:rFonts w:cs="Arial"/>
                <w:b w:val="0"/>
                <w:snapToGrid w:val="0"/>
                <w:lang w:eastAsia="en-US"/>
              </w:rPr>
            </w:pPr>
            <w:r w:rsidRPr="00AA6D51">
              <w:rPr>
                <w:rFonts w:cs="Arial"/>
                <w:lang w:eastAsia="en-US"/>
              </w:rPr>
              <w:t xml:space="preserve">Lucro líquido </w:t>
            </w:r>
          </w:p>
        </w:tc>
        <w:tc>
          <w:tcPr>
            <w:tcW w:w="0" w:type="dxa"/>
            <w:tcBorders>
              <w:top w:val="nil"/>
              <w:left w:val="nil"/>
              <w:bottom w:val="single" w:sz="4" w:space="0" w:color="1F4E79" w:themeColor="accent1" w:themeShade="80"/>
              <w:right w:val="nil"/>
            </w:tcBorders>
            <w:shd w:val="clear" w:color="auto" w:fill="auto"/>
            <w:vAlign w:val="center"/>
            <w:hideMark/>
          </w:tcPr>
          <w:p w14:paraId="4A714B48"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3.933.217</w:t>
            </w:r>
          </w:p>
        </w:tc>
        <w:tc>
          <w:tcPr>
            <w:tcW w:w="0" w:type="dxa"/>
            <w:tcBorders>
              <w:top w:val="nil"/>
              <w:left w:val="nil"/>
              <w:bottom w:val="single" w:sz="4" w:space="0" w:color="1F4E79" w:themeColor="accent1" w:themeShade="80"/>
              <w:right w:val="nil"/>
            </w:tcBorders>
            <w:shd w:val="clear" w:color="auto" w:fill="auto"/>
            <w:vAlign w:val="center"/>
            <w:hideMark/>
          </w:tcPr>
          <w:p w14:paraId="7761E251" w14:textId="77777777" w:rsidR="00182FC3" w:rsidRPr="00AA6D51"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3.850.771</w:t>
            </w:r>
          </w:p>
        </w:tc>
        <w:tc>
          <w:tcPr>
            <w:tcW w:w="0" w:type="dxa"/>
            <w:tcBorders>
              <w:top w:val="nil"/>
              <w:left w:val="nil"/>
              <w:bottom w:val="single" w:sz="4" w:space="0" w:color="1F4E79" w:themeColor="accent1" w:themeShade="80"/>
              <w:right w:val="nil"/>
            </w:tcBorders>
            <w:shd w:val="clear" w:color="auto" w:fill="auto"/>
            <w:hideMark/>
          </w:tcPr>
          <w:p w14:paraId="0134437A" w14:textId="77777777" w:rsidR="00182FC3" w:rsidRPr="008B50EE" w:rsidRDefault="00182FC3" w:rsidP="008B50E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8B50EE">
              <w:rPr>
                <w:b/>
                <w:bCs/>
              </w:rPr>
              <w:t>2,1</w:t>
            </w:r>
          </w:p>
        </w:tc>
      </w:tr>
      <w:tr w:rsidR="00182FC3" w:rsidRPr="00FA31E9" w14:paraId="4DFC7AD1"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1F4E79" w:themeColor="accent1" w:themeShade="80"/>
              <w:left w:val="nil"/>
              <w:bottom w:val="nil"/>
              <w:right w:val="nil"/>
            </w:tcBorders>
            <w:shd w:val="clear" w:color="auto" w:fill="auto"/>
          </w:tcPr>
          <w:p w14:paraId="12EEF0A1" w14:textId="77777777" w:rsidR="00182FC3" w:rsidRPr="00FA31E9" w:rsidRDefault="00182FC3" w:rsidP="00402DCE">
            <w:pPr>
              <w:pStyle w:val="08-Tabelageral"/>
              <w:jc w:val="left"/>
              <w:rPr>
                <w:rFonts w:cs="Arial"/>
                <w:snapToGrid w:val="0"/>
                <w:highlight w:val="yellow"/>
                <w:lang w:eastAsia="en-US"/>
              </w:rPr>
            </w:pPr>
          </w:p>
        </w:tc>
        <w:tc>
          <w:tcPr>
            <w:tcW w:w="0" w:type="dxa"/>
            <w:tcBorders>
              <w:top w:val="single" w:sz="4" w:space="0" w:color="1F4E79" w:themeColor="accent1" w:themeShade="80"/>
              <w:left w:val="nil"/>
              <w:bottom w:val="nil"/>
              <w:right w:val="nil"/>
            </w:tcBorders>
            <w:shd w:val="clear" w:color="auto" w:fill="auto"/>
            <w:vAlign w:val="center"/>
          </w:tcPr>
          <w:p w14:paraId="73921CEA" w14:textId="77777777" w:rsidR="00182FC3" w:rsidRPr="00FA31E9"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highlight w:val="yellow"/>
                <w:lang w:eastAsia="en-US"/>
              </w:rPr>
            </w:pPr>
          </w:p>
        </w:tc>
        <w:tc>
          <w:tcPr>
            <w:tcW w:w="0" w:type="dxa"/>
            <w:tcBorders>
              <w:top w:val="single" w:sz="4" w:space="0" w:color="1F4E79" w:themeColor="accent1" w:themeShade="80"/>
              <w:left w:val="nil"/>
              <w:bottom w:val="nil"/>
              <w:right w:val="nil"/>
            </w:tcBorders>
            <w:shd w:val="clear" w:color="auto" w:fill="auto"/>
            <w:vAlign w:val="center"/>
          </w:tcPr>
          <w:p w14:paraId="476C2156" w14:textId="77777777" w:rsidR="00182FC3" w:rsidRPr="009B1893"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p>
        </w:tc>
        <w:tc>
          <w:tcPr>
            <w:tcW w:w="0" w:type="dxa"/>
            <w:tcBorders>
              <w:top w:val="single" w:sz="4" w:space="0" w:color="1F4E79" w:themeColor="accent1" w:themeShade="80"/>
              <w:left w:val="nil"/>
              <w:bottom w:val="nil"/>
              <w:right w:val="nil"/>
            </w:tcBorders>
            <w:shd w:val="clear" w:color="auto" w:fill="auto"/>
            <w:vAlign w:val="center"/>
          </w:tcPr>
          <w:p w14:paraId="1A47C27A" w14:textId="77777777" w:rsidR="00182FC3" w:rsidRPr="00FA31E9"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highlight w:val="yellow"/>
                <w:lang w:eastAsia="en-US"/>
              </w:rPr>
            </w:pPr>
          </w:p>
        </w:tc>
      </w:tr>
    </w:tbl>
    <w:p w14:paraId="2FA65CB9" w14:textId="77777777" w:rsidR="00182FC3" w:rsidRPr="00402DCE" w:rsidRDefault="00182FC3" w:rsidP="00402DCE">
      <w:pPr>
        <w:pStyle w:val="01-Textonormal"/>
        <w:rPr>
          <w:rFonts w:cs="Arial"/>
        </w:rPr>
      </w:pPr>
      <w:r w:rsidRPr="00402DCE">
        <w:rPr>
          <w:rFonts w:cs="Arial"/>
        </w:rPr>
        <w:t>Em 2021, a BB Seguridade apresentou lucro líquido de R$3.933,2 milhões, crescimento de 2,1%. Em 2020, ocorreu um evento, classificado como extraordinário, descrito a seguir:</w:t>
      </w:r>
    </w:p>
    <w:p w14:paraId="1C3FE62C" w14:textId="77777777" w:rsidR="00182FC3" w:rsidRPr="009B1893" w:rsidRDefault="00182FC3" w:rsidP="00402DCE">
      <w:pPr>
        <w:pStyle w:val="01-Textonormal"/>
        <w:rPr>
          <w:rFonts w:cs="Arial"/>
        </w:rPr>
      </w:pPr>
      <w:r w:rsidRPr="009B1893">
        <w:rPr>
          <w:rFonts w:cs="Arial"/>
          <w:b/>
          <w:bCs/>
        </w:rPr>
        <w:t xml:space="preserve">BB Corretora – doação contra Covid-19: </w:t>
      </w:r>
      <w:r w:rsidRPr="009B1893">
        <w:rPr>
          <w:rFonts w:cs="Arial"/>
        </w:rPr>
        <w:t>no segundo trimestre de 2020, como parte dos esforços da BB Seguridade para contribuir com as respostas aos impactos da pandemia da Covid-19, o Conselho de Administração aprovou uma doação de até R$40 milhões pela BB Corretora à Fundação Banco do Brasil (FBB), tendo como finalidade exclusiva a aquisição de alimentos e itens de higiene, de limpeza e de proteção individual necessários ao amparo social das populações carentes mais afetadas</w:t>
      </w:r>
      <w:r>
        <w:rPr>
          <w:rFonts w:cs="Arial"/>
        </w:rPr>
        <w:t xml:space="preserve">, sendo que </w:t>
      </w:r>
      <w:r w:rsidRPr="009B1893">
        <w:rPr>
          <w:rFonts w:cs="Arial"/>
        </w:rPr>
        <w:t>cerca de R$37,9 milhões</w:t>
      </w:r>
      <w:r>
        <w:rPr>
          <w:rFonts w:cs="Arial"/>
        </w:rPr>
        <w:t xml:space="preserve"> foram desembolsados no primeiro semestre de 2020</w:t>
      </w:r>
      <w:r w:rsidRPr="009B1893">
        <w:rPr>
          <w:rFonts w:cs="Arial"/>
        </w:rPr>
        <w:t xml:space="preserve"> e R$2,1 milhões entre os meses de julho e agosto</w:t>
      </w:r>
      <w:r>
        <w:rPr>
          <w:rFonts w:cs="Arial"/>
        </w:rPr>
        <w:t xml:space="preserve"> daquele ano</w:t>
      </w:r>
      <w:r w:rsidRPr="009B1893">
        <w:rPr>
          <w:rFonts w:cs="Arial"/>
        </w:rPr>
        <w:t>. Considerando o volume total desembolsado, o impacto negativo no lucro líquido foi de R$26,4 milhões.</w:t>
      </w:r>
    </w:p>
    <w:p w14:paraId="5A6DEBF7" w14:textId="77777777" w:rsidR="00182FC3" w:rsidRPr="00FA31E9" w:rsidRDefault="00182FC3" w:rsidP="00402DCE">
      <w:pPr>
        <w:pStyle w:val="01-Textonormal"/>
        <w:rPr>
          <w:rFonts w:cs="Arial"/>
          <w:highlight w:val="yellow"/>
        </w:rPr>
      </w:pPr>
    </w:p>
    <w:p w14:paraId="46025598" w14:textId="57BF703C" w:rsidR="00182FC3" w:rsidRPr="008B50EE" w:rsidRDefault="00182FC3" w:rsidP="00402DCE">
      <w:pPr>
        <w:pStyle w:val="01-Textonormal"/>
        <w:rPr>
          <w:rFonts w:cs="Arial"/>
        </w:rPr>
      </w:pPr>
      <w:bookmarkStart w:id="5" w:name="_Hlk63054176"/>
      <w:r w:rsidRPr="008B50EE">
        <w:rPr>
          <w:rFonts w:cs="Arial"/>
          <w:sz w:val="14"/>
          <w:szCs w:val="14"/>
        </w:rPr>
        <w:t xml:space="preserve">Tabela </w:t>
      </w:r>
      <w:r w:rsidR="00126F8B">
        <w:rPr>
          <w:rFonts w:cs="Arial"/>
          <w:noProof/>
          <w:sz w:val="14"/>
          <w:szCs w:val="14"/>
        </w:rPr>
        <w:t>2</w:t>
      </w:r>
      <w:r w:rsidRPr="008B50EE">
        <w:rPr>
          <w:sz w:val="14"/>
        </w:rPr>
        <w:t xml:space="preserve"> – Eventos Extraordinários</w:t>
      </w:r>
    </w:p>
    <w:tbl>
      <w:tblPr>
        <w:tblStyle w:val="TabeladeLista6Colorida-nfase5"/>
        <w:tblW w:w="9639" w:type="dxa"/>
        <w:jc w:val="center"/>
        <w:tblLook w:val="04A0" w:firstRow="1" w:lastRow="0" w:firstColumn="1" w:lastColumn="0" w:noHBand="0" w:noVBand="1"/>
      </w:tblPr>
      <w:tblGrid>
        <w:gridCol w:w="3659"/>
        <w:gridCol w:w="2251"/>
        <w:gridCol w:w="2251"/>
        <w:gridCol w:w="1478"/>
      </w:tblGrid>
      <w:tr w:rsidR="003E5CAD" w:rsidRPr="008B50EE" w14:paraId="5F9F7D23" w14:textId="77777777" w:rsidTr="003E5CA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tcPr>
          <w:p w14:paraId="629A9384" w14:textId="77777777" w:rsidR="00182FC3" w:rsidRPr="008B50EE" w:rsidRDefault="00182FC3" w:rsidP="00402DCE">
            <w:pPr>
              <w:pStyle w:val="08-Tabelageral"/>
              <w:jc w:val="left"/>
              <w:rPr>
                <w:rFonts w:cs="Arial"/>
                <w:lang w:eastAsia="en-US"/>
              </w:rPr>
            </w:pPr>
            <w:r>
              <w:rPr>
                <w:rFonts w:cs="Arial"/>
                <w:lang w:eastAsia="en-US"/>
              </w:rPr>
              <w:t>R$ mil</w:t>
            </w:r>
          </w:p>
        </w:tc>
        <w:tc>
          <w:tcPr>
            <w:tcW w:w="0" w:type="dxa"/>
            <w:gridSpan w:val="2"/>
            <w:tcBorders>
              <w:top w:val="single" w:sz="2" w:space="0" w:color="1F4E79" w:themeColor="accent1" w:themeShade="80"/>
              <w:left w:val="nil"/>
              <w:bottom w:val="nil"/>
              <w:right w:val="nil"/>
            </w:tcBorders>
            <w:shd w:val="clear" w:color="auto" w:fill="auto"/>
            <w:vAlign w:val="center"/>
            <w:hideMark/>
          </w:tcPr>
          <w:p w14:paraId="5F1A0CFD" w14:textId="77777777" w:rsidR="00182FC3" w:rsidRPr="008B50EE" w:rsidRDefault="00182FC3" w:rsidP="00402DCE">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8B50EE">
              <w:rPr>
                <w:rFonts w:cs="Arial"/>
                <w:lang w:eastAsia="en-US"/>
              </w:rPr>
              <w:t>Controlador</w:t>
            </w:r>
          </w:p>
        </w:tc>
        <w:tc>
          <w:tcPr>
            <w:tcW w:w="0"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05711E2E" w14:textId="77777777" w:rsidR="00182FC3" w:rsidRPr="008B50EE" w:rsidRDefault="00182FC3" w:rsidP="00402DCE">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8B50EE">
              <w:rPr>
                <w:rFonts w:cs="Arial"/>
                <w:lang w:eastAsia="en-US"/>
              </w:rPr>
              <w:t>Var.%</w:t>
            </w:r>
          </w:p>
        </w:tc>
      </w:tr>
      <w:tr w:rsidR="00182FC3" w:rsidRPr="008B50EE" w14:paraId="03B75EC2"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tcPr>
          <w:p w14:paraId="04908AED" w14:textId="77777777" w:rsidR="00182FC3" w:rsidRPr="008B50EE" w:rsidRDefault="00182FC3" w:rsidP="00402DCE">
            <w:pPr>
              <w:pStyle w:val="08-Tabelageral"/>
              <w:jc w:val="left"/>
              <w:rPr>
                <w:rFonts w:cs="Arial"/>
                <w:bCs w:val="0"/>
                <w:szCs w:val="14"/>
                <w:lang w:eastAsia="en-US"/>
              </w:rPr>
            </w:pPr>
          </w:p>
        </w:tc>
        <w:tc>
          <w:tcPr>
            <w:tcW w:w="0" w:type="dxa"/>
            <w:tcBorders>
              <w:top w:val="nil"/>
              <w:left w:val="nil"/>
              <w:bottom w:val="single" w:sz="2" w:space="0" w:color="1F4E79" w:themeColor="accent1" w:themeShade="80"/>
              <w:right w:val="nil"/>
            </w:tcBorders>
            <w:shd w:val="clear" w:color="auto" w:fill="auto"/>
            <w:vAlign w:val="center"/>
            <w:hideMark/>
          </w:tcPr>
          <w:p w14:paraId="382E4618" w14:textId="77777777" w:rsidR="00182FC3" w:rsidRPr="008B50EE" w:rsidRDefault="00182FC3" w:rsidP="00402DC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8B50EE">
              <w:rPr>
                <w:rFonts w:cs="Arial"/>
                <w:b/>
                <w:lang w:eastAsia="en-US"/>
              </w:rPr>
              <w:t>2021</w:t>
            </w:r>
          </w:p>
        </w:tc>
        <w:tc>
          <w:tcPr>
            <w:tcW w:w="0" w:type="dxa"/>
            <w:tcBorders>
              <w:top w:val="nil"/>
              <w:left w:val="nil"/>
              <w:bottom w:val="single" w:sz="2" w:space="0" w:color="1F4E79" w:themeColor="accent1" w:themeShade="80"/>
              <w:right w:val="nil"/>
            </w:tcBorders>
            <w:shd w:val="clear" w:color="auto" w:fill="auto"/>
            <w:vAlign w:val="center"/>
            <w:hideMark/>
          </w:tcPr>
          <w:p w14:paraId="6243CFB2" w14:textId="77777777" w:rsidR="00182FC3" w:rsidRPr="008B50EE" w:rsidRDefault="00182FC3" w:rsidP="00402DC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8B50EE">
              <w:rPr>
                <w:rFonts w:cs="Arial"/>
                <w:b/>
                <w:lang w:eastAsia="en-US"/>
              </w:rPr>
              <w:t>2020</w:t>
            </w: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5E83DCB8" w14:textId="77777777" w:rsidR="00182FC3" w:rsidRPr="008B50EE" w:rsidRDefault="00182FC3" w:rsidP="00402DCE">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r>
      <w:tr w:rsidR="00182FC3" w:rsidRPr="008B50EE" w14:paraId="1186BE71" w14:textId="77777777" w:rsidTr="003E5CAD">
        <w:trPr>
          <w:trHeight w:hRule="exact" w:val="358"/>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hideMark/>
          </w:tcPr>
          <w:p w14:paraId="2CBAD8C6" w14:textId="77777777" w:rsidR="00182FC3" w:rsidRPr="008B50EE" w:rsidRDefault="00182FC3" w:rsidP="00402DCE">
            <w:pPr>
              <w:pStyle w:val="08-Tabelageral"/>
              <w:jc w:val="left"/>
              <w:rPr>
                <w:rFonts w:cs="Arial"/>
                <w:snapToGrid w:val="0"/>
                <w:lang w:eastAsia="en-US"/>
              </w:rPr>
            </w:pPr>
            <w:r w:rsidRPr="008B50EE">
              <w:rPr>
                <w:rFonts w:cs="Arial"/>
                <w:lang w:eastAsia="en-US"/>
              </w:rPr>
              <w:t>Lucro líquido ajustado</w:t>
            </w:r>
          </w:p>
        </w:tc>
        <w:tc>
          <w:tcPr>
            <w:tcW w:w="0" w:type="dxa"/>
            <w:tcBorders>
              <w:top w:val="single" w:sz="2" w:space="0" w:color="1F4E79" w:themeColor="accent1" w:themeShade="80"/>
              <w:left w:val="nil"/>
              <w:bottom w:val="nil"/>
              <w:right w:val="nil"/>
            </w:tcBorders>
            <w:shd w:val="clear" w:color="auto" w:fill="auto"/>
            <w:vAlign w:val="center"/>
            <w:hideMark/>
          </w:tcPr>
          <w:p w14:paraId="171AE26C" w14:textId="77777777" w:rsidR="00182FC3" w:rsidRPr="008B50EE"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Pr>
                <w:rFonts w:cs="Arial"/>
                <w:b/>
                <w:bCs/>
                <w:color w:val="000000"/>
                <w:szCs w:val="14"/>
                <w:lang w:eastAsia="en-US"/>
              </w:rPr>
              <w:t>3.933.217</w:t>
            </w:r>
          </w:p>
        </w:tc>
        <w:tc>
          <w:tcPr>
            <w:tcW w:w="0" w:type="dxa"/>
            <w:tcBorders>
              <w:top w:val="single" w:sz="2" w:space="0" w:color="1F4E79" w:themeColor="accent1" w:themeShade="80"/>
              <w:left w:val="nil"/>
              <w:bottom w:val="nil"/>
              <w:right w:val="nil"/>
            </w:tcBorders>
            <w:shd w:val="clear" w:color="auto" w:fill="auto"/>
            <w:vAlign w:val="center"/>
            <w:hideMark/>
          </w:tcPr>
          <w:p w14:paraId="7D6D0F70" w14:textId="77777777" w:rsidR="00182FC3" w:rsidRPr="008B50EE"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8B50EE">
              <w:rPr>
                <w:rFonts w:cs="Arial"/>
                <w:b/>
                <w:bCs/>
                <w:color w:val="000000"/>
                <w:szCs w:val="14"/>
                <w:lang w:eastAsia="en-US"/>
              </w:rPr>
              <w:t>3.877.171</w:t>
            </w:r>
          </w:p>
        </w:tc>
        <w:tc>
          <w:tcPr>
            <w:tcW w:w="0" w:type="dxa"/>
            <w:tcBorders>
              <w:top w:val="single" w:sz="2" w:space="0" w:color="1F4E79" w:themeColor="accent1" w:themeShade="80"/>
              <w:left w:val="nil"/>
              <w:bottom w:val="nil"/>
              <w:right w:val="nil"/>
            </w:tcBorders>
            <w:shd w:val="clear" w:color="auto" w:fill="auto"/>
            <w:vAlign w:val="center"/>
            <w:hideMark/>
          </w:tcPr>
          <w:p w14:paraId="5BF64375" w14:textId="77777777" w:rsidR="00182FC3" w:rsidRPr="008B50EE"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Pr>
                <w:rFonts w:cs="Arial"/>
                <w:b/>
                <w:bCs/>
                <w:szCs w:val="14"/>
                <w:lang w:eastAsia="en-US"/>
              </w:rPr>
              <w:t>1,4</w:t>
            </w:r>
          </w:p>
        </w:tc>
      </w:tr>
      <w:tr w:rsidR="00182FC3" w:rsidRPr="008B50EE" w14:paraId="02725B02" w14:textId="77777777" w:rsidTr="003E5CA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944ADD8" w14:textId="77777777" w:rsidR="00182FC3" w:rsidRPr="008B50EE" w:rsidRDefault="00182FC3" w:rsidP="00402DCE">
            <w:pPr>
              <w:pStyle w:val="08-Tabelageral"/>
              <w:ind w:left="113"/>
              <w:jc w:val="left"/>
              <w:rPr>
                <w:rFonts w:cs="Arial"/>
                <w:snapToGrid w:val="0"/>
                <w:lang w:eastAsia="en-US"/>
              </w:rPr>
            </w:pPr>
            <w:r w:rsidRPr="008B50EE">
              <w:rPr>
                <w:rFonts w:cs="Arial"/>
                <w:lang w:eastAsia="en-US"/>
              </w:rPr>
              <w:t>Eventos Extraordinários</w:t>
            </w:r>
          </w:p>
        </w:tc>
        <w:tc>
          <w:tcPr>
            <w:tcW w:w="0" w:type="dxa"/>
            <w:tcBorders>
              <w:top w:val="nil"/>
              <w:left w:val="nil"/>
              <w:bottom w:val="nil"/>
              <w:right w:val="nil"/>
            </w:tcBorders>
            <w:shd w:val="clear" w:color="auto" w:fill="auto"/>
            <w:vAlign w:val="center"/>
            <w:hideMark/>
          </w:tcPr>
          <w:p w14:paraId="5ACE2B88" w14:textId="18EDAD21" w:rsidR="00182FC3" w:rsidRPr="008B50EE" w:rsidRDefault="00F97A88" w:rsidP="00402DC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szCs w:val="14"/>
                <w:lang w:eastAsia="en-US"/>
              </w:rPr>
              <w:t>-</w:t>
            </w:r>
            <w:r w:rsidR="00182FC3">
              <w:rPr>
                <w:rFonts w:cs="Arial"/>
                <w:b/>
                <w:bCs/>
                <w:szCs w:val="14"/>
                <w:lang w:eastAsia="en-US"/>
              </w:rPr>
              <w:t>-</w:t>
            </w:r>
          </w:p>
        </w:tc>
        <w:tc>
          <w:tcPr>
            <w:tcW w:w="0" w:type="dxa"/>
            <w:tcBorders>
              <w:top w:val="nil"/>
              <w:left w:val="nil"/>
              <w:bottom w:val="nil"/>
              <w:right w:val="nil"/>
            </w:tcBorders>
            <w:shd w:val="clear" w:color="auto" w:fill="auto"/>
            <w:vAlign w:val="center"/>
            <w:hideMark/>
          </w:tcPr>
          <w:p w14:paraId="3268E82F" w14:textId="77777777" w:rsidR="00182FC3" w:rsidRPr="008B50EE" w:rsidRDefault="00182FC3" w:rsidP="00402DC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8B50EE">
              <w:rPr>
                <w:rFonts w:cs="Arial"/>
                <w:b/>
                <w:bCs/>
                <w:color w:val="auto"/>
                <w:szCs w:val="14"/>
                <w:lang w:eastAsia="en-US"/>
              </w:rPr>
              <w:t>(26.400)</w:t>
            </w:r>
          </w:p>
        </w:tc>
        <w:tc>
          <w:tcPr>
            <w:tcW w:w="0" w:type="dxa"/>
            <w:tcBorders>
              <w:top w:val="nil"/>
              <w:left w:val="nil"/>
              <w:bottom w:val="nil"/>
              <w:right w:val="nil"/>
            </w:tcBorders>
            <w:shd w:val="clear" w:color="auto" w:fill="auto"/>
            <w:vAlign w:val="center"/>
            <w:hideMark/>
          </w:tcPr>
          <w:p w14:paraId="7DA01C80" w14:textId="2F04D9C3" w:rsidR="00182FC3" w:rsidRPr="008B50EE" w:rsidRDefault="00F97A88" w:rsidP="00402DC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auto"/>
                <w:szCs w:val="14"/>
                <w:lang w:eastAsia="en-US"/>
              </w:rPr>
              <w:t>-</w:t>
            </w:r>
            <w:r w:rsidR="00182FC3" w:rsidRPr="008B50EE">
              <w:rPr>
                <w:rFonts w:cs="Arial"/>
                <w:b/>
                <w:bCs/>
                <w:color w:val="auto"/>
                <w:szCs w:val="14"/>
                <w:lang w:eastAsia="en-US"/>
              </w:rPr>
              <w:t>-</w:t>
            </w:r>
          </w:p>
        </w:tc>
      </w:tr>
      <w:tr w:rsidR="00182FC3" w:rsidRPr="008B50EE" w14:paraId="4B1F66F7" w14:textId="77777777" w:rsidTr="003E5CA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819FC9E" w14:textId="77777777" w:rsidR="00182FC3" w:rsidRPr="008B50EE" w:rsidRDefault="00182FC3" w:rsidP="00402DCE">
            <w:pPr>
              <w:pStyle w:val="08-Tabelageral"/>
              <w:ind w:left="113"/>
              <w:jc w:val="left"/>
              <w:rPr>
                <w:rFonts w:cs="Arial"/>
                <w:b w:val="0"/>
                <w:lang w:eastAsia="en-US"/>
              </w:rPr>
            </w:pPr>
            <w:r w:rsidRPr="008B50EE">
              <w:rPr>
                <w:rFonts w:cs="Arial"/>
                <w:b w:val="0"/>
                <w:lang w:eastAsia="en-US"/>
              </w:rPr>
              <w:t>BB Corretora: Doação contra Covid-19</w:t>
            </w:r>
          </w:p>
        </w:tc>
        <w:tc>
          <w:tcPr>
            <w:tcW w:w="0" w:type="dxa"/>
            <w:tcBorders>
              <w:top w:val="nil"/>
              <w:left w:val="nil"/>
              <w:bottom w:val="nil"/>
              <w:right w:val="nil"/>
            </w:tcBorders>
            <w:shd w:val="clear" w:color="auto" w:fill="auto"/>
            <w:vAlign w:val="center"/>
            <w:hideMark/>
          </w:tcPr>
          <w:p w14:paraId="17FD2FA4" w14:textId="7117898D" w:rsidR="00182FC3" w:rsidRPr="008B50EE" w:rsidRDefault="00F97A88" w:rsidP="00402DCE">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Pr>
                <w:rFonts w:cs="Arial"/>
                <w:lang w:eastAsia="en-US"/>
              </w:rPr>
              <w:t>-</w:t>
            </w:r>
            <w:r w:rsidR="00182FC3" w:rsidRPr="008B50EE">
              <w:rPr>
                <w:rFonts w:cs="Arial"/>
                <w:lang w:eastAsia="en-US"/>
              </w:rPr>
              <w:t>-</w:t>
            </w:r>
          </w:p>
        </w:tc>
        <w:tc>
          <w:tcPr>
            <w:tcW w:w="0" w:type="dxa"/>
            <w:tcBorders>
              <w:top w:val="nil"/>
              <w:left w:val="nil"/>
              <w:bottom w:val="nil"/>
              <w:right w:val="nil"/>
            </w:tcBorders>
            <w:shd w:val="clear" w:color="auto" w:fill="auto"/>
            <w:vAlign w:val="center"/>
            <w:hideMark/>
          </w:tcPr>
          <w:p w14:paraId="671962E5" w14:textId="77777777" w:rsidR="00182FC3" w:rsidRPr="008B50EE" w:rsidRDefault="00182FC3" w:rsidP="00402DCE">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B50EE">
              <w:rPr>
                <w:rFonts w:cs="Arial"/>
                <w:lang w:eastAsia="en-US"/>
              </w:rPr>
              <w:t>(26.400)</w:t>
            </w:r>
          </w:p>
        </w:tc>
        <w:tc>
          <w:tcPr>
            <w:tcW w:w="0" w:type="dxa"/>
            <w:tcBorders>
              <w:top w:val="nil"/>
              <w:left w:val="nil"/>
              <w:bottom w:val="nil"/>
              <w:right w:val="nil"/>
            </w:tcBorders>
            <w:shd w:val="clear" w:color="auto" w:fill="auto"/>
            <w:vAlign w:val="center"/>
            <w:hideMark/>
          </w:tcPr>
          <w:p w14:paraId="53F3CD7F" w14:textId="6822EB46" w:rsidR="00182FC3" w:rsidRPr="008B50EE" w:rsidRDefault="00F97A88" w:rsidP="00402DCE">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color w:val="auto"/>
                <w:szCs w:val="14"/>
                <w:lang w:eastAsia="en-US"/>
              </w:rPr>
              <w:t>-</w:t>
            </w:r>
            <w:r w:rsidR="00182FC3" w:rsidRPr="008B50EE">
              <w:rPr>
                <w:rFonts w:cs="Arial"/>
                <w:color w:val="auto"/>
                <w:szCs w:val="14"/>
                <w:lang w:eastAsia="en-US"/>
              </w:rPr>
              <w:t>-</w:t>
            </w:r>
          </w:p>
        </w:tc>
      </w:tr>
      <w:tr w:rsidR="00182FC3" w:rsidRPr="00FA31E9" w14:paraId="0008977C" w14:textId="77777777" w:rsidTr="003E5CAD">
        <w:trPr>
          <w:cnfStyle w:val="000000100000" w:firstRow="0" w:lastRow="0" w:firstColumn="0" w:lastColumn="0" w:oddVBand="0" w:evenVBand="0" w:oddHBand="1" w:evenHBand="0" w:firstRowFirstColumn="0" w:firstRowLastColumn="0" w:lastRowFirstColumn="0" w:lastRowLastColumn="0"/>
          <w:trHeight w:hRule="exact" w:val="357"/>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vAlign w:val="center"/>
            <w:hideMark/>
          </w:tcPr>
          <w:p w14:paraId="0EBDE5CE" w14:textId="77777777" w:rsidR="00182FC3" w:rsidRPr="008B50EE" w:rsidRDefault="00182FC3" w:rsidP="00402DCE">
            <w:pPr>
              <w:pStyle w:val="08-Tabelageral"/>
              <w:jc w:val="left"/>
              <w:rPr>
                <w:rFonts w:cs="Arial"/>
                <w:snapToGrid w:val="0"/>
                <w:lang w:eastAsia="en-US"/>
              </w:rPr>
            </w:pPr>
            <w:r w:rsidRPr="008B50EE">
              <w:rPr>
                <w:rFonts w:cs="Arial"/>
                <w:lang w:eastAsia="en-US"/>
              </w:rPr>
              <w:t xml:space="preserve">Lucro líquido </w:t>
            </w:r>
          </w:p>
        </w:tc>
        <w:tc>
          <w:tcPr>
            <w:tcW w:w="0" w:type="dxa"/>
            <w:tcBorders>
              <w:top w:val="nil"/>
              <w:left w:val="nil"/>
              <w:bottom w:val="single" w:sz="2" w:space="0" w:color="1F4E79" w:themeColor="accent1" w:themeShade="80"/>
              <w:right w:val="nil"/>
            </w:tcBorders>
            <w:shd w:val="clear" w:color="auto" w:fill="auto"/>
            <w:vAlign w:val="center"/>
            <w:hideMark/>
          </w:tcPr>
          <w:p w14:paraId="2625BBAC" w14:textId="77777777" w:rsidR="00182FC3" w:rsidRPr="008B50EE" w:rsidRDefault="00182FC3" w:rsidP="00402DC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8B50EE">
              <w:rPr>
                <w:rFonts w:cs="Arial"/>
                <w:b/>
                <w:bCs/>
                <w:szCs w:val="14"/>
                <w:lang w:eastAsia="en-US"/>
              </w:rPr>
              <w:t>3.</w:t>
            </w:r>
            <w:r>
              <w:rPr>
                <w:rFonts w:cs="Arial"/>
                <w:b/>
                <w:bCs/>
                <w:szCs w:val="14"/>
                <w:lang w:eastAsia="en-US"/>
              </w:rPr>
              <w:t>933.217</w:t>
            </w:r>
          </w:p>
        </w:tc>
        <w:tc>
          <w:tcPr>
            <w:tcW w:w="0" w:type="dxa"/>
            <w:tcBorders>
              <w:top w:val="nil"/>
              <w:left w:val="nil"/>
              <w:bottom w:val="single" w:sz="2" w:space="0" w:color="1F4E79" w:themeColor="accent1" w:themeShade="80"/>
              <w:right w:val="nil"/>
            </w:tcBorders>
            <w:shd w:val="clear" w:color="auto" w:fill="auto"/>
            <w:vAlign w:val="center"/>
            <w:hideMark/>
          </w:tcPr>
          <w:p w14:paraId="109D72EE" w14:textId="77777777" w:rsidR="00182FC3" w:rsidRPr="008B50EE" w:rsidRDefault="00182FC3" w:rsidP="00402DCE">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8B50EE">
              <w:rPr>
                <w:rFonts w:cs="Arial"/>
                <w:b/>
                <w:bCs/>
                <w:szCs w:val="14"/>
                <w:lang w:eastAsia="en-US"/>
              </w:rPr>
              <w:t>3.850.771</w:t>
            </w:r>
          </w:p>
        </w:tc>
        <w:tc>
          <w:tcPr>
            <w:tcW w:w="0" w:type="dxa"/>
            <w:tcBorders>
              <w:top w:val="nil"/>
              <w:left w:val="nil"/>
              <w:bottom w:val="single" w:sz="2" w:space="0" w:color="1F4E79" w:themeColor="accent1" w:themeShade="80"/>
              <w:right w:val="nil"/>
            </w:tcBorders>
            <w:shd w:val="clear" w:color="auto" w:fill="auto"/>
            <w:vAlign w:val="center"/>
            <w:hideMark/>
          </w:tcPr>
          <w:p w14:paraId="034EC5D8" w14:textId="77777777" w:rsidR="00182FC3" w:rsidRPr="008B50EE" w:rsidRDefault="00182FC3" w:rsidP="00402DCE">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Pr>
                <w:rFonts w:cs="Arial"/>
                <w:b/>
                <w:bCs/>
                <w:szCs w:val="14"/>
                <w:lang w:eastAsia="en-US"/>
              </w:rPr>
              <w:t>2,1</w:t>
            </w:r>
          </w:p>
        </w:tc>
      </w:tr>
      <w:bookmarkEnd w:id="5"/>
    </w:tbl>
    <w:p w14:paraId="64A82360" w14:textId="77777777" w:rsidR="00182FC3" w:rsidRPr="00FA31E9" w:rsidRDefault="00182FC3" w:rsidP="00402DCE">
      <w:pPr>
        <w:pStyle w:val="01-Textonormal"/>
        <w:rPr>
          <w:rFonts w:cs="Arial"/>
          <w:highlight w:val="yellow"/>
        </w:rPr>
      </w:pPr>
    </w:p>
    <w:p w14:paraId="2161F49C" w14:textId="77777777" w:rsidR="00182FC3" w:rsidRDefault="00182FC3" w:rsidP="00F97A88">
      <w:pPr>
        <w:pStyle w:val="01-Textonormal"/>
        <w:keepNext/>
        <w:keepLines/>
        <w:pageBreakBefore/>
        <w:rPr>
          <w:rFonts w:cs="Arial"/>
        </w:rPr>
      </w:pPr>
      <w:r w:rsidRPr="00402DCE">
        <w:rPr>
          <w:rFonts w:cs="Arial"/>
        </w:rPr>
        <w:lastRenderedPageBreak/>
        <w:t xml:space="preserve">Descontando o evento classificado como extraordinário </w:t>
      </w:r>
      <w:r>
        <w:rPr>
          <w:rFonts w:cs="Arial"/>
        </w:rPr>
        <w:t>na tabela 2</w:t>
      </w:r>
      <w:r w:rsidRPr="00402DCE">
        <w:rPr>
          <w:rFonts w:cs="Arial"/>
        </w:rPr>
        <w:t xml:space="preserve">, que afetou </w:t>
      </w:r>
      <w:r>
        <w:rPr>
          <w:rFonts w:cs="Arial"/>
        </w:rPr>
        <w:t>a base de comparação d</w:t>
      </w:r>
      <w:r w:rsidRPr="00402DCE">
        <w:rPr>
          <w:rFonts w:cs="Arial"/>
        </w:rPr>
        <w:t xml:space="preserve">as receitas de investimentos em participações societárias, o lucro líquido ajustado em 2021 subiu 1,4%. </w:t>
      </w:r>
      <w:bookmarkStart w:id="6" w:name="_Hlk94198998"/>
      <w:r w:rsidRPr="00402DCE">
        <w:rPr>
          <w:rFonts w:cs="Arial"/>
        </w:rPr>
        <w:t>Dentre os fatores que explicam o incremento de R$56,0 milhões do lucro líquido do ano, em bases recorrentes, destacam-se</w:t>
      </w:r>
      <w:bookmarkEnd w:id="6"/>
      <w:r w:rsidRPr="00402DCE">
        <w:rPr>
          <w:rFonts w:cs="Arial"/>
        </w:rPr>
        <w:t>:</w:t>
      </w:r>
    </w:p>
    <w:p w14:paraId="45F1CC4E" w14:textId="77777777" w:rsidR="00182FC3" w:rsidRDefault="00182FC3" w:rsidP="0081392E">
      <w:pPr>
        <w:pStyle w:val="10-Lista2"/>
        <w:rPr>
          <w:rFonts w:cs="Arial"/>
        </w:rPr>
      </w:pPr>
      <w:r w:rsidRPr="0081392E">
        <w:rPr>
          <w:rFonts w:cs="Arial"/>
          <w:b/>
          <w:bCs/>
        </w:rPr>
        <w:t>BB Corretora (+R$166,5 milhões):</w:t>
      </w:r>
      <w:r w:rsidRPr="0081392E">
        <w:rPr>
          <w:rFonts w:cs="Arial"/>
        </w:rPr>
        <w:t xml:space="preserve"> </w:t>
      </w:r>
      <w:r>
        <w:rPr>
          <w:rFonts w:cs="Arial"/>
        </w:rPr>
        <w:t>com</w:t>
      </w:r>
      <w:r w:rsidRPr="0081392E">
        <w:rPr>
          <w:rFonts w:cs="Arial"/>
        </w:rPr>
        <w:t xml:space="preserve"> maiores receitas de corretagem</w:t>
      </w:r>
      <w:r>
        <w:rPr>
          <w:rFonts w:cs="Arial"/>
        </w:rPr>
        <w:t>, suportadas pelo bom desempenho comercial</w:t>
      </w:r>
      <w:r w:rsidRPr="0081392E">
        <w:rPr>
          <w:rFonts w:cs="Arial"/>
        </w:rPr>
        <w:t xml:space="preserve"> das principais linhas de negócios</w:t>
      </w:r>
      <w:r>
        <w:rPr>
          <w:rFonts w:cs="Arial"/>
        </w:rPr>
        <w:t>;</w:t>
      </w:r>
    </w:p>
    <w:p w14:paraId="683798B0" w14:textId="77777777" w:rsidR="00182FC3" w:rsidRDefault="00182FC3" w:rsidP="0081392E">
      <w:pPr>
        <w:pStyle w:val="10-Lista2"/>
      </w:pPr>
      <w:bookmarkStart w:id="7" w:name="_Hlk94199047"/>
      <w:r>
        <w:rPr>
          <w:rFonts w:cs="Arial"/>
          <w:b/>
          <w:bCs/>
        </w:rPr>
        <w:t>Brasilprev (+R$70,2 milhões):</w:t>
      </w:r>
      <w:r>
        <w:rPr>
          <w:rFonts w:cs="Arial"/>
        </w:rPr>
        <w:t xml:space="preserve"> </w:t>
      </w:r>
      <w:r>
        <w:t>suportado pelo crescimento consistente do resultado operacional, parcialmente compensado pelo resultado negativo de marcação a mercado dos títulos de renda fixa.</w:t>
      </w:r>
    </w:p>
    <w:p w14:paraId="37E9754D" w14:textId="77777777" w:rsidR="00182FC3" w:rsidRDefault="00182FC3" w:rsidP="0081392E">
      <w:pPr>
        <w:pStyle w:val="01-Textonormal"/>
        <w:rPr>
          <w:rFonts w:cs="Arial"/>
        </w:rPr>
      </w:pPr>
      <w:r w:rsidRPr="0081392E">
        <w:rPr>
          <w:rFonts w:cs="Arial"/>
        </w:rPr>
        <w:t xml:space="preserve">Por outro lado, o resultado advindo da Brasilcap retraiu R$103,4 milhões, explicado </w:t>
      </w:r>
      <w:r>
        <w:rPr>
          <w:rFonts w:cs="Arial"/>
        </w:rPr>
        <w:t>pelo prejuízo financeiro registrado após a realização de perda na venda de títulos pré-fixados classificados na categoria disponível para venda, enquanto</w:t>
      </w:r>
      <w:r w:rsidRPr="0081392E">
        <w:rPr>
          <w:rFonts w:cs="Arial"/>
        </w:rPr>
        <w:t xml:space="preserve"> a contribuição vinda da Brasilseg foi R$19,5 </w:t>
      </w:r>
      <w:r>
        <w:rPr>
          <w:rFonts w:cs="Arial"/>
        </w:rPr>
        <w:t xml:space="preserve">milhões </w:t>
      </w:r>
      <w:r w:rsidRPr="0081392E">
        <w:rPr>
          <w:rFonts w:cs="Arial"/>
        </w:rPr>
        <w:t>inferior, em razão da piora da sinistralidade e maior</w:t>
      </w:r>
      <w:r>
        <w:rPr>
          <w:rFonts w:cs="Arial"/>
        </w:rPr>
        <w:t xml:space="preserve"> alíquota efetiva de impostos, decorrente do aumento temporário da CSLL em 5 p.p. no segundo semestre de 2021.</w:t>
      </w:r>
    </w:p>
    <w:bookmarkEnd w:id="7"/>
    <w:p w14:paraId="1245CAE4" w14:textId="77777777" w:rsidR="00182FC3" w:rsidRDefault="00182FC3" w:rsidP="0081392E">
      <w:pPr>
        <w:pStyle w:val="01-Textonormal"/>
        <w:rPr>
          <w:rFonts w:cs="Arial"/>
        </w:rPr>
      </w:pPr>
      <w:r>
        <w:rPr>
          <w:rFonts w:cs="Arial"/>
        </w:rPr>
        <w:t>Os desempenhos individuais das investidas serão detalhados com maior profundidade a seguir.</w:t>
      </w:r>
    </w:p>
    <w:p w14:paraId="1A853DFC" w14:textId="77777777" w:rsidR="00182FC3" w:rsidRPr="00F4395B" w:rsidRDefault="00182FC3" w:rsidP="00402DCE">
      <w:pPr>
        <w:pStyle w:val="05-Textonormal"/>
        <w:rPr>
          <w:rFonts w:cs="Arial"/>
        </w:rPr>
      </w:pPr>
      <w:r w:rsidRPr="00F4395B">
        <w:rPr>
          <w:rFonts w:cs="Arial"/>
        </w:rPr>
        <w:t>A linha de outras receitas e despesas teve seu saldo negativo reduzido em 21,2% no ano. A queda de 42,9% das despesas tributárias</w:t>
      </w:r>
      <w:r>
        <w:rPr>
          <w:rFonts w:cs="Arial"/>
        </w:rPr>
        <w:t>,</w:t>
      </w:r>
      <w:r w:rsidRPr="00F4395B">
        <w:rPr>
          <w:rFonts w:cs="Arial"/>
        </w:rPr>
        <w:t xml:space="preserve"> concentrada </w:t>
      </w:r>
      <w:r>
        <w:rPr>
          <w:rFonts w:cs="Arial"/>
        </w:rPr>
        <w:t>em</w:t>
      </w:r>
      <w:r w:rsidRPr="00F4395B">
        <w:rPr>
          <w:rFonts w:cs="Arial"/>
        </w:rPr>
        <w:t xml:space="preserve"> PIS e Cofins incidentes essencialmente sobre as receitas financeiras, que</w:t>
      </w:r>
      <w:r>
        <w:rPr>
          <w:rFonts w:cs="Arial"/>
        </w:rPr>
        <w:t xml:space="preserve"> por sua vez</w:t>
      </w:r>
      <w:r w:rsidRPr="00F4395B">
        <w:rPr>
          <w:rFonts w:cs="Arial"/>
        </w:rPr>
        <w:t xml:space="preserve"> retraíram 57,0%, e o aumento de 11,0% das receitas reconhecidas do programa de ADR Nível 1</w:t>
      </w:r>
      <w:r>
        <w:rPr>
          <w:rFonts w:cs="Arial"/>
        </w:rPr>
        <w:t>,</w:t>
      </w:r>
      <w:r w:rsidRPr="00F4395B">
        <w:rPr>
          <w:rFonts w:cs="Arial"/>
        </w:rPr>
        <w:t xml:space="preserve"> em decorrência do maior volume negociado</w:t>
      </w:r>
      <w:r>
        <w:rPr>
          <w:rFonts w:cs="Arial"/>
        </w:rPr>
        <w:t>,</w:t>
      </w:r>
      <w:r w:rsidRPr="00F4395B">
        <w:rPr>
          <w:rFonts w:cs="Arial"/>
        </w:rPr>
        <w:t xml:space="preserve"> são os principais </w:t>
      </w:r>
      <w:r>
        <w:rPr>
          <w:rFonts w:cs="Arial"/>
        </w:rPr>
        <w:t>fatores que explicam a variação.</w:t>
      </w:r>
      <w:r w:rsidRPr="00F4395B">
        <w:rPr>
          <w:rFonts w:cs="Arial"/>
        </w:rPr>
        <w:t xml:space="preserve"> </w:t>
      </w:r>
    </w:p>
    <w:p w14:paraId="04A7A605" w14:textId="77777777" w:rsidR="00182FC3" w:rsidRDefault="00182FC3" w:rsidP="00402DCE">
      <w:pPr>
        <w:pStyle w:val="05-Textonormal"/>
        <w:rPr>
          <w:rFonts w:cs="Arial"/>
          <w:highlight w:val="yellow"/>
        </w:rPr>
      </w:pPr>
    </w:p>
    <w:p w14:paraId="2E98CD82" w14:textId="77777777" w:rsidR="00182FC3" w:rsidRPr="00874E75" w:rsidRDefault="00182FC3" w:rsidP="00A26587">
      <w:pPr>
        <w:pStyle w:val="01-TtulodeNota"/>
        <w:rPr>
          <w:color w:val="1F4E79" w:themeColor="accent1" w:themeShade="80"/>
        </w:rPr>
      </w:pPr>
      <w:bookmarkStart w:id="8" w:name="_Hlk94626662"/>
      <w:r w:rsidRPr="00874E75">
        <w:rPr>
          <w:color w:val="1F4E79" w:themeColor="accent1" w:themeShade="80"/>
        </w:rPr>
        <w:t>Participações acionárias</w:t>
      </w:r>
    </w:p>
    <w:p w14:paraId="3710B6D7" w14:textId="77777777" w:rsidR="00182FC3" w:rsidRPr="00874E75" w:rsidRDefault="00182FC3" w:rsidP="00A26587">
      <w:pPr>
        <w:pStyle w:val="05-Textonormal"/>
        <w:rPr>
          <w:rFonts w:cs="Arial"/>
        </w:rPr>
      </w:pPr>
      <w:r w:rsidRPr="00874E75">
        <w:rPr>
          <w:rFonts w:cs="Arial"/>
        </w:rPr>
        <w:t>Atendendo ao art. 243 da Lei 6.404/76, o quadro a seguir relaciona os investimentos da BB Seguridade em empresas investidas, bem como as modificações ocorridas durante o exercício</w:t>
      </w:r>
      <w:r>
        <w:rPr>
          <w:rFonts w:cs="Arial"/>
        </w:rPr>
        <w:t xml:space="preserve">. Os movimentos ocorridos no exercício são detalhados na Nota Explicativa 7.b) às Demonstrações Contábeis. </w:t>
      </w:r>
    </w:p>
    <w:p w14:paraId="17431BF1" w14:textId="1B120042" w:rsidR="00182FC3" w:rsidRPr="00D52611" w:rsidRDefault="00182FC3" w:rsidP="00A26587">
      <w:pPr>
        <w:pStyle w:val="01-TtulodeNota"/>
        <w:rPr>
          <w:b w:val="0"/>
          <w:sz w:val="14"/>
        </w:rPr>
      </w:pPr>
      <w:r w:rsidRPr="00D52611">
        <w:rPr>
          <w:rFonts w:cs="Arial"/>
          <w:b w:val="0"/>
          <w:sz w:val="14"/>
          <w:szCs w:val="14"/>
        </w:rPr>
        <w:t xml:space="preserve">Tabela </w:t>
      </w:r>
      <w:r w:rsidR="00126F8B">
        <w:rPr>
          <w:rFonts w:cs="Arial"/>
          <w:b w:val="0"/>
          <w:noProof/>
          <w:sz w:val="14"/>
          <w:szCs w:val="14"/>
        </w:rPr>
        <w:t>3</w:t>
      </w:r>
      <w:r w:rsidRPr="00D52611">
        <w:rPr>
          <w:b w:val="0"/>
          <w:sz w:val="14"/>
        </w:rPr>
        <w:t xml:space="preserve"> – Desempenho econômico-financeiro | Participações Acionárias</w:t>
      </w:r>
    </w:p>
    <w:tbl>
      <w:tblPr>
        <w:tblStyle w:val="TabeladeLista6Colorida-nfase5"/>
        <w:tblW w:w="9639" w:type="dxa"/>
        <w:tblLook w:val="04A0" w:firstRow="1" w:lastRow="0" w:firstColumn="1" w:lastColumn="0" w:noHBand="0" w:noVBand="1"/>
      </w:tblPr>
      <w:tblGrid>
        <w:gridCol w:w="1769"/>
        <w:gridCol w:w="1657"/>
        <w:gridCol w:w="1647"/>
        <w:gridCol w:w="1350"/>
        <w:gridCol w:w="1350"/>
        <w:gridCol w:w="1866"/>
      </w:tblGrid>
      <w:tr w:rsidR="00182FC3" w:rsidRPr="00D52611" w14:paraId="6A6CEDA3" w14:textId="77777777" w:rsidTr="003E5CAD">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tcPr>
          <w:p w14:paraId="0493AB1F" w14:textId="77777777" w:rsidR="00182FC3" w:rsidRPr="00D52611" w:rsidRDefault="00182FC3" w:rsidP="00DC29B8">
            <w:pPr>
              <w:pStyle w:val="08-Tabelageral"/>
              <w:jc w:val="left"/>
              <w:rPr>
                <w:rFonts w:cs="Arial"/>
                <w:lang w:eastAsia="en-US"/>
              </w:rPr>
            </w:pPr>
            <w:r>
              <w:rPr>
                <w:rFonts w:cs="Arial"/>
                <w:lang w:eastAsia="en-US"/>
              </w:rPr>
              <w:t>R$ mil</w:t>
            </w:r>
          </w:p>
        </w:tc>
        <w:tc>
          <w:tcPr>
            <w:tcW w:w="0" w:type="dxa"/>
            <w:tcBorders>
              <w:top w:val="single" w:sz="2" w:space="0" w:color="1F4E79" w:themeColor="accent1" w:themeShade="80"/>
              <w:left w:val="nil"/>
              <w:bottom w:val="nil"/>
              <w:right w:val="nil"/>
            </w:tcBorders>
            <w:shd w:val="clear" w:color="auto" w:fill="auto"/>
            <w:vAlign w:val="center"/>
          </w:tcPr>
          <w:p w14:paraId="30186B13" w14:textId="77777777" w:rsidR="00182FC3" w:rsidRPr="00D52611" w:rsidRDefault="00182FC3" w:rsidP="00DC29B8">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0" w:type="dxa"/>
            <w:tcBorders>
              <w:top w:val="single" w:sz="2" w:space="0" w:color="1F4E79" w:themeColor="accent1" w:themeShade="80"/>
              <w:left w:val="nil"/>
              <w:bottom w:val="nil"/>
              <w:right w:val="nil"/>
            </w:tcBorders>
            <w:shd w:val="clear" w:color="auto" w:fill="auto"/>
            <w:vAlign w:val="center"/>
            <w:hideMark/>
          </w:tcPr>
          <w:p w14:paraId="33D09530" w14:textId="77777777" w:rsidR="00182FC3" w:rsidRPr="00D52611" w:rsidRDefault="00182FC3" w:rsidP="00DC29B8">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r w:rsidRPr="00D52611">
              <w:rPr>
                <w:rFonts w:cs="Arial"/>
                <w:lang w:eastAsia="en-US"/>
              </w:rPr>
              <w:t>Participação (%)</w:t>
            </w:r>
          </w:p>
        </w:tc>
        <w:tc>
          <w:tcPr>
            <w:tcW w:w="0" w:type="dxa"/>
            <w:gridSpan w:val="2"/>
            <w:tcBorders>
              <w:top w:val="single" w:sz="2" w:space="0" w:color="1F4E79" w:themeColor="accent1" w:themeShade="80"/>
              <w:left w:val="nil"/>
              <w:bottom w:val="nil"/>
              <w:right w:val="nil"/>
            </w:tcBorders>
            <w:shd w:val="clear" w:color="auto" w:fill="auto"/>
            <w:vAlign w:val="center"/>
            <w:hideMark/>
          </w:tcPr>
          <w:p w14:paraId="63F831BF" w14:textId="77777777" w:rsidR="00182FC3" w:rsidRPr="00D52611" w:rsidRDefault="00182FC3" w:rsidP="00DC29B8">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Saldo do Investimento</w:t>
            </w:r>
          </w:p>
        </w:tc>
        <w:tc>
          <w:tcPr>
            <w:tcW w:w="0" w:type="dxa"/>
            <w:tcBorders>
              <w:top w:val="single" w:sz="2" w:space="0" w:color="1F4E79" w:themeColor="accent1" w:themeShade="80"/>
              <w:left w:val="nil"/>
              <w:bottom w:val="nil"/>
              <w:right w:val="nil"/>
            </w:tcBorders>
            <w:shd w:val="clear" w:color="auto" w:fill="auto"/>
            <w:vAlign w:val="center"/>
            <w:hideMark/>
          </w:tcPr>
          <w:p w14:paraId="43994806" w14:textId="77777777" w:rsidR="00182FC3" w:rsidRPr="00D52611" w:rsidRDefault="00182FC3" w:rsidP="00DC29B8">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Resultado de Participação</w:t>
            </w:r>
          </w:p>
        </w:tc>
      </w:tr>
      <w:tr w:rsidR="00182FC3" w:rsidRPr="00D52611" w14:paraId="5A1D3DD4"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vAlign w:val="center"/>
          </w:tcPr>
          <w:p w14:paraId="6FE56FC9" w14:textId="77777777" w:rsidR="00182FC3" w:rsidRPr="00D52611" w:rsidRDefault="00182FC3" w:rsidP="00DC29B8">
            <w:pPr>
              <w:pStyle w:val="08-Tabelageral"/>
              <w:jc w:val="left"/>
              <w:rPr>
                <w:rFonts w:cs="Arial"/>
                <w:bCs w:val="0"/>
                <w:szCs w:val="14"/>
                <w:lang w:eastAsia="en-US"/>
              </w:rPr>
            </w:pPr>
          </w:p>
        </w:tc>
        <w:tc>
          <w:tcPr>
            <w:tcW w:w="0" w:type="dxa"/>
            <w:tcBorders>
              <w:top w:val="nil"/>
              <w:left w:val="nil"/>
              <w:bottom w:val="single" w:sz="2" w:space="0" w:color="1F4E79" w:themeColor="accent1" w:themeShade="80"/>
              <w:right w:val="nil"/>
            </w:tcBorders>
            <w:shd w:val="clear" w:color="auto" w:fill="auto"/>
            <w:vAlign w:val="center"/>
            <w:hideMark/>
          </w:tcPr>
          <w:p w14:paraId="4FFE6F99" w14:textId="77777777" w:rsidR="00182FC3" w:rsidRPr="00D52611" w:rsidRDefault="00182FC3" w:rsidP="00DC29B8">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Atividade</w:t>
            </w:r>
          </w:p>
        </w:tc>
        <w:tc>
          <w:tcPr>
            <w:tcW w:w="0" w:type="dxa"/>
            <w:tcBorders>
              <w:top w:val="nil"/>
              <w:left w:val="nil"/>
              <w:bottom w:val="single" w:sz="2" w:space="0" w:color="1F4E79" w:themeColor="accent1" w:themeShade="80"/>
              <w:right w:val="nil"/>
            </w:tcBorders>
            <w:shd w:val="clear" w:color="auto" w:fill="auto"/>
            <w:vAlign w:val="center"/>
            <w:hideMark/>
          </w:tcPr>
          <w:p w14:paraId="6F0C2AE7" w14:textId="77777777" w:rsidR="00182FC3" w:rsidRPr="00D52611" w:rsidRDefault="00182FC3" w:rsidP="00DC29B8">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31.12.2021</w:t>
            </w:r>
          </w:p>
        </w:tc>
        <w:tc>
          <w:tcPr>
            <w:tcW w:w="0" w:type="dxa"/>
            <w:tcBorders>
              <w:top w:val="nil"/>
              <w:left w:val="nil"/>
              <w:bottom w:val="single" w:sz="2" w:space="0" w:color="1F4E79" w:themeColor="accent1" w:themeShade="80"/>
              <w:right w:val="nil"/>
            </w:tcBorders>
            <w:shd w:val="clear" w:color="auto" w:fill="auto"/>
            <w:vAlign w:val="center"/>
            <w:hideMark/>
          </w:tcPr>
          <w:p w14:paraId="40D6D674" w14:textId="77777777" w:rsidR="00182FC3" w:rsidRPr="00D52611" w:rsidRDefault="00182FC3" w:rsidP="00DC29B8">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31.12.2021</w:t>
            </w:r>
          </w:p>
        </w:tc>
        <w:tc>
          <w:tcPr>
            <w:tcW w:w="0" w:type="dxa"/>
            <w:tcBorders>
              <w:top w:val="nil"/>
              <w:left w:val="nil"/>
              <w:bottom w:val="single" w:sz="2" w:space="0" w:color="1F4E79" w:themeColor="accent1" w:themeShade="80"/>
              <w:right w:val="nil"/>
            </w:tcBorders>
            <w:shd w:val="clear" w:color="auto" w:fill="auto"/>
            <w:vAlign w:val="center"/>
            <w:hideMark/>
          </w:tcPr>
          <w:p w14:paraId="0CEE07C5" w14:textId="77777777" w:rsidR="00182FC3" w:rsidRPr="00D52611" w:rsidRDefault="00182FC3" w:rsidP="00DC29B8">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31.12.2020</w:t>
            </w:r>
          </w:p>
        </w:tc>
        <w:tc>
          <w:tcPr>
            <w:tcW w:w="0" w:type="dxa"/>
            <w:tcBorders>
              <w:top w:val="nil"/>
              <w:left w:val="nil"/>
              <w:bottom w:val="single" w:sz="2" w:space="0" w:color="1F4E79" w:themeColor="accent1" w:themeShade="80"/>
              <w:right w:val="nil"/>
            </w:tcBorders>
            <w:shd w:val="clear" w:color="auto" w:fill="auto"/>
            <w:vAlign w:val="center"/>
            <w:hideMark/>
          </w:tcPr>
          <w:p w14:paraId="22ACCC10"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Exercício/2021</w:t>
            </w:r>
          </w:p>
        </w:tc>
      </w:tr>
      <w:tr w:rsidR="00182FC3" w:rsidRPr="00D52611" w14:paraId="345B0431" w14:textId="77777777" w:rsidTr="003E5CAD">
        <w:trPr>
          <w:trHeight w:hRule="exact" w:val="482"/>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hideMark/>
          </w:tcPr>
          <w:p w14:paraId="2ED9DAD0" w14:textId="77777777" w:rsidR="00182FC3" w:rsidRPr="00D52611" w:rsidRDefault="00182FC3" w:rsidP="00DC29B8">
            <w:pPr>
              <w:pStyle w:val="08-Tabelageral"/>
              <w:jc w:val="left"/>
              <w:rPr>
                <w:rFonts w:cs="Arial"/>
                <w:snapToGrid w:val="0"/>
                <w:lang w:eastAsia="en-US"/>
              </w:rPr>
            </w:pPr>
            <w:r w:rsidRPr="00D52611">
              <w:rPr>
                <w:rFonts w:cs="Arial"/>
                <w:lang w:eastAsia="en-US"/>
              </w:rPr>
              <w:t>Participações societárias</w:t>
            </w:r>
          </w:p>
        </w:tc>
        <w:tc>
          <w:tcPr>
            <w:tcW w:w="0" w:type="dxa"/>
            <w:tcBorders>
              <w:top w:val="single" w:sz="2" w:space="0" w:color="1F4E79" w:themeColor="accent1" w:themeShade="80"/>
              <w:left w:val="nil"/>
              <w:bottom w:val="nil"/>
              <w:right w:val="nil"/>
            </w:tcBorders>
            <w:shd w:val="clear" w:color="auto" w:fill="auto"/>
            <w:vAlign w:val="center"/>
          </w:tcPr>
          <w:p w14:paraId="76AC2D82" w14:textId="77777777" w:rsidR="00182FC3" w:rsidRPr="00D52611" w:rsidRDefault="00182FC3" w:rsidP="00DC29B8">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color w:val="FF0000"/>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465ACD29"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bCs/>
                <w:color w:val="FF0000"/>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247D7E54"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color w:val="FF0000"/>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7D642D96"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0735C1DE"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color w:val="FF0000"/>
                <w:szCs w:val="14"/>
                <w:lang w:eastAsia="en-US"/>
              </w:rPr>
            </w:pPr>
          </w:p>
        </w:tc>
      </w:tr>
      <w:tr w:rsidR="00182FC3" w:rsidRPr="00D52611" w14:paraId="2D172069"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22BC9B87" w14:textId="77777777" w:rsidR="00182FC3" w:rsidRPr="00D52611" w:rsidRDefault="00182FC3" w:rsidP="00DC29B8">
            <w:pPr>
              <w:pStyle w:val="08-Tabelageral"/>
              <w:jc w:val="left"/>
              <w:rPr>
                <w:rFonts w:cs="Arial"/>
                <w:snapToGrid w:val="0"/>
                <w:lang w:eastAsia="en-US"/>
              </w:rPr>
            </w:pPr>
            <w:r w:rsidRPr="00D52611">
              <w:rPr>
                <w:rFonts w:cs="Arial"/>
                <w:lang w:eastAsia="en-US"/>
              </w:rPr>
              <w:t>BB Seguros</w:t>
            </w:r>
          </w:p>
        </w:tc>
        <w:tc>
          <w:tcPr>
            <w:tcW w:w="0" w:type="dxa"/>
            <w:tcBorders>
              <w:top w:val="nil"/>
              <w:left w:val="nil"/>
              <w:bottom w:val="nil"/>
              <w:right w:val="nil"/>
            </w:tcBorders>
            <w:shd w:val="clear" w:color="auto" w:fill="auto"/>
            <w:vAlign w:val="center"/>
            <w:hideMark/>
          </w:tcPr>
          <w:p w14:paraId="38A747B6" w14:textId="77777777" w:rsidR="00182FC3" w:rsidRPr="00D52611" w:rsidRDefault="00182FC3" w:rsidP="00DC29B8">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Holding</w:t>
            </w:r>
          </w:p>
        </w:tc>
        <w:tc>
          <w:tcPr>
            <w:tcW w:w="0" w:type="dxa"/>
            <w:tcBorders>
              <w:top w:val="nil"/>
              <w:left w:val="nil"/>
              <w:bottom w:val="nil"/>
              <w:right w:val="nil"/>
            </w:tcBorders>
            <w:shd w:val="clear" w:color="auto" w:fill="auto"/>
            <w:vAlign w:val="center"/>
            <w:hideMark/>
          </w:tcPr>
          <w:p w14:paraId="0476D767"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100,00%</w:t>
            </w:r>
          </w:p>
        </w:tc>
        <w:tc>
          <w:tcPr>
            <w:tcW w:w="0" w:type="dxa"/>
            <w:tcBorders>
              <w:top w:val="nil"/>
              <w:left w:val="nil"/>
              <w:bottom w:val="nil"/>
              <w:right w:val="nil"/>
            </w:tcBorders>
            <w:shd w:val="clear" w:color="auto" w:fill="auto"/>
            <w:vAlign w:val="center"/>
            <w:hideMark/>
          </w:tcPr>
          <w:p w14:paraId="5E324C6E"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b/>
                <w:color w:val="FF0000"/>
                <w:lang w:eastAsia="en-US"/>
              </w:rPr>
            </w:pPr>
            <w:r w:rsidRPr="00D52611">
              <w:rPr>
                <w:rFonts w:cs="Arial"/>
                <w:b/>
                <w:color w:val="auto"/>
                <w:lang w:eastAsia="en-US"/>
              </w:rPr>
              <w:t>7.074.640</w:t>
            </w:r>
          </w:p>
        </w:tc>
        <w:tc>
          <w:tcPr>
            <w:tcW w:w="0" w:type="dxa"/>
            <w:tcBorders>
              <w:top w:val="nil"/>
              <w:left w:val="nil"/>
              <w:bottom w:val="nil"/>
              <w:right w:val="nil"/>
            </w:tcBorders>
            <w:shd w:val="clear" w:color="auto" w:fill="auto"/>
            <w:vAlign w:val="center"/>
            <w:hideMark/>
          </w:tcPr>
          <w:p w14:paraId="4AAAF2C6"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color w:val="auto"/>
                <w:lang w:eastAsia="en-US"/>
              </w:rPr>
              <w:t>5.924.821</w:t>
            </w:r>
          </w:p>
        </w:tc>
        <w:tc>
          <w:tcPr>
            <w:tcW w:w="0" w:type="dxa"/>
            <w:tcBorders>
              <w:top w:val="nil"/>
              <w:left w:val="nil"/>
              <w:bottom w:val="nil"/>
              <w:right w:val="nil"/>
            </w:tcBorders>
            <w:shd w:val="clear" w:color="auto" w:fill="auto"/>
            <w:vAlign w:val="center"/>
            <w:hideMark/>
          </w:tcPr>
          <w:p w14:paraId="1B307577" w14:textId="77777777" w:rsidR="00182FC3" w:rsidRPr="00D52611" w:rsidRDefault="00182FC3" w:rsidP="00DC29B8">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lang w:eastAsia="pt-BR"/>
              </w:rPr>
            </w:pPr>
            <w:r>
              <w:rPr>
                <w:rFonts w:cs="Arial"/>
                <w:b/>
                <w:bCs/>
                <w:color w:val="auto"/>
                <w:sz w:val="14"/>
                <w:szCs w:val="14"/>
              </w:rPr>
              <w:t>1.761.554</w:t>
            </w:r>
          </w:p>
        </w:tc>
      </w:tr>
      <w:tr w:rsidR="00182FC3" w:rsidRPr="00D52611" w14:paraId="57E07FF4"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6B432F3D" w14:textId="77777777" w:rsidR="00182FC3" w:rsidRPr="00D52611" w:rsidRDefault="00182FC3" w:rsidP="00DC29B8">
            <w:pPr>
              <w:pStyle w:val="08-Tabelageral"/>
              <w:ind w:left="113"/>
              <w:jc w:val="left"/>
              <w:rPr>
                <w:rFonts w:cs="Arial"/>
                <w:b w:val="0"/>
                <w:snapToGrid w:val="0"/>
                <w:lang w:eastAsia="en-US"/>
              </w:rPr>
            </w:pPr>
            <w:r w:rsidRPr="00D52611">
              <w:rPr>
                <w:rFonts w:cs="Arial"/>
                <w:b w:val="0"/>
                <w:lang w:eastAsia="en-US"/>
              </w:rPr>
              <w:t>BB MAPFRE</w:t>
            </w:r>
          </w:p>
        </w:tc>
        <w:tc>
          <w:tcPr>
            <w:tcW w:w="0" w:type="dxa"/>
            <w:tcBorders>
              <w:top w:val="nil"/>
              <w:left w:val="nil"/>
              <w:bottom w:val="nil"/>
              <w:right w:val="nil"/>
            </w:tcBorders>
            <w:shd w:val="clear" w:color="auto" w:fill="auto"/>
            <w:vAlign w:val="center"/>
            <w:hideMark/>
          </w:tcPr>
          <w:p w14:paraId="0B7821DD" w14:textId="77777777" w:rsidR="00182FC3" w:rsidRPr="00D52611" w:rsidRDefault="00182FC3" w:rsidP="00DC29B8">
            <w:pPr>
              <w:pStyle w:val="08-Tabelageral"/>
              <w:jc w:val="center"/>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Seguros</w:t>
            </w:r>
          </w:p>
        </w:tc>
        <w:tc>
          <w:tcPr>
            <w:tcW w:w="0" w:type="dxa"/>
            <w:tcBorders>
              <w:top w:val="nil"/>
              <w:left w:val="nil"/>
              <w:bottom w:val="nil"/>
              <w:right w:val="nil"/>
            </w:tcBorders>
            <w:shd w:val="clear" w:color="auto" w:fill="auto"/>
            <w:vAlign w:val="center"/>
            <w:hideMark/>
          </w:tcPr>
          <w:p w14:paraId="1AB7C193"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74,99%</w:t>
            </w:r>
          </w:p>
        </w:tc>
        <w:tc>
          <w:tcPr>
            <w:tcW w:w="0" w:type="dxa"/>
            <w:tcBorders>
              <w:top w:val="nil"/>
              <w:left w:val="nil"/>
              <w:bottom w:val="nil"/>
              <w:right w:val="nil"/>
            </w:tcBorders>
            <w:shd w:val="clear" w:color="auto" w:fill="auto"/>
            <w:vAlign w:val="center"/>
            <w:hideMark/>
          </w:tcPr>
          <w:p w14:paraId="1689F747"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szCs w:val="14"/>
                <w:lang w:eastAsia="en-US"/>
              </w:rPr>
              <w:t>2.337.086</w:t>
            </w:r>
          </w:p>
        </w:tc>
        <w:tc>
          <w:tcPr>
            <w:tcW w:w="0" w:type="dxa"/>
            <w:tcBorders>
              <w:top w:val="nil"/>
              <w:left w:val="nil"/>
              <w:bottom w:val="nil"/>
              <w:right w:val="nil"/>
            </w:tcBorders>
            <w:shd w:val="clear" w:color="auto" w:fill="auto"/>
            <w:vAlign w:val="center"/>
            <w:hideMark/>
          </w:tcPr>
          <w:p w14:paraId="45E00E39"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szCs w:val="14"/>
                <w:lang w:eastAsia="en-US"/>
              </w:rPr>
              <w:t>2.245.714</w:t>
            </w:r>
          </w:p>
        </w:tc>
        <w:tc>
          <w:tcPr>
            <w:tcW w:w="0" w:type="dxa"/>
            <w:tcBorders>
              <w:top w:val="nil"/>
              <w:left w:val="nil"/>
              <w:bottom w:val="nil"/>
              <w:right w:val="nil"/>
            </w:tcBorders>
            <w:shd w:val="clear" w:color="auto" w:fill="auto"/>
            <w:vAlign w:val="center"/>
            <w:hideMark/>
          </w:tcPr>
          <w:p w14:paraId="3F8E79B9" w14:textId="77777777" w:rsidR="00182FC3" w:rsidRPr="00D52611" w:rsidRDefault="00182FC3" w:rsidP="00DC29B8">
            <w:pPr>
              <w:jc w:val="right"/>
              <w:cnfStyle w:val="000000000000" w:firstRow="0" w:lastRow="0" w:firstColumn="0" w:lastColumn="0" w:oddVBand="0" w:evenVBand="0" w:oddHBand="0" w:evenHBand="0" w:firstRowFirstColumn="0" w:firstRowLastColumn="0" w:lastRowFirstColumn="0" w:lastRowLastColumn="0"/>
              <w:rPr>
                <w:rFonts w:cs="Arial"/>
                <w:sz w:val="14"/>
                <w:szCs w:val="14"/>
                <w:lang w:eastAsia="pt-BR"/>
              </w:rPr>
            </w:pPr>
            <w:r>
              <w:rPr>
                <w:rFonts w:cs="Arial"/>
                <w:sz w:val="14"/>
                <w:szCs w:val="14"/>
              </w:rPr>
              <w:t>1.067.020</w:t>
            </w:r>
          </w:p>
        </w:tc>
      </w:tr>
      <w:tr w:rsidR="00182FC3" w:rsidRPr="00D52611" w14:paraId="20BA16B3"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5A9993FF" w14:textId="77777777" w:rsidR="00182FC3" w:rsidRPr="00D52611" w:rsidRDefault="00182FC3" w:rsidP="00DC29B8">
            <w:pPr>
              <w:pStyle w:val="08-Tabelageral"/>
              <w:ind w:left="113"/>
              <w:jc w:val="left"/>
              <w:rPr>
                <w:rFonts w:cs="Arial"/>
                <w:b w:val="0"/>
                <w:snapToGrid w:val="0"/>
                <w:lang w:eastAsia="en-US"/>
              </w:rPr>
            </w:pPr>
            <w:r w:rsidRPr="00D52611">
              <w:rPr>
                <w:rFonts w:cs="Arial"/>
                <w:b w:val="0"/>
                <w:lang w:eastAsia="en-US"/>
              </w:rPr>
              <w:t>Brasilprev</w:t>
            </w:r>
          </w:p>
        </w:tc>
        <w:tc>
          <w:tcPr>
            <w:tcW w:w="0" w:type="dxa"/>
            <w:tcBorders>
              <w:top w:val="nil"/>
              <w:left w:val="nil"/>
              <w:bottom w:val="nil"/>
              <w:right w:val="nil"/>
            </w:tcBorders>
            <w:shd w:val="clear" w:color="auto" w:fill="auto"/>
            <w:vAlign w:val="center"/>
            <w:hideMark/>
          </w:tcPr>
          <w:p w14:paraId="50CF8E1A" w14:textId="77777777" w:rsidR="00182FC3" w:rsidRPr="00D52611" w:rsidRDefault="00182FC3" w:rsidP="00DC29B8">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Previdência</w:t>
            </w:r>
          </w:p>
        </w:tc>
        <w:tc>
          <w:tcPr>
            <w:tcW w:w="0" w:type="dxa"/>
            <w:tcBorders>
              <w:top w:val="nil"/>
              <w:left w:val="nil"/>
              <w:bottom w:val="nil"/>
              <w:right w:val="nil"/>
            </w:tcBorders>
            <w:shd w:val="clear" w:color="auto" w:fill="auto"/>
            <w:vAlign w:val="center"/>
            <w:hideMark/>
          </w:tcPr>
          <w:p w14:paraId="458B6DF0"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74,99%</w:t>
            </w:r>
          </w:p>
        </w:tc>
        <w:tc>
          <w:tcPr>
            <w:tcW w:w="0" w:type="dxa"/>
            <w:tcBorders>
              <w:top w:val="nil"/>
              <w:left w:val="nil"/>
              <w:bottom w:val="nil"/>
              <w:right w:val="nil"/>
            </w:tcBorders>
            <w:shd w:val="clear" w:color="auto" w:fill="auto"/>
            <w:vAlign w:val="center"/>
            <w:hideMark/>
          </w:tcPr>
          <w:p w14:paraId="110558A5"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4.354.377</w:t>
            </w:r>
          </w:p>
        </w:tc>
        <w:tc>
          <w:tcPr>
            <w:tcW w:w="0" w:type="dxa"/>
            <w:tcBorders>
              <w:top w:val="nil"/>
              <w:left w:val="nil"/>
              <w:bottom w:val="nil"/>
              <w:right w:val="nil"/>
            </w:tcBorders>
            <w:shd w:val="clear" w:color="auto" w:fill="auto"/>
            <w:vAlign w:val="center"/>
            <w:hideMark/>
          </w:tcPr>
          <w:p w14:paraId="15267E39"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3.338.239</w:t>
            </w:r>
          </w:p>
        </w:tc>
        <w:tc>
          <w:tcPr>
            <w:tcW w:w="0" w:type="dxa"/>
            <w:tcBorders>
              <w:top w:val="nil"/>
              <w:left w:val="nil"/>
              <w:bottom w:val="nil"/>
              <w:right w:val="nil"/>
            </w:tcBorders>
            <w:shd w:val="clear" w:color="auto" w:fill="auto"/>
            <w:vAlign w:val="center"/>
            <w:hideMark/>
          </w:tcPr>
          <w:p w14:paraId="00C500BE" w14:textId="77777777" w:rsidR="00182FC3" w:rsidRPr="00D52611" w:rsidRDefault="00182FC3" w:rsidP="00DC29B8">
            <w:pPr>
              <w:jc w:val="right"/>
              <w:cnfStyle w:val="000000100000" w:firstRow="0" w:lastRow="0" w:firstColumn="0" w:lastColumn="0" w:oddVBand="0" w:evenVBand="0" w:oddHBand="1" w:evenHBand="0" w:firstRowFirstColumn="0" w:firstRowLastColumn="0" w:lastRowFirstColumn="0" w:lastRowLastColumn="0"/>
              <w:rPr>
                <w:rFonts w:cs="Arial"/>
                <w:sz w:val="14"/>
                <w:szCs w:val="14"/>
                <w:lang w:eastAsia="pt-BR"/>
              </w:rPr>
            </w:pPr>
            <w:r>
              <w:rPr>
                <w:rFonts w:cs="Arial"/>
                <w:color w:val="auto"/>
                <w:sz w:val="14"/>
                <w:szCs w:val="14"/>
              </w:rPr>
              <w:t>756.544</w:t>
            </w:r>
          </w:p>
        </w:tc>
      </w:tr>
      <w:tr w:rsidR="00182FC3" w:rsidRPr="00D52611" w14:paraId="15170987"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1E0581CF" w14:textId="77777777" w:rsidR="00182FC3" w:rsidRPr="00D52611" w:rsidRDefault="00182FC3" w:rsidP="00DC29B8">
            <w:pPr>
              <w:pStyle w:val="08-Tabelageral"/>
              <w:ind w:left="113"/>
              <w:jc w:val="left"/>
              <w:rPr>
                <w:rFonts w:cs="Arial"/>
                <w:b w:val="0"/>
                <w:snapToGrid w:val="0"/>
                <w:vertAlign w:val="superscript"/>
                <w:lang w:eastAsia="en-US"/>
              </w:rPr>
            </w:pPr>
            <w:r w:rsidRPr="00D52611">
              <w:rPr>
                <w:rFonts w:cs="Arial"/>
                <w:b w:val="0"/>
                <w:lang w:eastAsia="en-US"/>
              </w:rPr>
              <w:t>Brasilcap</w:t>
            </w:r>
          </w:p>
        </w:tc>
        <w:tc>
          <w:tcPr>
            <w:tcW w:w="0" w:type="dxa"/>
            <w:tcBorders>
              <w:top w:val="nil"/>
              <w:left w:val="nil"/>
              <w:bottom w:val="nil"/>
              <w:right w:val="nil"/>
            </w:tcBorders>
            <w:shd w:val="clear" w:color="auto" w:fill="auto"/>
            <w:vAlign w:val="center"/>
            <w:hideMark/>
          </w:tcPr>
          <w:p w14:paraId="5451AAB1" w14:textId="77777777" w:rsidR="00182FC3" w:rsidRPr="00D52611" w:rsidRDefault="00182FC3" w:rsidP="00DC29B8">
            <w:pPr>
              <w:pStyle w:val="08-Tabelageral"/>
              <w:jc w:val="center"/>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Capitalização</w:t>
            </w:r>
          </w:p>
        </w:tc>
        <w:tc>
          <w:tcPr>
            <w:tcW w:w="0" w:type="dxa"/>
            <w:tcBorders>
              <w:top w:val="nil"/>
              <w:left w:val="nil"/>
              <w:bottom w:val="nil"/>
              <w:right w:val="nil"/>
            </w:tcBorders>
            <w:shd w:val="clear" w:color="auto" w:fill="auto"/>
            <w:vAlign w:val="center"/>
            <w:hideMark/>
          </w:tcPr>
          <w:p w14:paraId="5C0E2B3E"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66,66%</w:t>
            </w:r>
          </w:p>
        </w:tc>
        <w:tc>
          <w:tcPr>
            <w:tcW w:w="0" w:type="dxa"/>
            <w:tcBorders>
              <w:top w:val="nil"/>
              <w:left w:val="nil"/>
              <w:bottom w:val="nil"/>
              <w:right w:val="nil"/>
            </w:tcBorders>
            <w:shd w:val="clear" w:color="auto" w:fill="auto"/>
            <w:vAlign w:val="center"/>
            <w:hideMark/>
          </w:tcPr>
          <w:p w14:paraId="269DD114"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lang w:eastAsia="en-US"/>
              </w:rPr>
              <w:t>427.840</w:t>
            </w:r>
          </w:p>
        </w:tc>
        <w:tc>
          <w:tcPr>
            <w:tcW w:w="0" w:type="dxa"/>
            <w:tcBorders>
              <w:top w:val="nil"/>
              <w:left w:val="nil"/>
              <w:bottom w:val="nil"/>
              <w:right w:val="nil"/>
            </w:tcBorders>
            <w:shd w:val="clear" w:color="auto" w:fill="auto"/>
            <w:vAlign w:val="center"/>
            <w:hideMark/>
          </w:tcPr>
          <w:p w14:paraId="0F6AA0CB"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52611">
              <w:rPr>
                <w:lang w:eastAsia="en-US"/>
              </w:rPr>
              <w:t>470.327</w:t>
            </w:r>
          </w:p>
        </w:tc>
        <w:tc>
          <w:tcPr>
            <w:tcW w:w="0" w:type="dxa"/>
            <w:tcBorders>
              <w:top w:val="nil"/>
              <w:left w:val="nil"/>
              <w:bottom w:val="nil"/>
              <w:right w:val="nil"/>
            </w:tcBorders>
            <w:shd w:val="clear" w:color="auto" w:fill="auto"/>
            <w:vAlign w:val="center"/>
            <w:hideMark/>
          </w:tcPr>
          <w:p w14:paraId="08A74BE3" w14:textId="77777777" w:rsidR="00182FC3" w:rsidRPr="00D52611" w:rsidRDefault="00182FC3" w:rsidP="00DC29B8">
            <w:pPr>
              <w:jc w:val="right"/>
              <w:cnfStyle w:val="000000000000" w:firstRow="0" w:lastRow="0" w:firstColumn="0" w:lastColumn="0" w:oddVBand="0" w:evenVBand="0" w:oddHBand="0" w:evenHBand="0" w:firstRowFirstColumn="0" w:firstRowLastColumn="0" w:lastRowFirstColumn="0" w:lastRowLastColumn="0"/>
              <w:rPr>
                <w:rFonts w:cs="Arial"/>
                <w:sz w:val="14"/>
                <w:szCs w:val="14"/>
                <w:lang w:eastAsia="pt-BR"/>
              </w:rPr>
            </w:pPr>
            <w:r>
              <w:rPr>
                <w:rFonts w:cs="Arial"/>
                <w:sz w:val="14"/>
                <w:szCs w:val="14"/>
              </w:rPr>
              <w:t>2.341</w:t>
            </w:r>
          </w:p>
        </w:tc>
      </w:tr>
      <w:tr w:rsidR="00182FC3" w:rsidRPr="00D52611" w14:paraId="73BC12EB"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2FD52D27" w14:textId="77777777" w:rsidR="00182FC3" w:rsidRPr="00D52611" w:rsidRDefault="00182FC3" w:rsidP="00DC29B8">
            <w:pPr>
              <w:pStyle w:val="08-Tabelageral"/>
              <w:ind w:left="113"/>
              <w:jc w:val="left"/>
              <w:rPr>
                <w:rFonts w:cs="Arial"/>
                <w:b w:val="0"/>
                <w:lang w:eastAsia="en-US"/>
              </w:rPr>
            </w:pPr>
            <w:r w:rsidRPr="00D52611">
              <w:rPr>
                <w:rFonts w:cs="Arial"/>
                <w:b w:val="0"/>
                <w:lang w:eastAsia="en-US"/>
              </w:rPr>
              <w:t>Brasildental</w:t>
            </w:r>
          </w:p>
        </w:tc>
        <w:tc>
          <w:tcPr>
            <w:tcW w:w="0" w:type="dxa"/>
            <w:tcBorders>
              <w:top w:val="nil"/>
              <w:left w:val="nil"/>
              <w:bottom w:val="nil"/>
              <w:right w:val="nil"/>
            </w:tcBorders>
            <w:shd w:val="clear" w:color="auto" w:fill="auto"/>
            <w:vAlign w:val="center"/>
            <w:hideMark/>
          </w:tcPr>
          <w:p w14:paraId="2031F1FC" w14:textId="77777777" w:rsidR="00182FC3" w:rsidRPr="00D52611" w:rsidRDefault="00182FC3" w:rsidP="00DC29B8">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Odontológico</w:t>
            </w:r>
          </w:p>
        </w:tc>
        <w:tc>
          <w:tcPr>
            <w:tcW w:w="0" w:type="dxa"/>
            <w:tcBorders>
              <w:top w:val="nil"/>
              <w:left w:val="nil"/>
              <w:bottom w:val="nil"/>
              <w:right w:val="nil"/>
            </w:tcBorders>
            <w:shd w:val="clear" w:color="auto" w:fill="auto"/>
            <w:vAlign w:val="center"/>
            <w:hideMark/>
          </w:tcPr>
          <w:p w14:paraId="371D0898"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74,99%</w:t>
            </w:r>
          </w:p>
        </w:tc>
        <w:tc>
          <w:tcPr>
            <w:tcW w:w="0" w:type="dxa"/>
            <w:tcBorders>
              <w:top w:val="nil"/>
              <w:left w:val="nil"/>
              <w:bottom w:val="nil"/>
              <w:right w:val="nil"/>
            </w:tcBorders>
            <w:shd w:val="clear" w:color="auto" w:fill="auto"/>
            <w:vAlign w:val="center"/>
            <w:hideMark/>
          </w:tcPr>
          <w:p w14:paraId="6FDF83F6"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16.088</w:t>
            </w:r>
          </w:p>
        </w:tc>
        <w:tc>
          <w:tcPr>
            <w:tcW w:w="0" w:type="dxa"/>
            <w:tcBorders>
              <w:top w:val="nil"/>
              <w:left w:val="nil"/>
              <w:bottom w:val="nil"/>
              <w:right w:val="nil"/>
            </w:tcBorders>
            <w:shd w:val="clear" w:color="auto" w:fill="auto"/>
            <w:vAlign w:val="center"/>
            <w:hideMark/>
          </w:tcPr>
          <w:p w14:paraId="6CD65EEA"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15.582</w:t>
            </w:r>
          </w:p>
        </w:tc>
        <w:tc>
          <w:tcPr>
            <w:tcW w:w="0" w:type="dxa"/>
            <w:tcBorders>
              <w:top w:val="nil"/>
              <w:left w:val="nil"/>
              <w:bottom w:val="nil"/>
              <w:right w:val="nil"/>
            </w:tcBorders>
            <w:shd w:val="clear" w:color="auto" w:fill="auto"/>
            <w:vAlign w:val="center"/>
            <w:hideMark/>
          </w:tcPr>
          <w:p w14:paraId="77041C3C" w14:textId="77777777" w:rsidR="00182FC3" w:rsidRPr="00D52611" w:rsidRDefault="00182FC3" w:rsidP="00DC29B8">
            <w:pPr>
              <w:jc w:val="right"/>
              <w:cnfStyle w:val="000000100000" w:firstRow="0" w:lastRow="0" w:firstColumn="0" w:lastColumn="0" w:oddVBand="0" w:evenVBand="0" w:oddHBand="1" w:evenHBand="0" w:firstRowFirstColumn="0" w:firstRowLastColumn="0" w:lastRowFirstColumn="0" w:lastRowLastColumn="0"/>
              <w:rPr>
                <w:rFonts w:cs="Arial"/>
                <w:sz w:val="14"/>
                <w:szCs w:val="14"/>
                <w:lang w:eastAsia="pt-BR"/>
              </w:rPr>
            </w:pPr>
            <w:r>
              <w:rPr>
                <w:rFonts w:cs="Arial"/>
                <w:color w:val="auto"/>
                <w:sz w:val="14"/>
                <w:szCs w:val="14"/>
                <w:lang w:eastAsia="pt-BR"/>
              </w:rPr>
              <w:t>17.083</w:t>
            </w:r>
          </w:p>
        </w:tc>
      </w:tr>
      <w:tr w:rsidR="00182FC3" w:rsidRPr="00D52611" w14:paraId="5DF49626" w14:textId="77777777" w:rsidTr="003E5CAD">
        <w:trPr>
          <w:trHeight w:hRule="exact" w:val="266"/>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112EBB95" w14:textId="77777777" w:rsidR="00182FC3" w:rsidRPr="00D52611" w:rsidRDefault="00182FC3" w:rsidP="00DC29B8">
            <w:pPr>
              <w:pStyle w:val="08-Tabelageral"/>
              <w:tabs>
                <w:tab w:val="left" w:pos="1141"/>
              </w:tabs>
              <w:jc w:val="left"/>
              <w:rPr>
                <w:rFonts w:cs="Arial"/>
                <w:snapToGrid w:val="0"/>
                <w:lang w:eastAsia="en-US"/>
              </w:rPr>
            </w:pPr>
            <w:r w:rsidRPr="00D52611">
              <w:rPr>
                <w:rFonts w:cs="Arial"/>
                <w:lang w:eastAsia="en-US"/>
              </w:rPr>
              <w:t>BB Corretora</w:t>
            </w:r>
          </w:p>
        </w:tc>
        <w:tc>
          <w:tcPr>
            <w:tcW w:w="0" w:type="dxa"/>
            <w:tcBorders>
              <w:top w:val="nil"/>
              <w:left w:val="nil"/>
              <w:bottom w:val="nil"/>
              <w:right w:val="nil"/>
            </w:tcBorders>
            <w:shd w:val="clear" w:color="auto" w:fill="auto"/>
            <w:vAlign w:val="center"/>
            <w:hideMark/>
          </w:tcPr>
          <w:p w14:paraId="48DF007F" w14:textId="77777777" w:rsidR="00182FC3" w:rsidRPr="00D52611" w:rsidRDefault="00182FC3" w:rsidP="00DC29B8">
            <w:pPr>
              <w:pStyle w:val="08-Tabelageral"/>
              <w:jc w:val="center"/>
              <w:cnfStyle w:val="000000000000" w:firstRow="0" w:lastRow="0" w:firstColumn="0" w:lastColumn="0" w:oddVBand="0" w:evenVBand="0" w:oddHBand="0" w:evenHBand="0" w:firstRowFirstColumn="0" w:firstRowLastColumn="0" w:lastRowFirstColumn="0" w:lastRowLastColumn="0"/>
              <w:rPr>
                <w:rFonts w:cs="Arial"/>
                <w:b/>
                <w:bCs/>
                <w:lang w:eastAsia="en-US"/>
              </w:rPr>
            </w:pPr>
            <w:r w:rsidRPr="00D52611">
              <w:rPr>
                <w:rFonts w:cs="Arial"/>
                <w:b/>
                <w:bCs/>
                <w:lang w:eastAsia="en-US"/>
              </w:rPr>
              <w:t>Corretora</w:t>
            </w:r>
          </w:p>
        </w:tc>
        <w:tc>
          <w:tcPr>
            <w:tcW w:w="0" w:type="dxa"/>
            <w:tcBorders>
              <w:top w:val="nil"/>
              <w:left w:val="nil"/>
              <w:bottom w:val="nil"/>
              <w:right w:val="nil"/>
            </w:tcBorders>
            <w:shd w:val="clear" w:color="auto" w:fill="auto"/>
            <w:vAlign w:val="center"/>
            <w:hideMark/>
          </w:tcPr>
          <w:p w14:paraId="2E22D8E9"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b/>
                <w:bCs/>
                <w:lang w:eastAsia="en-US"/>
              </w:rPr>
            </w:pPr>
            <w:r w:rsidRPr="00D52611">
              <w:rPr>
                <w:rFonts w:cs="Arial"/>
                <w:b/>
                <w:bCs/>
                <w:lang w:eastAsia="en-US"/>
              </w:rPr>
              <w:t>100,00%</w:t>
            </w:r>
          </w:p>
        </w:tc>
        <w:tc>
          <w:tcPr>
            <w:tcW w:w="0" w:type="dxa"/>
            <w:tcBorders>
              <w:top w:val="nil"/>
              <w:left w:val="nil"/>
              <w:bottom w:val="nil"/>
              <w:right w:val="nil"/>
            </w:tcBorders>
            <w:shd w:val="clear" w:color="auto" w:fill="auto"/>
            <w:vAlign w:val="center"/>
            <w:hideMark/>
          </w:tcPr>
          <w:p w14:paraId="09E83525"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b/>
                <w:bCs/>
                <w:lang w:eastAsia="en-US"/>
              </w:rPr>
            </w:pPr>
            <w:r w:rsidRPr="00D52611">
              <w:rPr>
                <w:rFonts w:cs="Arial"/>
                <w:b/>
                <w:bCs/>
                <w:lang w:eastAsia="en-US"/>
              </w:rPr>
              <w:t>6.009</w:t>
            </w:r>
          </w:p>
        </w:tc>
        <w:tc>
          <w:tcPr>
            <w:tcW w:w="0" w:type="dxa"/>
            <w:tcBorders>
              <w:top w:val="nil"/>
              <w:left w:val="nil"/>
              <w:bottom w:val="nil"/>
              <w:right w:val="nil"/>
            </w:tcBorders>
            <w:shd w:val="clear" w:color="auto" w:fill="auto"/>
            <w:vAlign w:val="center"/>
            <w:hideMark/>
          </w:tcPr>
          <w:p w14:paraId="2C4B7F65" w14:textId="77777777" w:rsidR="00182FC3" w:rsidRPr="00D52611" w:rsidRDefault="00182FC3" w:rsidP="00DC29B8">
            <w:pPr>
              <w:pStyle w:val="08-Tabelageral"/>
              <w:cnfStyle w:val="000000000000" w:firstRow="0" w:lastRow="0" w:firstColumn="0" w:lastColumn="0" w:oddVBand="0" w:evenVBand="0" w:oddHBand="0" w:evenHBand="0" w:firstRowFirstColumn="0" w:firstRowLastColumn="0" w:lastRowFirstColumn="0" w:lastRowLastColumn="0"/>
              <w:rPr>
                <w:rFonts w:cs="Arial"/>
                <w:b/>
                <w:bCs/>
                <w:lang w:eastAsia="en-US"/>
              </w:rPr>
            </w:pPr>
            <w:r w:rsidRPr="00D52611">
              <w:rPr>
                <w:rFonts w:cs="Arial"/>
                <w:b/>
                <w:bCs/>
                <w:lang w:eastAsia="en-US"/>
              </w:rPr>
              <w:t>46.908</w:t>
            </w:r>
          </w:p>
        </w:tc>
        <w:tc>
          <w:tcPr>
            <w:tcW w:w="0" w:type="dxa"/>
            <w:tcBorders>
              <w:top w:val="nil"/>
              <w:left w:val="nil"/>
              <w:bottom w:val="nil"/>
              <w:right w:val="nil"/>
            </w:tcBorders>
            <w:shd w:val="clear" w:color="auto" w:fill="auto"/>
            <w:vAlign w:val="center"/>
            <w:hideMark/>
          </w:tcPr>
          <w:p w14:paraId="67630CF2" w14:textId="77777777" w:rsidR="00182FC3" w:rsidRPr="00D52611" w:rsidRDefault="00182FC3" w:rsidP="00DC29B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lang w:eastAsia="pt-BR"/>
              </w:rPr>
            </w:pPr>
            <w:r>
              <w:rPr>
                <w:rFonts w:cs="Arial"/>
                <w:b/>
                <w:bCs/>
                <w:sz w:val="14"/>
                <w:szCs w:val="14"/>
              </w:rPr>
              <w:t>2.162.039</w:t>
            </w:r>
          </w:p>
        </w:tc>
      </w:tr>
      <w:tr w:rsidR="00182FC3" w:rsidRPr="00FA31E9" w14:paraId="5BD87530"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hideMark/>
          </w:tcPr>
          <w:p w14:paraId="0B3121C6" w14:textId="77777777" w:rsidR="00182FC3" w:rsidRPr="00D52611" w:rsidRDefault="00182FC3" w:rsidP="00DC29B8">
            <w:pPr>
              <w:pStyle w:val="08-Tabelageral"/>
              <w:ind w:left="113"/>
              <w:jc w:val="left"/>
              <w:rPr>
                <w:rFonts w:cs="Arial"/>
                <w:b w:val="0"/>
                <w:lang w:eastAsia="en-US"/>
              </w:rPr>
            </w:pPr>
            <w:r w:rsidRPr="00D52611">
              <w:rPr>
                <w:rFonts w:cs="Arial"/>
                <w:b w:val="0"/>
                <w:lang w:eastAsia="en-US"/>
              </w:rPr>
              <w:t>Ciclic</w:t>
            </w:r>
          </w:p>
        </w:tc>
        <w:tc>
          <w:tcPr>
            <w:tcW w:w="0" w:type="dxa"/>
            <w:tcBorders>
              <w:top w:val="nil"/>
              <w:left w:val="nil"/>
              <w:bottom w:val="single" w:sz="2" w:space="0" w:color="1F4E79" w:themeColor="accent1" w:themeShade="80"/>
              <w:right w:val="nil"/>
            </w:tcBorders>
            <w:shd w:val="clear" w:color="auto" w:fill="auto"/>
            <w:vAlign w:val="center"/>
            <w:hideMark/>
          </w:tcPr>
          <w:p w14:paraId="76E966F8" w14:textId="77777777" w:rsidR="00182FC3" w:rsidRPr="00D52611" w:rsidRDefault="00182FC3" w:rsidP="00DC29B8">
            <w:pPr>
              <w:pStyle w:val="08-Tabelageral"/>
              <w:jc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Corretora</w:t>
            </w:r>
          </w:p>
        </w:tc>
        <w:tc>
          <w:tcPr>
            <w:tcW w:w="0" w:type="dxa"/>
            <w:tcBorders>
              <w:top w:val="nil"/>
              <w:left w:val="nil"/>
              <w:bottom w:val="single" w:sz="2" w:space="0" w:color="1F4E79" w:themeColor="accent1" w:themeShade="80"/>
              <w:right w:val="nil"/>
            </w:tcBorders>
            <w:shd w:val="clear" w:color="auto" w:fill="auto"/>
            <w:vAlign w:val="center"/>
            <w:hideMark/>
          </w:tcPr>
          <w:p w14:paraId="73202137"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rFonts w:cs="Arial"/>
                <w:lang w:eastAsia="en-US"/>
              </w:rPr>
              <w:t>74,99%</w:t>
            </w:r>
          </w:p>
        </w:tc>
        <w:tc>
          <w:tcPr>
            <w:tcW w:w="0" w:type="dxa"/>
            <w:tcBorders>
              <w:top w:val="nil"/>
              <w:left w:val="nil"/>
              <w:bottom w:val="single" w:sz="2" w:space="0" w:color="1F4E79" w:themeColor="accent1" w:themeShade="80"/>
              <w:right w:val="nil"/>
            </w:tcBorders>
            <w:shd w:val="clear" w:color="auto" w:fill="auto"/>
            <w:vAlign w:val="center"/>
            <w:hideMark/>
          </w:tcPr>
          <w:p w14:paraId="32A73531"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1.850</w:t>
            </w:r>
          </w:p>
        </w:tc>
        <w:tc>
          <w:tcPr>
            <w:tcW w:w="0" w:type="dxa"/>
            <w:tcBorders>
              <w:top w:val="nil"/>
              <w:left w:val="nil"/>
              <w:bottom w:val="single" w:sz="2" w:space="0" w:color="1F4E79" w:themeColor="accent1" w:themeShade="80"/>
              <w:right w:val="nil"/>
            </w:tcBorders>
            <w:shd w:val="clear" w:color="auto" w:fill="auto"/>
            <w:vAlign w:val="center"/>
            <w:hideMark/>
          </w:tcPr>
          <w:p w14:paraId="53B0562B" w14:textId="77777777" w:rsidR="00182FC3" w:rsidRPr="00D52611" w:rsidRDefault="00182FC3" w:rsidP="00DC29B8">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52611">
              <w:rPr>
                <w:color w:val="auto"/>
                <w:lang w:eastAsia="en-US"/>
              </w:rPr>
              <w:t>14.483</w:t>
            </w:r>
          </w:p>
        </w:tc>
        <w:tc>
          <w:tcPr>
            <w:tcW w:w="0" w:type="dxa"/>
            <w:tcBorders>
              <w:top w:val="nil"/>
              <w:left w:val="nil"/>
              <w:bottom w:val="single" w:sz="2" w:space="0" w:color="1F4E79" w:themeColor="accent1" w:themeShade="80"/>
              <w:right w:val="nil"/>
            </w:tcBorders>
            <w:shd w:val="clear" w:color="auto" w:fill="auto"/>
            <w:vAlign w:val="center"/>
            <w:hideMark/>
          </w:tcPr>
          <w:p w14:paraId="2EE68065" w14:textId="77777777" w:rsidR="00182FC3" w:rsidRPr="00D52611" w:rsidRDefault="00182FC3" w:rsidP="00DC29B8">
            <w:pPr>
              <w:jc w:val="right"/>
              <w:cnfStyle w:val="000000100000" w:firstRow="0" w:lastRow="0" w:firstColumn="0" w:lastColumn="0" w:oddVBand="0" w:evenVBand="0" w:oddHBand="1" w:evenHBand="0" w:firstRowFirstColumn="0" w:firstRowLastColumn="0" w:lastRowFirstColumn="0" w:lastRowLastColumn="0"/>
              <w:rPr>
                <w:rFonts w:cs="Arial"/>
                <w:sz w:val="14"/>
                <w:szCs w:val="14"/>
                <w:lang w:eastAsia="pt-BR"/>
              </w:rPr>
            </w:pPr>
            <w:r w:rsidRPr="00D52611">
              <w:rPr>
                <w:rFonts w:cs="Arial"/>
                <w:color w:val="auto"/>
                <w:sz w:val="14"/>
                <w:szCs w:val="14"/>
              </w:rPr>
              <w:t>(1</w:t>
            </w:r>
            <w:r>
              <w:rPr>
                <w:rFonts w:cs="Arial"/>
                <w:color w:val="auto"/>
                <w:sz w:val="14"/>
                <w:szCs w:val="14"/>
              </w:rPr>
              <w:t>2</w:t>
            </w:r>
            <w:r w:rsidRPr="00D52611">
              <w:rPr>
                <w:rFonts w:cs="Arial"/>
                <w:color w:val="auto"/>
                <w:sz w:val="14"/>
                <w:szCs w:val="14"/>
              </w:rPr>
              <w:t>.</w:t>
            </w:r>
            <w:r>
              <w:rPr>
                <w:rFonts w:cs="Arial"/>
                <w:color w:val="auto"/>
                <w:sz w:val="14"/>
                <w:szCs w:val="14"/>
              </w:rPr>
              <w:t>633</w:t>
            </w:r>
            <w:r w:rsidRPr="00D52611">
              <w:rPr>
                <w:rFonts w:cs="Arial"/>
                <w:color w:val="auto"/>
                <w:sz w:val="14"/>
                <w:szCs w:val="14"/>
              </w:rPr>
              <w:t>)</w:t>
            </w:r>
          </w:p>
        </w:tc>
      </w:tr>
    </w:tbl>
    <w:p w14:paraId="1A148BC1" w14:textId="77777777" w:rsidR="00182FC3" w:rsidRPr="00FA31E9" w:rsidRDefault="00182FC3" w:rsidP="00182EA7">
      <w:pPr>
        <w:pStyle w:val="01-Textonormal"/>
        <w:rPr>
          <w:highlight w:val="yellow"/>
        </w:rPr>
      </w:pPr>
    </w:p>
    <w:p w14:paraId="2142325F" w14:textId="77777777" w:rsidR="00182FC3" w:rsidRPr="00A26587" w:rsidRDefault="00182FC3" w:rsidP="00A26587">
      <w:pPr>
        <w:pStyle w:val="03-SubttulodeNota"/>
        <w:keepNext/>
        <w:spacing w:line="276" w:lineRule="auto"/>
        <w:rPr>
          <w:color w:val="1F4E79" w:themeColor="accent1" w:themeShade="80"/>
        </w:rPr>
      </w:pPr>
      <w:r>
        <w:rPr>
          <w:color w:val="1F4E79" w:themeColor="accent1" w:themeShade="80"/>
        </w:rPr>
        <w:t xml:space="preserve">Resultado de Participação – </w:t>
      </w:r>
      <w:r w:rsidRPr="00A26587">
        <w:rPr>
          <w:color w:val="1F4E79" w:themeColor="accent1" w:themeShade="80"/>
        </w:rPr>
        <w:t>Desempenho das investidas</w:t>
      </w:r>
      <w:r w:rsidRPr="00A26587">
        <w:rPr>
          <w:color w:val="1F4E79" w:themeColor="accent1" w:themeShade="80"/>
        </w:rPr>
        <w:tab/>
      </w:r>
    </w:p>
    <w:p w14:paraId="03933664" w14:textId="77777777" w:rsidR="00182FC3" w:rsidRPr="00A26587" w:rsidRDefault="00182FC3" w:rsidP="00A26587">
      <w:pPr>
        <w:pStyle w:val="03-SubttulodeNota"/>
        <w:spacing w:line="276" w:lineRule="auto"/>
        <w:rPr>
          <w:color w:val="1F4E79" w:themeColor="accent1" w:themeShade="80"/>
        </w:rPr>
      </w:pPr>
      <w:r>
        <w:rPr>
          <w:color w:val="1F4E79" w:themeColor="accent1" w:themeShade="80"/>
        </w:rPr>
        <w:t>BB MAPFRE (</w:t>
      </w:r>
      <w:r w:rsidRPr="00A26587">
        <w:rPr>
          <w:color w:val="1F4E79" w:themeColor="accent1" w:themeShade="80"/>
        </w:rPr>
        <w:t>Brasilseg</w:t>
      </w:r>
      <w:r>
        <w:rPr>
          <w:color w:val="1F4E79" w:themeColor="accent1" w:themeShade="80"/>
        </w:rPr>
        <w:t>)</w:t>
      </w:r>
    </w:p>
    <w:p w14:paraId="419A3F91" w14:textId="77777777" w:rsidR="00182FC3" w:rsidRDefault="00182FC3" w:rsidP="005A7F7E">
      <w:pPr>
        <w:jc w:val="both"/>
        <w:rPr>
          <w:rFonts w:eastAsia="Times New Roman" w:cs="Arial"/>
          <w:spacing w:val="-2"/>
          <w:szCs w:val="18"/>
          <w:lang w:eastAsia="pt-BR"/>
        </w:rPr>
      </w:pPr>
      <w:r w:rsidRPr="00A26587">
        <w:rPr>
          <w:rFonts w:eastAsia="Times New Roman" w:cs="Arial"/>
          <w:spacing w:val="-2"/>
          <w:szCs w:val="18"/>
          <w:lang w:eastAsia="pt-BR"/>
        </w:rPr>
        <w:t xml:space="preserve">Em 2021, o lucro líquido </w:t>
      </w:r>
      <w:r>
        <w:rPr>
          <w:rFonts w:eastAsia="Times New Roman" w:cs="Arial"/>
          <w:spacing w:val="-2"/>
          <w:szCs w:val="18"/>
          <w:lang w:eastAsia="pt-BR"/>
        </w:rPr>
        <w:t xml:space="preserve">da operação de seguros </w:t>
      </w:r>
      <w:r w:rsidRPr="00A26587">
        <w:rPr>
          <w:rFonts w:eastAsia="Times New Roman" w:cs="Arial"/>
          <w:spacing w:val="-2"/>
          <w:szCs w:val="18"/>
          <w:lang w:eastAsia="pt-BR"/>
        </w:rPr>
        <w:t>retraiu 1,6% em relação a 2020, em razão da piora da sinistralidade (+8,5</w:t>
      </w:r>
      <w:r>
        <w:rPr>
          <w:rFonts w:eastAsia="Times New Roman" w:cs="Arial"/>
          <w:spacing w:val="-2"/>
          <w:szCs w:val="18"/>
          <w:lang w:eastAsia="pt-BR"/>
        </w:rPr>
        <w:t xml:space="preserve"> </w:t>
      </w:r>
      <w:r w:rsidRPr="00A26587">
        <w:rPr>
          <w:rFonts w:eastAsia="Times New Roman" w:cs="Arial"/>
          <w:spacing w:val="-2"/>
          <w:szCs w:val="18"/>
          <w:lang w:eastAsia="pt-BR"/>
        </w:rPr>
        <w:t xml:space="preserve">p.p.) e </w:t>
      </w:r>
      <w:r>
        <w:rPr>
          <w:rFonts w:eastAsia="Times New Roman" w:cs="Arial"/>
          <w:spacing w:val="-2"/>
          <w:szCs w:val="18"/>
          <w:lang w:eastAsia="pt-BR"/>
        </w:rPr>
        <w:t>da maior alíquota efetiva de impostos decorrente do aumento temporário de CSLL</w:t>
      </w:r>
      <w:r w:rsidRPr="00A26587">
        <w:rPr>
          <w:rFonts w:eastAsia="Times New Roman" w:cs="Arial"/>
          <w:spacing w:val="-2"/>
          <w:szCs w:val="18"/>
          <w:lang w:eastAsia="pt-BR"/>
        </w:rPr>
        <w:t>,</w:t>
      </w:r>
      <w:r>
        <w:rPr>
          <w:rFonts w:eastAsia="Times New Roman" w:cs="Arial"/>
          <w:spacing w:val="-2"/>
          <w:szCs w:val="18"/>
          <w:lang w:eastAsia="pt-BR"/>
        </w:rPr>
        <w:t xml:space="preserve"> efeitos </w:t>
      </w:r>
      <w:r w:rsidRPr="00A26587">
        <w:rPr>
          <w:rFonts w:eastAsia="Times New Roman" w:cs="Arial"/>
          <w:spacing w:val="-2"/>
          <w:szCs w:val="18"/>
          <w:lang w:eastAsia="pt-BR"/>
        </w:rPr>
        <w:t>parcialmente</w:t>
      </w:r>
      <w:r>
        <w:rPr>
          <w:rFonts w:eastAsia="Times New Roman" w:cs="Arial"/>
          <w:spacing w:val="-2"/>
          <w:szCs w:val="18"/>
          <w:lang w:eastAsia="pt-BR"/>
        </w:rPr>
        <w:t xml:space="preserve"> </w:t>
      </w:r>
      <w:r w:rsidRPr="00A26587">
        <w:rPr>
          <w:rFonts w:eastAsia="Times New Roman" w:cs="Arial"/>
          <w:spacing w:val="-2"/>
          <w:szCs w:val="18"/>
          <w:lang w:eastAsia="pt-BR"/>
        </w:rPr>
        <w:t>compensado</w:t>
      </w:r>
      <w:r>
        <w:rPr>
          <w:rFonts w:eastAsia="Times New Roman" w:cs="Arial"/>
          <w:spacing w:val="-2"/>
          <w:szCs w:val="18"/>
          <w:lang w:eastAsia="pt-BR"/>
        </w:rPr>
        <w:t>s</w:t>
      </w:r>
      <w:r w:rsidRPr="00A26587">
        <w:rPr>
          <w:rFonts w:eastAsia="Times New Roman" w:cs="Arial"/>
          <w:spacing w:val="-2"/>
          <w:szCs w:val="18"/>
          <w:lang w:eastAsia="pt-BR"/>
        </w:rPr>
        <w:t xml:space="preserve"> pela alta de 1,8% do resultado financeiro. No ano, o maior volume de CSLL retirou R$60,7 milhões do lucro líquido da companhia. Não fosse esse efeito, o lucro líquido teria crescido 2,5%.</w:t>
      </w:r>
    </w:p>
    <w:p w14:paraId="55858214" w14:textId="77777777" w:rsidR="00182FC3" w:rsidRDefault="00182FC3" w:rsidP="005A7F7E">
      <w:pPr>
        <w:autoSpaceDE w:val="0"/>
        <w:autoSpaceDN w:val="0"/>
        <w:adjustRightInd w:val="0"/>
        <w:spacing w:before="120" w:after="120"/>
        <w:jc w:val="both"/>
        <w:rPr>
          <w:rFonts w:eastAsia="Times New Roman" w:cs="Arial"/>
          <w:spacing w:val="-2"/>
          <w:szCs w:val="18"/>
          <w:lang w:eastAsia="pt-BR"/>
        </w:rPr>
      </w:pPr>
      <w:r>
        <w:rPr>
          <w:rFonts w:eastAsia="Times New Roman" w:cs="Arial"/>
          <w:spacing w:val="-2"/>
          <w:szCs w:val="18"/>
          <w:lang w:eastAsia="pt-BR"/>
        </w:rPr>
        <w:t>O</w:t>
      </w:r>
      <w:r w:rsidRPr="00A26587">
        <w:rPr>
          <w:rFonts w:eastAsia="Times New Roman" w:cs="Arial"/>
          <w:spacing w:val="-2"/>
          <w:szCs w:val="18"/>
          <w:lang w:eastAsia="pt-BR"/>
        </w:rPr>
        <w:t xml:space="preserve"> aumento da sinistralidade reflete principalmente a maior frequência de avisos em produtos com cobertura de morte devido ao agravamento da pandemia no 1S21</w:t>
      </w:r>
      <w:r>
        <w:rPr>
          <w:rFonts w:eastAsia="Times New Roman" w:cs="Arial"/>
          <w:spacing w:val="-2"/>
          <w:szCs w:val="18"/>
          <w:lang w:eastAsia="pt-BR"/>
        </w:rPr>
        <w:t>, mas com sinais de normalização do indicador ao final do 2S21 devido ao avanço no programa de imunização da população</w:t>
      </w:r>
      <w:r w:rsidRPr="00A26587">
        <w:rPr>
          <w:rFonts w:eastAsia="Times New Roman" w:cs="Arial"/>
          <w:spacing w:val="-2"/>
          <w:szCs w:val="18"/>
          <w:lang w:eastAsia="pt-BR"/>
        </w:rPr>
        <w:t>.</w:t>
      </w:r>
      <w:r>
        <w:rPr>
          <w:rFonts w:eastAsia="Times New Roman" w:cs="Arial"/>
          <w:spacing w:val="-2"/>
          <w:szCs w:val="18"/>
          <w:lang w:eastAsia="pt-BR"/>
        </w:rPr>
        <w:t xml:space="preserve"> Com base em dados gerenciais fornecidos pela Brasilseg (data-base: 18.01.2022), foram registrados em 2021 cerca de R$864 milhões em sinistros nos produtos com cobertura de morte cuja causa foi atribuída à Covid-19, número mais de 3 vezes superior aos R$231 milhões referentes a sinistros de 2020.</w:t>
      </w:r>
      <w:r w:rsidRPr="00A26587">
        <w:rPr>
          <w:rFonts w:eastAsia="Times New Roman" w:cs="Arial"/>
          <w:spacing w:val="-2"/>
          <w:szCs w:val="18"/>
          <w:lang w:eastAsia="pt-BR"/>
        </w:rPr>
        <w:t xml:space="preserve"> </w:t>
      </w:r>
    </w:p>
    <w:p w14:paraId="7DDC2263" w14:textId="77777777" w:rsidR="00182FC3" w:rsidRDefault="00182FC3" w:rsidP="005A7F7E">
      <w:pPr>
        <w:jc w:val="both"/>
        <w:rPr>
          <w:rFonts w:eastAsia="Times New Roman" w:cs="Arial"/>
          <w:spacing w:val="-2"/>
          <w:szCs w:val="18"/>
          <w:lang w:eastAsia="pt-BR"/>
        </w:rPr>
      </w:pPr>
      <w:r w:rsidRPr="00A26587">
        <w:rPr>
          <w:rFonts w:eastAsia="Times New Roman" w:cs="Arial"/>
          <w:spacing w:val="-2"/>
          <w:szCs w:val="18"/>
          <w:lang w:eastAsia="pt-BR"/>
        </w:rPr>
        <w:t>Os prêmios emitidos aumentaram 16,2%, melhora conduzida</w:t>
      </w:r>
      <w:r>
        <w:rPr>
          <w:rFonts w:eastAsia="Times New Roman" w:cs="Arial"/>
          <w:spacing w:val="-2"/>
          <w:szCs w:val="18"/>
          <w:lang w:eastAsia="pt-BR"/>
        </w:rPr>
        <w:t xml:space="preserve"> principalmente:</w:t>
      </w:r>
      <w:r w:rsidRPr="00A26587">
        <w:rPr>
          <w:rFonts w:eastAsia="Times New Roman" w:cs="Arial"/>
          <w:spacing w:val="-2"/>
          <w:szCs w:val="18"/>
          <w:lang w:eastAsia="pt-BR"/>
        </w:rPr>
        <w:t xml:space="preserve"> pelo seguro rural (+35,5%),</w:t>
      </w:r>
      <w:r>
        <w:rPr>
          <w:rFonts w:eastAsia="Times New Roman" w:cs="Arial"/>
          <w:spacing w:val="-2"/>
          <w:szCs w:val="18"/>
          <w:lang w:eastAsia="pt-BR"/>
        </w:rPr>
        <w:t xml:space="preserve"> </w:t>
      </w:r>
      <w:r>
        <w:rPr>
          <w:rFonts w:eastAsia="Times New Roman" w:cs="Times New Roman"/>
        </w:rPr>
        <w:t>beneficiado pelo custo mais elevado dos insumos agrícolas, o que levou ao aumento do volume de crédito para a safra 2021/2022 e, consequentemente, resultou em um aumento nas importâncias seguradas; pelo seguro de</w:t>
      </w:r>
      <w:r w:rsidRPr="00A26587">
        <w:rPr>
          <w:rFonts w:eastAsia="Times New Roman" w:cs="Arial"/>
          <w:spacing w:val="-2"/>
          <w:szCs w:val="18"/>
          <w:lang w:eastAsia="pt-BR"/>
        </w:rPr>
        <w:t xml:space="preserve"> vida (+17,1%),</w:t>
      </w:r>
      <w:r>
        <w:rPr>
          <w:rFonts w:eastAsia="Times New Roman" w:cs="Arial"/>
          <w:spacing w:val="-2"/>
          <w:szCs w:val="18"/>
          <w:lang w:eastAsia="pt-BR"/>
        </w:rPr>
        <w:t xml:space="preserve"> explicado por crescimento das vendas novas e aumento nos prêmios emitidos de renovações; e pelo seguro</w:t>
      </w:r>
      <w:r w:rsidRPr="00A26587">
        <w:rPr>
          <w:rFonts w:eastAsia="Times New Roman" w:cs="Arial"/>
          <w:spacing w:val="-2"/>
          <w:szCs w:val="18"/>
          <w:lang w:eastAsia="pt-BR"/>
        </w:rPr>
        <w:t xml:space="preserve"> residencial (+23,4%)</w:t>
      </w:r>
      <w:r>
        <w:rPr>
          <w:rFonts w:eastAsia="Times New Roman" w:cs="Arial"/>
          <w:spacing w:val="-2"/>
          <w:szCs w:val="18"/>
          <w:lang w:eastAsia="pt-BR"/>
        </w:rPr>
        <w:t>, com crescimento nas vendas e ticket médio após o lançamento de novo produto no 1S21.</w:t>
      </w:r>
    </w:p>
    <w:p w14:paraId="01202A1A" w14:textId="77777777" w:rsidR="00182FC3" w:rsidRDefault="00182FC3" w:rsidP="005573C3">
      <w:pPr>
        <w:autoSpaceDE w:val="0"/>
        <w:autoSpaceDN w:val="0"/>
        <w:adjustRightInd w:val="0"/>
        <w:spacing w:before="120" w:after="120"/>
        <w:jc w:val="both"/>
        <w:rPr>
          <w:rFonts w:eastAsia="Times New Roman" w:cs="Arial"/>
          <w:spacing w:val="-2"/>
          <w:szCs w:val="18"/>
          <w:lang w:eastAsia="pt-BR"/>
        </w:rPr>
      </w:pPr>
      <w:r>
        <w:rPr>
          <w:rFonts w:eastAsia="Times New Roman" w:cs="Arial"/>
          <w:spacing w:val="-2"/>
          <w:szCs w:val="18"/>
          <w:lang w:eastAsia="pt-BR"/>
        </w:rPr>
        <w:t xml:space="preserve">Nos demais indicadores operacionais, o comissionamento retraiu 2,6 p.p., em função de menores </w:t>
      </w:r>
      <w:r w:rsidRPr="00A26587">
        <w:rPr>
          <w:rFonts w:eastAsia="Times New Roman" w:cs="Arial"/>
          <w:spacing w:val="-2"/>
          <w:szCs w:val="18"/>
          <w:lang w:eastAsia="pt-BR"/>
        </w:rPr>
        <w:t>despesas com bônus de performance na emissão de prêmios dos seguros prestamista, enquanto o índice de despesas gerais e administrativas</w:t>
      </w:r>
      <w:r>
        <w:rPr>
          <w:rFonts w:eastAsia="Times New Roman" w:cs="Arial"/>
          <w:spacing w:val="-2"/>
          <w:szCs w:val="18"/>
          <w:lang w:eastAsia="pt-BR"/>
        </w:rPr>
        <w:t xml:space="preserve"> recuou 2,2 p.p. </w:t>
      </w:r>
      <w:r w:rsidRPr="00A26587">
        <w:rPr>
          <w:rFonts w:eastAsia="Times New Roman" w:cs="Arial"/>
          <w:spacing w:val="-2"/>
          <w:szCs w:val="18"/>
          <w:lang w:eastAsia="pt-BR"/>
        </w:rPr>
        <w:t>principalmente pelo menor volume de provisão para pagamento ao Fundo de Estabilidade do Seguro Rural.</w:t>
      </w:r>
    </w:p>
    <w:p w14:paraId="49FBDDEB" w14:textId="77777777" w:rsidR="00182FC3" w:rsidRPr="00A26587" w:rsidRDefault="00182FC3" w:rsidP="00A26587">
      <w:pPr>
        <w:autoSpaceDE w:val="0"/>
        <w:autoSpaceDN w:val="0"/>
        <w:adjustRightInd w:val="0"/>
        <w:spacing w:before="120" w:after="120"/>
        <w:jc w:val="both"/>
        <w:rPr>
          <w:rFonts w:eastAsia="Times New Roman" w:cs="Arial"/>
          <w:spacing w:val="-2"/>
          <w:szCs w:val="18"/>
          <w:lang w:eastAsia="pt-BR"/>
        </w:rPr>
      </w:pPr>
    </w:p>
    <w:p w14:paraId="5E7D5C3C" w14:textId="77777777" w:rsidR="00182FC3" w:rsidRPr="007D328C" w:rsidRDefault="00182FC3" w:rsidP="00A26587">
      <w:pPr>
        <w:pStyle w:val="03-SubttulodeNota"/>
        <w:spacing w:line="276" w:lineRule="auto"/>
        <w:rPr>
          <w:color w:val="1F4E79" w:themeColor="accent1" w:themeShade="80"/>
        </w:rPr>
      </w:pPr>
      <w:r w:rsidRPr="007D328C">
        <w:rPr>
          <w:color w:val="1F4E79" w:themeColor="accent1" w:themeShade="80"/>
        </w:rPr>
        <w:lastRenderedPageBreak/>
        <w:t>Brasilprev</w:t>
      </w:r>
    </w:p>
    <w:p w14:paraId="0A484344" w14:textId="77777777" w:rsidR="00182FC3" w:rsidRPr="007D328C" w:rsidRDefault="00182FC3" w:rsidP="007D328C">
      <w:pPr>
        <w:jc w:val="both"/>
        <w:rPr>
          <w:rFonts w:eastAsia="Times New Roman" w:cs="Arial"/>
          <w:spacing w:val="-2"/>
          <w:szCs w:val="18"/>
          <w:lang w:eastAsia="pt-BR"/>
        </w:rPr>
      </w:pPr>
      <w:r w:rsidRPr="007D328C">
        <w:rPr>
          <w:rFonts w:eastAsia="Times New Roman" w:cs="Arial"/>
          <w:spacing w:val="-2"/>
          <w:szCs w:val="18"/>
          <w:lang w:eastAsia="pt-BR"/>
        </w:rPr>
        <w:t>No ano, o lucro líquido</w:t>
      </w:r>
      <w:r>
        <w:rPr>
          <w:rFonts w:eastAsia="Times New Roman" w:cs="Arial"/>
          <w:spacing w:val="-2"/>
          <w:szCs w:val="18"/>
          <w:lang w:eastAsia="pt-BR"/>
        </w:rPr>
        <w:t xml:space="preserve"> da operação de previdência</w:t>
      </w:r>
      <w:r w:rsidRPr="007D328C">
        <w:rPr>
          <w:rFonts w:eastAsia="Times New Roman" w:cs="Arial"/>
          <w:spacing w:val="-2"/>
          <w:szCs w:val="18"/>
          <w:lang w:eastAsia="pt-BR"/>
        </w:rPr>
        <w:t xml:space="preserve"> registrou crescimento de 10,6%, concentrado na melhora do resultado operacional, que </w:t>
      </w:r>
      <w:r>
        <w:rPr>
          <w:rFonts w:eastAsia="Times New Roman" w:cs="Arial"/>
          <w:spacing w:val="-2"/>
          <w:szCs w:val="18"/>
          <w:lang w:eastAsia="pt-BR"/>
        </w:rPr>
        <w:t xml:space="preserve">registrou alta de </w:t>
      </w:r>
      <w:r w:rsidRPr="007D328C">
        <w:rPr>
          <w:rFonts w:eastAsia="Times New Roman" w:cs="Arial"/>
          <w:spacing w:val="-2"/>
          <w:szCs w:val="18"/>
          <w:lang w:eastAsia="pt-BR"/>
        </w:rPr>
        <w:t xml:space="preserve">11,4%. Por outro lado, o resultado financeiro no ano foi negativo em R$333,9 milhões, </w:t>
      </w:r>
      <w:r>
        <w:rPr>
          <w:rFonts w:eastAsia="Times New Roman" w:cs="Arial"/>
          <w:spacing w:val="-2"/>
          <w:szCs w:val="18"/>
          <w:lang w:eastAsia="pt-BR"/>
        </w:rPr>
        <w:t>vs. -</w:t>
      </w:r>
      <w:r w:rsidRPr="007D328C">
        <w:rPr>
          <w:rFonts w:eastAsia="Times New Roman" w:cs="Arial"/>
          <w:spacing w:val="-2"/>
          <w:szCs w:val="18"/>
          <w:lang w:eastAsia="pt-BR"/>
        </w:rPr>
        <w:t>R$278,6 milhões</w:t>
      </w:r>
      <w:r>
        <w:rPr>
          <w:rFonts w:eastAsia="Times New Roman" w:cs="Arial"/>
          <w:spacing w:val="-2"/>
          <w:szCs w:val="18"/>
          <w:lang w:eastAsia="pt-BR"/>
        </w:rPr>
        <w:t xml:space="preserve"> em 2020</w:t>
      </w:r>
      <w:r w:rsidRPr="007D328C">
        <w:rPr>
          <w:rFonts w:eastAsia="Times New Roman" w:cs="Arial"/>
          <w:spacing w:val="-2"/>
          <w:szCs w:val="18"/>
          <w:lang w:eastAsia="pt-BR"/>
        </w:rPr>
        <w:t xml:space="preserve">. Esse movimento é atribuído em grande parte ao resultado negativo de marcação a mercado gerado pela abertura da estrutura a termo da taxa de juros real, que impactou os títulos de renda fixa </w:t>
      </w:r>
      <w:r>
        <w:rPr>
          <w:rFonts w:eastAsia="Times New Roman" w:cs="Arial"/>
          <w:spacing w:val="-2"/>
          <w:szCs w:val="18"/>
          <w:lang w:eastAsia="pt-BR"/>
        </w:rPr>
        <w:t xml:space="preserve">mantidos </w:t>
      </w:r>
      <w:r w:rsidRPr="007D328C">
        <w:rPr>
          <w:rFonts w:eastAsia="Times New Roman" w:cs="Arial"/>
          <w:spacing w:val="-2"/>
          <w:szCs w:val="18"/>
          <w:lang w:eastAsia="pt-BR"/>
        </w:rPr>
        <w:t>para negociação, enquanto o impacto do descasamento entre os índices de inflação que atualizam os ativos (IPCA e IGP-M do mês corrente) e passivos (IGP-M com um mês de defasagem) dos planos tradicionais foi menor que 2020 em função da alta do IPCA em ritmo superior ao IGP-M no 2º semestre de 2021. No ano, o aumento temporário da CSLL retirou R$44,9 milhões do lucro líquido da companhia.</w:t>
      </w:r>
    </w:p>
    <w:p w14:paraId="11493689" w14:textId="77777777" w:rsidR="00182FC3" w:rsidRPr="007D328C" w:rsidRDefault="00182FC3" w:rsidP="007D328C">
      <w:pPr>
        <w:jc w:val="both"/>
        <w:rPr>
          <w:rFonts w:eastAsia="Times New Roman" w:cs="Arial"/>
          <w:spacing w:val="-2"/>
          <w:szCs w:val="18"/>
          <w:lang w:eastAsia="pt-BR"/>
        </w:rPr>
      </w:pPr>
      <w:r w:rsidRPr="007D328C">
        <w:rPr>
          <w:rFonts w:eastAsia="Times New Roman" w:cs="Arial"/>
          <w:spacing w:val="-2"/>
          <w:szCs w:val="18"/>
          <w:lang w:eastAsia="pt-BR"/>
        </w:rPr>
        <w:t xml:space="preserve">Em captação líquida, o maior volume de </w:t>
      </w:r>
      <w:r>
        <w:rPr>
          <w:rFonts w:eastAsia="Times New Roman" w:cs="Arial"/>
          <w:spacing w:val="-2"/>
          <w:szCs w:val="18"/>
          <w:lang w:eastAsia="pt-BR"/>
        </w:rPr>
        <w:t>saídas de recursos para pagamento de despesas mensais e dívidas, resultado dos impactos econômicos gerados pela pandemia, e para a compra de imóveis em grandes capitais, além do aumento de resgates pagos ao segundo beneficiário em razão do falecimento do titular por Covid-19</w:t>
      </w:r>
      <w:r w:rsidRPr="007D328C">
        <w:rPr>
          <w:rFonts w:eastAsia="Times New Roman" w:cs="Arial"/>
          <w:spacing w:val="-2"/>
          <w:szCs w:val="18"/>
          <w:lang w:eastAsia="pt-BR"/>
        </w:rPr>
        <w:t>, mais que compensaram o incremento de 11,5% em contribuições e levaram a uma captação líquida negativa de R$783 milhões ao final de 2021.</w:t>
      </w:r>
    </w:p>
    <w:p w14:paraId="40BDED67" w14:textId="77777777" w:rsidR="00182FC3" w:rsidRDefault="00182FC3" w:rsidP="007D328C">
      <w:pPr>
        <w:pStyle w:val="03-SubttulodeNota"/>
        <w:spacing w:line="276" w:lineRule="auto"/>
        <w:rPr>
          <w:rFonts w:cs="Arial"/>
          <w:b w:val="0"/>
          <w:sz w:val="18"/>
          <w:szCs w:val="18"/>
        </w:rPr>
      </w:pPr>
      <w:r w:rsidRPr="007D328C">
        <w:rPr>
          <w:rFonts w:cs="Arial"/>
          <w:b w:val="0"/>
          <w:sz w:val="18"/>
          <w:szCs w:val="18"/>
        </w:rPr>
        <w:t>Já as receitas com taxa de gestão cresceram 8,2%, com taxa média de gestão 0,03 p.p. superior à reportada em 2020, refletindo a expansão na alocação de recursos para fundos multimercados e maior participação desses instrumentos no total de ativos sob gestão</w:t>
      </w:r>
      <w:r>
        <w:rPr>
          <w:rFonts w:cs="Arial"/>
          <w:b w:val="0"/>
          <w:sz w:val="18"/>
          <w:szCs w:val="18"/>
        </w:rPr>
        <w:t>, passando de 11% ao final de 2020 para 32% no fim de 2021.</w:t>
      </w:r>
    </w:p>
    <w:p w14:paraId="514954C5" w14:textId="77777777" w:rsidR="00182FC3" w:rsidRPr="007D328C" w:rsidRDefault="00182FC3" w:rsidP="007D328C">
      <w:pPr>
        <w:pStyle w:val="01-Textonormal"/>
      </w:pPr>
    </w:p>
    <w:p w14:paraId="0545E6EE" w14:textId="77777777" w:rsidR="00182FC3" w:rsidRPr="00761A6D" w:rsidRDefault="00182FC3" w:rsidP="00A26587">
      <w:pPr>
        <w:pStyle w:val="03-SubttulodeNota"/>
        <w:spacing w:line="276" w:lineRule="auto"/>
        <w:rPr>
          <w:color w:val="1F4E79" w:themeColor="accent1" w:themeShade="80"/>
        </w:rPr>
      </w:pPr>
      <w:r w:rsidRPr="00761A6D">
        <w:rPr>
          <w:color w:val="1F4E79" w:themeColor="accent1" w:themeShade="80"/>
        </w:rPr>
        <w:t>Brasilcap</w:t>
      </w:r>
    </w:p>
    <w:p w14:paraId="65B8F85F" w14:textId="77777777" w:rsidR="00182FC3" w:rsidRPr="005F54ED" w:rsidRDefault="00182FC3" w:rsidP="005F54ED">
      <w:pPr>
        <w:jc w:val="both"/>
        <w:rPr>
          <w:rFonts w:eastAsia="Times New Roman" w:cs="Arial"/>
          <w:spacing w:val="-2"/>
          <w:szCs w:val="18"/>
          <w:lang w:eastAsia="pt-BR"/>
        </w:rPr>
      </w:pPr>
      <w:r w:rsidRPr="005F54ED">
        <w:rPr>
          <w:rFonts w:eastAsia="Times New Roman" w:cs="Arial"/>
          <w:spacing w:val="-2"/>
          <w:szCs w:val="18"/>
          <w:lang w:eastAsia="pt-BR"/>
        </w:rPr>
        <w:t xml:space="preserve">Em 2021, o lucro líquido da operação de capitalização retraiu 97,8% em relação ao ano anterior, devido ao resultado financeiro negativo, explicado </w:t>
      </w:r>
      <w:r>
        <w:rPr>
          <w:rFonts w:eastAsia="Times New Roman" w:cs="Arial"/>
          <w:spacing w:val="-2"/>
          <w:szCs w:val="18"/>
          <w:lang w:eastAsia="pt-BR"/>
        </w:rPr>
        <w:t>pela realização de perda na venda títulos pré-fixados que estavam classificados na categoria disponível para venda, em estratégia de reconfiguração da carteira de investimentos após a abertura da curva de juros futuros, buscando elevar o nível de solvência regulatório e adequá-lo ao apetite a risco da companhia</w:t>
      </w:r>
      <w:r w:rsidRPr="005F54ED">
        <w:rPr>
          <w:rFonts w:eastAsia="Times New Roman" w:cs="Arial"/>
          <w:spacing w:val="-2"/>
          <w:szCs w:val="18"/>
          <w:lang w:eastAsia="pt-BR"/>
        </w:rPr>
        <w:t>. Por outro lado, a queda de 1,0 p.p. no índice de despesas gerais e administrativas e a redução de 1,4 p.p. no índice de comissionamento fizeram com que o resultado operacional crescesse 97,8% e compensasse parte da perda no financeiro. No ano, o aumento temporário da CSLL retirou R$8,9 milhões do lucro líquido da empresa.</w:t>
      </w:r>
    </w:p>
    <w:p w14:paraId="041D5265" w14:textId="77777777" w:rsidR="00182FC3" w:rsidRPr="005F54ED" w:rsidRDefault="00182FC3" w:rsidP="005F54ED">
      <w:pPr>
        <w:jc w:val="both"/>
        <w:rPr>
          <w:rFonts w:eastAsia="Times New Roman" w:cs="Arial"/>
          <w:spacing w:val="-2"/>
          <w:szCs w:val="18"/>
          <w:lang w:eastAsia="pt-BR"/>
        </w:rPr>
      </w:pPr>
      <w:r w:rsidRPr="005F54ED">
        <w:rPr>
          <w:rFonts w:eastAsia="Times New Roman" w:cs="Arial"/>
          <w:spacing w:val="-2"/>
          <w:szCs w:val="18"/>
          <w:lang w:eastAsia="pt-BR"/>
        </w:rPr>
        <w:t>A arrecadação com títulos de capitalização apresentou queda de 9,9%, explicada principalmente pela redução das vendas de títulos de pagamento único, parcialmente compensada pelo crescimento do ticket médio desses títulos e pelo aumento de 13,8% nas vendas de títulos de pagamento mensal, produto que apresenta maior recorrência para o resultado.</w:t>
      </w:r>
    </w:p>
    <w:p w14:paraId="73EEA629" w14:textId="77777777" w:rsidR="00182FC3" w:rsidRDefault="00182FC3" w:rsidP="005F54ED">
      <w:pPr>
        <w:jc w:val="both"/>
        <w:rPr>
          <w:rFonts w:eastAsia="Times New Roman" w:cs="Arial"/>
          <w:spacing w:val="-2"/>
          <w:szCs w:val="18"/>
          <w:lang w:eastAsia="pt-BR"/>
        </w:rPr>
      </w:pPr>
      <w:r w:rsidRPr="005F54ED">
        <w:rPr>
          <w:rFonts w:eastAsia="Times New Roman" w:cs="Arial"/>
          <w:spacing w:val="-2"/>
          <w:szCs w:val="18"/>
          <w:lang w:eastAsia="pt-BR"/>
        </w:rPr>
        <w:t xml:space="preserve">Já a receita com cota de carregamento contraiu 15,9%, em função da queda na arrecadação total e da redução de 0,8 p.p. na cota de carregamento média. </w:t>
      </w:r>
      <w:r w:rsidRPr="00FD1C08">
        <w:rPr>
          <w:rFonts w:eastAsia="Times New Roman" w:cs="Arial"/>
          <w:spacing w:val="-2"/>
          <w:szCs w:val="18"/>
          <w:lang w:eastAsia="pt-BR"/>
        </w:rPr>
        <w:t>A contração na cota de carregamento média é justificada pela maior concentração da arrecadação em parcelas recorrentes de títulos de pagamento mensal</w:t>
      </w:r>
      <w:r>
        <w:rPr>
          <w:rFonts w:eastAsia="Times New Roman" w:cs="Arial"/>
          <w:spacing w:val="-2"/>
          <w:szCs w:val="18"/>
          <w:lang w:eastAsia="pt-BR"/>
        </w:rPr>
        <w:t xml:space="preserve">, </w:t>
      </w:r>
      <w:r w:rsidRPr="00FD1C08">
        <w:rPr>
          <w:rFonts w:eastAsia="Times New Roman" w:cs="Arial"/>
          <w:spacing w:val="-2"/>
          <w:szCs w:val="18"/>
          <w:lang w:eastAsia="pt-BR"/>
        </w:rPr>
        <w:t>que apresentam menores cotas se comparados às primeiras parcelas de títulos mensais</w:t>
      </w:r>
      <w:r>
        <w:rPr>
          <w:rFonts w:eastAsia="Times New Roman" w:cs="Arial"/>
          <w:spacing w:val="-2"/>
          <w:szCs w:val="18"/>
          <w:lang w:eastAsia="pt-BR"/>
        </w:rPr>
        <w:t xml:space="preserve"> e às parcelas únicas dos títulos dessa categoria.</w:t>
      </w:r>
    </w:p>
    <w:p w14:paraId="256958F3" w14:textId="77777777" w:rsidR="00182FC3" w:rsidRPr="00FA31E9" w:rsidRDefault="00182FC3" w:rsidP="00A26587">
      <w:pPr>
        <w:pStyle w:val="05-Textonormal"/>
        <w:rPr>
          <w:rFonts w:cs="Arial"/>
          <w:color w:val="FF0000"/>
          <w:highlight w:val="yellow"/>
        </w:rPr>
      </w:pPr>
    </w:p>
    <w:p w14:paraId="5586250A" w14:textId="77777777" w:rsidR="00182FC3" w:rsidRPr="003B6A34" w:rsidRDefault="00182FC3" w:rsidP="00A26587">
      <w:pPr>
        <w:pStyle w:val="03-SubttulodeNota"/>
        <w:spacing w:line="276" w:lineRule="auto"/>
        <w:rPr>
          <w:color w:val="1F4E79" w:themeColor="accent1" w:themeShade="80"/>
        </w:rPr>
      </w:pPr>
      <w:r w:rsidRPr="003B6A34">
        <w:rPr>
          <w:color w:val="1F4E79" w:themeColor="accent1" w:themeShade="80"/>
        </w:rPr>
        <w:t>Brasildental</w:t>
      </w:r>
    </w:p>
    <w:p w14:paraId="1647C468" w14:textId="77777777" w:rsidR="00182FC3" w:rsidRPr="003B6A34" w:rsidRDefault="00182FC3" w:rsidP="00A26587">
      <w:pPr>
        <w:pStyle w:val="05-Textonormal"/>
        <w:rPr>
          <w:rFonts w:cs="Arial"/>
        </w:rPr>
      </w:pPr>
      <w:r w:rsidRPr="003B6A34">
        <w:rPr>
          <w:rFonts w:cs="Arial"/>
        </w:rPr>
        <w:t xml:space="preserve">No segmento de planos odontológicos, operado pela Brasildental, o lucro líquido contraiu 3,5% em 2021. O desempenho é justificado pela piora de 2,2 p.p.na margem EBITDA, </w:t>
      </w:r>
      <w:r>
        <w:rPr>
          <w:rFonts w:cs="Arial"/>
        </w:rPr>
        <w:t xml:space="preserve">que </w:t>
      </w:r>
      <w:r w:rsidRPr="003B6A34">
        <w:rPr>
          <w:rFonts w:cs="Arial"/>
        </w:rPr>
        <w:t>atingi</w:t>
      </w:r>
      <w:r>
        <w:rPr>
          <w:rFonts w:cs="Arial"/>
        </w:rPr>
        <w:t>u</w:t>
      </w:r>
      <w:r w:rsidRPr="003B6A34">
        <w:rPr>
          <w:rFonts w:cs="Arial"/>
        </w:rPr>
        <w:t xml:space="preserve"> 30,9% no ano, impactada pelo aumento tanto da sinistralidade como das despesas gerais e administrativas. Em 2021, a receita operacional bruta totalizou R$119,5 milhões, equivalente a um acréscimo de 2,9% em relação ao ano anterior</w:t>
      </w:r>
      <w:r>
        <w:rPr>
          <w:rFonts w:cs="Arial"/>
        </w:rPr>
        <w:t>, apesar da queda de 1,3% na quantidade de vidas seguradas.</w:t>
      </w:r>
    </w:p>
    <w:p w14:paraId="5A46801A" w14:textId="77777777" w:rsidR="00182FC3" w:rsidRPr="00FA31E9" w:rsidRDefault="00182FC3" w:rsidP="00A26587">
      <w:pPr>
        <w:pStyle w:val="05-Textonormal"/>
        <w:rPr>
          <w:rFonts w:cs="Arial"/>
          <w:highlight w:val="yellow"/>
        </w:rPr>
      </w:pPr>
    </w:p>
    <w:p w14:paraId="5DAD59BC" w14:textId="77777777" w:rsidR="00182FC3" w:rsidRPr="00552B23" w:rsidRDefault="00182FC3" w:rsidP="00A26587">
      <w:pPr>
        <w:pStyle w:val="03-SubttulodeNota"/>
        <w:spacing w:line="276" w:lineRule="auto"/>
        <w:rPr>
          <w:color w:val="1F4E79" w:themeColor="accent1" w:themeShade="80"/>
        </w:rPr>
      </w:pPr>
      <w:r w:rsidRPr="00552B23">
        <w:rPr>
          <w:color w:val="1F4E79" w:themeColor="accent1" w:themeShade="80"/>
        </w:rPr>
        <w:t>BB Corretora</w:t>
      </w:r>
    </w:p>
    <w:p w14:paraId="5E58578A" w14:textId="41F53D5F" w:rsidR="00182FC3" w:rsidRDefault="00182FC3" w:rsidP="00A26587">
      <w:pPr>
        <w:pStyle w:val="01-Textonormal"/>
      </w:pPr>
      <w:r w:rsidRPr="009D60C3">
        <w:t xml:space="preserve">No acumulado do ano, o lucro líquido </w:t>
      </w:r>
      <w:r>
        <w:t xml:space="preserve">em bases recorrentes, que </w:t>
      </w:r>
      <w:r w:rsidR="00C1123B">
        <w:t>exclui</w:t>
      </w:r>
      <w:r>
        <w:t xml:space="preserve"> do resultado o efeito líquido da doação de R$40 milhões realizada em 2020,</w:t>
      </w:r>
      <w:r w:rsidRPr="009D60C3">
        <w:t xml:space="preserve"> </w:t>
      </w:r>
      <w:r>
        <w:t xml:space="preserve">cresceu </w:t>
      </w:r>
      <w:r w:rsidRPr="009D60C3">
        <w:t>8,3%, movimento explicado pelos crescimentos de 7,9% das receitas de corretagem e de 130,4% do resultado financeiro</w:t>
      </w:r>
      <w:r>
        <w:t>, esse último em função de altas na taxa média Selic e no saldo médio de aplicações</w:t>
      </w:r>
      <w:r w:rsidRPr="009D60C3">
        <w:t xml:space="preserve">. </w:t>
      </w:r>
    </w:p>
    <w:p w14:paraId="7E232597" w14:textId="77777777" w:rsidR="00182FC3" w:rsidRDefault="00182FC3" w:rsidP="00A26587">
      <w:pPr>
        <w:pStyle w:val="01-Textonormal"/>
      </w:pPr>
      <w:r>
        <w:t>Já a expansão da corretagem é explicada por aumento nas receitas oriundas de seguros, pelo bom desempenho comercial do rural, vida e residencial no ano, e por alta de receitas de comissões vindas de previdência, com aumento das vendas e maior concentração do mix em produtos com comissionamento mais elevado.</w:t>
      </w:r>
    </w:p>
    <w:bookmarkEnd w:id="8"/>
    <w:p w14:paraId="2566179B" w14:textId="77777777" w:rsidR="00182FC3" w:rsidRDefault="00182FC3" w:rsidP="00402DCE">
      <w:pPr>
        <w:pStyle w:val="05-Textonormal"/>
        <w:rPr>
          <w:rFonts w:cs="Arial"/>
          <w:highlight w:val="yellow"/>
        </w:rPr>
      </w:pPr>
    </w:p>
    <w:p w14:paraId="58A451A0" w14:textId="77777777" w:rsidR="00182FC3" w:rsidRDefault="00182FC3" w:rsidP="00F97A88">
      <w:pPr>
        <w:pStyle w:val="01-TtulodeNota"/>
        <w:keepNext/>
        <w:keepLines/>
        <w:pageBreakBefore/>
        <w:numPr>
          <w:ilvl w:val="0"/>
          <w:numId w:val="40"/>
        </w:numPr>
        <w:ind w:left="357" w:hanging="357"/>
        <w:rPr>
          <w:color w:val="1F4E79" w:themeColor="accent1" w:themeShade="80"/>
        </w:rPr>
      </w:pPr>
      <w:r>
        <w:rPr>
          <w:color w:val="1F4E79" w:themeColor="accent1" w:themeShade="80"/>
        </w:rPr>
        <w:lastRenderedPageBreak/>
        <w:t>DESEMPENHO DAS AÇÕES E RELACIONAMENTO COM O MERCADO</w:t>
      </w:r>
    </w:p>
    <w:p w14:paraId="32DC496F" w14:textId="77777777" w:rsidR="00182FC3" w:rsidRPr="00723526" w:rsidRDefault="00182FC3" w:rsidP="00C81A16">
      <w:pPr>
        <w:pStyle w:val="05-Textonormal"/>
        <w:rPr>
          <w:rFonts w:cs="Arial"/>
        </w:rPr>
      </w:pPr>
      <w:r w:rsidRPr="00723526">
        <w:rPr>
          <w:rFonts w:cs="Arial"/>
        </w:rPr>
        <w:t xml:space="preserve">As ações da BB Seguridade, negociadas na B3 – Brasil, Bolsa, Balcão (“B3”) sob o código BBSE3, encerraram o ano cotadas a R$20,75. Com base na cotação de encerramento do exercício, o valor de mercado da BB Seguridade atingiu R$41,5 bilhões, posicionando a Companhia como a 20ª maior empresa listada na bolsa brasileira pelo critério de valor de mercado. </w:t>
      </w:r>
    </w:p>
    <w:p w14:paraId="47F9E6CA" w14:textId="77777777" w:rsidR="00182FC3" w:rsidRPr="00723526" w:rsidRDefault="00182FC3" w:rsidP="00C81A16">
      <w:pPr>
        <w:pStyle w:val="05-Textonormal"/>
        <w:rPr>
          <w:rFonts w:cs="Arial"/>
        </w:rPr>
      </w:pPr>
      <w:r w:rsidRPr="00723526">
        <w:rPr>
          <w:rFonts w:cs="Arial"/>
        </w:rPr>
        <w:t>Em 2021, o volume financeiro médio diário de negociação com ações da Companhia foi de R$125,9 milhões.</w:t>
      </w:r>
    </w:p>
    <w:p w14:paraId="5917A773" w14:textId="77777777" w:rsidR="00182FC3" w:rsidRPr="00DC3779" w:rsidRDefault="00182FC3" w:rsidP="00C81A16">
      <w:pPr>
        <w:pStyle w:val="05-Textonormal"/>
        <w:rPr>
          <w:rFonts w:cs="Arial"/>
        </w:rPr>
      </w:pPr>
      <w:r w:rsidRPr="00DC3779">
        <w:rPr>
          <w:rFonts w:cs="Arial"/>
        </w:rPr>
        <w:t xml:space="preserve">As ações da BB Seguridade encerraram o exercício integrando as carteiras teóricas do Ibovespa, IBrX 100, IBrA, Índice BM&amp;FBOVESPA Financeiro (IFNC), </w:t>
      </w:r>
      <w:r w:rsidRPr="00DC3779">
        <w:rPr>
          <w:rStyle w:val="nfase"/>
          <w:rFonts w:eastAsia="Calibri" w:cs="Arial"/>
          <w:bCs/>
        </w:rPr>
        <w:t xml:space="preserve">Índice de Ações com Governança Corporativa Diferenciada (IGC), </w:t>
      </w:r>
      <w:r w:rsidRPr="00DC3779">
        <w:rPr>
          <w:rFonts w:cs="Arial"/>
        </w:rPr>
        <w:t>Índice de Governança Corporativa Trade (IGCT), Índice de Ações com Governança Corporativa – Novo Mercado (IGC-NM), Índice de Ações com Tag Along Diferenciado (ITAG), Índice Dividendos BM&amp;FBovespa (IDIV), Índice MidLarge Cap (MLCX), Índice Valor BM&amp;FBovespa (IVBX), Índice MSCI Brazil, Índice de Equidade de Gênero da Bloomberg (Bloomberg Gender-Equality Index) e Índice FTSE4Good.</w:t>
      </w:r>
    </w:p>
    <w:p w14:paraId="7B7FDF55" w14:textId="77777777" w:rsidR="00182FC3" w:rsidRPr="00DC3779" w:rsidRDefault="00182FC3" w:rsidP="00C81A16">
      <w:pPr>
        <w:pStyle w:val="05-Textonormal"/>
        <w:rPr>
          <w:rFonts w:cs="Arial"/>
        </w:rPr>
      </w:pPr>
      <w:r w:rsidRPr="00DC3779">
        <w:rPr>
          <w:rFonts w:cs="Arial"/>
        </w:rPr>
        <w:t xml:space="preserve">Desde março de 2014, a BB Seguridade mantém Programa de </w:t>
      </w:r>
      <w:r w:rsidRPr="00DC3779">
        <w:rPr>
          <w:rFonts w:cs="Arial"/>
          <w:i/>
        </w:rPr>
        <w:t>American Depositary Receipts</w:t>
      </w:r>
      <w:r w:rsidRPr="00DC3779">
        <w:rPr>
          <w:rFonts w:cs="Arial"/>
        </w:rPr>
        <w:t xml:space="preserve"> (“ADR”) Nível I. Atualmente, os ADRs são emitidos pelo Citibank, com lastro nas ações ordinárias (ON) da Companhia, na relação de 1 ADR: 1 ON, e negociados em mercado de balcão norte-americano (O</w:t>
      </w:r>
      <w:r w:rsidRPr="00DC3779">
        <w:rPr>
          <w:rFonts w:cs="Arial"/>
          <w:i/>
        </w:rPr>
        <w:t>ver-The-Counter</w:t>
      </w:r>
      <w:r w:rsidRPr="00DC3779">
        <w:rPr>
          <w:rFonts w:cs="Arial"/>
        </w:rPr>
        <w:t>). Ao final do exercício, o programa contava com mais de 18,5 milhões de ADRs emitidos, cotados a US$3,73 por recibo depositário.</w:t>
      </w:r>
    </w:p>
    <w:p w14:paraId="73A7CA0B" w14:textId="77777777" w:rsidR="00182FC3" w:rsidRPr="00860655" w:rsidRDefault="00182FC3" w:rsidP="00C81A16">
      <w:pPr>
        <w:pStyle w:val="05-Textonormal"/>
        <w:rPr>
          <w:rFonts w:cs="Arial"/>
        </w:rPr>
      </w:pPr>
      <w:r w:rsidRPr="00860655">
        <w:rPr>
          <w:rFonts w:cs="Arial"/>
        </w:rPr>
        <w:t>Abaixo, apresentamos os principais indicadores para o desempenho das ações da BB Seguridade nos últimos dois exercícios:</w:t>
      </w:r>
    </w:p>
    <w:p w14:paraId="06FF061B" w14:textId="3742875B" w:rsidR="00182FC3" w:rsidRPr="00860655" w:rsidRDefault="00182FC3" w:rsidP="00C81A16">
      <w:pPr>
        <w:pStyle w:val="01-TtulodeNota"/>
        <w:rPr>
          <w:b w:val="0"/>
          <w:sz w:val="14"/>
        </w:rPr>
      </w:pPr>
      <w:r w:rsidRPr="00860655">
        <w:rPr>
          <w:rFonts w:cs="Arial"/>
          <w:b w:val="0"/>
          <w:sz w:val="14"/>
          <w:szCs w:val="14"/>
        </w:rPr>
        <w:t xml:space="preserve">Tabela </w:t>
      </w:r>
      <w:r w:rsidR="00126F8B">
        <w:rPr>
          <w:rFonts w:cs="Arial"/>
          <w:b w:val="0"/>
          <w:noProof/>
          <w:sz w:val="14"/>
          <w:szCs w:val="14"/>
        </w:rPr>
        <w:t>4</w:t>
      </w:r>
      <w:r w:rsidRPr="00860655">
        <w:rPr>
          <w:b w:val="0"/>
          <w:sz w:val="14"/>
        </w:rPr>
        <w:t xml:space="preserve"> – </w:t>
      </w:r>
      <w:r w:rsidRPr="00860655">
        <w:rPr>
          <w:rFonts w:cs="Arial"/>
          <w:b w:val="0"/>
          <w:sz w:val="14"/>
        </w:rPr>
        <w:t>Desempenho das Ações</w:t>
      </w:r>
    </w:p>
    <w:tbl>
      <w:tblPr>
        <w:tblStyle w:val="TabeladeLista6Colorida-nfase5"/>
        <w:tblW w:w="9639" w:type="dxa"/>
        <w:tblLook w:val="04A0" w:firstRow="1" w:lastRow="0" w:firstColumn="1" w:lastColumn="0" w:noHBand="0" w:noVBand="1"/>
      </w:tblPr>
      <w:tblGrid>
        <w:gridCol w:w="2163"/>
        <w:gridCol w:w="499"/>
        <w:gridCol w:w="1696"/>
        <w:gridCol w:w="2672"/>
        <w:gridCol w:w="2609"/>
      </w:tblGrid>
      <w:tr w:rsidR="00182FC3" w:rsidRPr="00860655" w14:paraId="693E71F5" w14:textId="77777777" w:rsidTr="003E5CAD">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vAlign w:val="center"/>
          </w:tcPr>
          <w:p w14:paraId="0099E1E6" w14:textId="77777777" w:rsidR="00182FC3" w:rsidRPr="00860655" w:rsidRDefault="00182FC3">
            <w:pPr>
              <w:pStyle w:val="08-Tabelageral"/>
              <w:jc w:val="left"/>
              <w:rPr>
                <w:rFonts w:cs="Arial"/>
                <w:bCs w:val="0"/>
                <w:szCs w:val="14"/>
                <w:lang w:eastAsia="en-US"/>
              </w:rPr>
            </w:pPr>
          </w:p>
        </w:tc>
        <w:tc>
          <w:tcPr>
            <w:tcW w:w="0" w:type="dxa"/>
            <w:tcBorders>
              <w:top w:val="nil"/>
              <w:left w:val="nil"/>
              <w:bottom w:val="single" w:sz="2" w:space="0" w:color="1F4E79" w:themeColor="accent1" w:themeShade="80"/>
              <w:right w:val="nil"/>
            </w:tcBorders>
            <w:vAlign w:val="center"/>
          </w:tcPr>
          <w:p w14:paraId="2A7BEEDA" w14:textId="77777777" w:rsidR="00182FC3" w:rsidRPr="00860655" w:rsidRDefault="00182FC3">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0" w:type="dxa"/>
            <w:tcBorders>
              <w:top w:val="nil"/>
              <w:left w:val="nil"/>
              <w:bottom w:val="single" w:sz="2" w:space="0" w:color="1F4E79" w:themeColor="accent1" w:themeShade="80"/>
              <w:right w:val="nil"/>
            </w:tcBorders>
            <w:vAlign w:val="center"/>
          </w:tcPr>
          <w:p w14:paraId="6F86E0CF" w14:textId="77777777" w:rsidR="00182FC3" w:rsidRPr="00860655" w:rsidRDefault="00182FC3">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0" w:type="dxa"/>
            <w:tcBorders>
              <w:top w:val="nil"/>
              <w:left w:val="nil"/>
              <w:bottom w:val="single" w:sz="2" w:space="0" w:color="1F4E79" w:themeColor="accent1" w:themeShade="80"/>
              <w:right w:val="nil"/>
            </w:tcBorders>
            <w:vAlign w:val="center"/>
          </w:tcPr>
          <w:p w14:paraId="246B52B5" w14:textId="77777777" w:rsidR="00182FC3" w:rsidRPr="00860655" w:rsidRDefault="00182FC3">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0" w:type="dxa"/>
            <w:tcBorders>
              <w:top w:val="nil"/>
              <w:left w:val="nil"/>
              <w:bottom w:val="single" w:sz="2" w:space="0" w:color="1F4E79" w:themeColor="accent1" w:themeShade="80"/>
              <w:right w:val="nil"/>
            </w:tcBorders>
            <w:vAlign w:val="center"/>
          </w:tcPr>
          <w:p w14:paraId="4450C265" w14:textId="77777777" w:rsidR="00182FC3" w:rsidRPr="00860655" w:rsidRDefault="00182FC3">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p>
        </w:tc>
      </w:tr>
      <w:tr w:rsidR="00182FC3" w:rsidRPr="00860655" w14:paraId="53F711EC" w14:textId="77777777" w:rsidTr="003E5CAD">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BA6B8F8" w14:textId="77777777" w:rsidR="00182FC3" w:rsidRPr="00860655" w:rsidRDefault="00182FC3" w:rsidP="00DC3779">
            <w:pPr>
              <w:pStyle w:val="08-Tabelageral"/>
              <w:jc w:val="left"/>
              <w:rPr>
                <w:rFonts w:cs="Arial"/>
                <w:b w:val="0"/>
                <w:snapToGrid w:val="0"/>
                <w:lang w:eastAsia="en-US"/>
              </w:rPr>
            </w:pPr>
          </w:p>
        </w:tc>
        <w:tc>
          <w:tcPr>
            <w:tcW w:w="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612CA53"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bCs/>
                <w:color w:val="FF0000"/>
                <w:szCs w:val="14"/>
                <w:lang w:eastAsia="en-US"/>
              </w:rPr>
            </w:pPr>
          </w:p>
        </w:tc>
        <w:tc>
          <w:tcPr>
            <w:tcW w:w="0"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9E8AFE2"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Unidade</w:t>
            </w:r>
          </w:p>
        </w:tc>
        <w:tc>
          <w:tcPr>
            <w:tcW w:w="0"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6EB07A38"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Exercício/2021</w:t>
            </w:r>
          </w:p>
        </w:tc>
        <w:tc>
          <w:tcPr>
            <w:tcW w:w="0"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34D9FC6"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Exercício/2020</w:t>
            </w:r>
          </w:p>
        </w:tc>
      </w:tr>
      <w:tr w:rsidR="00182FC3" w:rsidRPr="00860655" w14:paraId="1804C872"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hideMark/>
          </w:tcPr>
          <w:p w14:paraId="48775DE8" w14:textId="77777777" w:rsidR="00182FC3" w:rsidRPr="00860655" w:rsidRDefault="00182FC3" w:rsidP="00DC3779">
            <w:pPr>
              <w:pStyle w:val="08-Tabelageral"/>
              <w:jc w:val="left"/>
              <w:rPr>
                <w:rFonts w:cs="Arial"/>
                <w:b w:val="0"/>
                <w:snapToGrid w:val="0"/>
                <w:lang w:eastAsia="en-US"/>
              </w:rPr>
            </w:pPr>
            <w:r w:rsidRPr="00860655">
              <w:rPr>
                <w:rFonts w:cs="Arial"/>
                <w:b w:val="0"/>
                <w:lang w:eastAsia="en-US"/>
              </w:rPr>
              <w:t>Lucro ajustado por ação</w:t>
            </w:r>
          </w:p>
        </w:tc>
        <w:tc>
          <w:tcPr>
            <w:tcW w:w="0" w:type="dxa"/>
            <w:tcBorders>
              <w:top w:val="single" w:sz="2" w:space="0" w:color="1F4E79" w:themeColor="accent1" w:themeShade="80"/>
              <w:left w:val="nil"/>
              <w:bottom w:val="nil"/>
              <w:right w:val="nil"/>
            </w:tcBorders>
            <w:shd w:val="clear" w:color="auto" w:fill="auto"/>
            <w:vAlign w:val="center"/>
          </w:tcPr>
          <w:p w14:paraId="265A6F97" w14:textId="77777777" w:rsidR="00182FC3" w:rsidRPr="00860655"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single" w:sz="2" w:space="0" w:color="1F4E79" w:themeColor="accent1" w:themeShade="80"/>
              <w:left w:val="nil"/>
              <w:bottom w:val="nil"/>
              <w:right w:val="nil"/>
            </w:tcBorders>
            <w:shd w:val="clear" w:color="auto" w:fill="auto"/>
            <w:hideMark/>
          </w:tcPr>
          <w:p w14:paraId="7677B351" w14:textId="77777777" w:rsidR="00182FC3" w:rsidRPr="00860655"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60655">
              <w:rPr>
                <w:rFonts w:cs="Arial"/>
                <w:lang w:eastAsia="en-US"/>
              </w:rPr>
              <w:t>R$</w:t>
            </w:r>
          </w:p>
        </w:tc>
        <w:tc>
          <w:tcPr>
            <w:tcW w:w="0" w:type="dxa"/>
            <w:tcBorders>
              <w:top w:val="single" w:sz="2" w:space="0" w:color="1F4E79" w:themeColor="accent1" w:themeShade="80"/>
              <w:left w:val="nil"/>
              <w:bottom w:val="nil"/>
              <w:right w:val="nil"/>
            </w:tcBorders>
            <w:shd w:val="clear" w:color="auto" w:fill="auto"/>
            <w:hideMark/>
          </w:tcPr>
          <w:p w14:paraId="692724DB" w14:textId="77777777" w:rsidR="00182FC3" w:rsidRPr="00860655" w:rsidRDefault="00182FC3" w:rsidP="00DC3779">
            <w:pPr>
              <w:pStyle w:val="08-Tabelageral"/>
              <w:ind w:left="708"/>
              <w:cnfStyle w:val="000000000000" w:firstRow="0" w:lastRow="0" w:firstColumn="0" w:lastColumn="0" w:oddVBand="0" w:evenVBand="0" w:oddHBand="0" w:evenHBand="0" w:firstRowFirstColumn="0" w:firstRowLastColumn="0" w:lastRowFirstColumn="0" w:lastRowLastColumn="0"/>
              <w:rPr>
                <w:rFonts w:cs="Arial"/>
                <w:color w:val="FF0000"/>
                <w:lang w:eastAsia="en-US"/>
              </w:rPr>
            </w:pPr>
            <w:r w:rsidRPr="00860655">
              <w:rPr>
                <w:rFonts w:cs="Arial"/>
                <w:lang w:eastAsia="en-US"/>
              </w:rPr>
              <w:t>1,97</w:t>
            </w:r>
          </w:p>
        </w:tc>
        <w:tc>
          <w:tcPr>
            <w:tcW w:w="0" w:type="dxa"/>
            <w:tcBorders>
              <w:top w:val="single" w:sz="2" w:space="0" w:color="1F4E79" w:themeColor="accent1" w:themeShade="80"/>
              <w:left w:val="nil"/>
              <w:bottom w:val="nil"/>
              <w:right w:val="nil"/>
            </w:tcBorders>
            <w:shd w:val="clear" w:color="auto" w:fill="auto"/>
            <w:hideMark/>
          </w:tcPr>
          <w:p w14:paraId="1DBDDE45" w14:textId="77777777" w:rsidR="00182FC3" w:rsidRPr="00860655"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60655">
              <w:rPr>
                <w:rFonts w:cs="Arial"/>
                <w:lang w:eastAsia="en-US"/>
              </w:rPr>
              <w:t>1,94</w:t>
            </w:r>
          </w:p>
        </w:tc>
      </w:tr>
      <w:tr w:rsidR="00182FC3" w:rsidRPr="00FA31E9" w14:paraId="30F38E43"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A8A8CEB" w14:textId="77777777" w:rsidR="00182FC3" w:rsidRPr="00860655" w:rsidRDefault="00182FC3" w:rsidP="00DC3779">
            <w:pPr>
              <w:pStyle w:val="08-Tabelageral"/>
              <w:jc w:val="left"/>
              <w:rPr>
                <w:rFonts w:cs="Arial"/>
                <w:b w:val="0"/>
                <w:snapToGrid w:val="0"/>
                <w:lang w:eastAsia="en-US"/>
              </w:rPr>
            </w:pPr>
            <w:r w:rsidRPr="00860655">
              <w:rPr>
                <w:rFonts w:cs="Arial"/>
                <w:b w:val="0"/>
                <w:lang w:eastAsia="en-US"/>
              </w:rPr>
              <w:t>Valor patrimonial por ação</w:t>
            </w:r>
          </w:p>
        </w:tc>
        <w:tc>
          <w:tcPr>
            <w:tcW w:w="0" w:type="dxa"/>
            <w:tcBorders>
              <w:top w:val="nil"/>
              <w:left w:val="nil"/>
              <w:bottom w:val="nil"/>
              <w:right w:val="nil"/>
            </w:tcBorders>
            <w:shd w:val="clear" w:color="auto" w:fill="auto"/>
            <w:vAlign w:val="center"/>
          </w:tcPr>
          <w:p w14:paraId="004CBC23"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0" w:type="dxa"/>
            <w:tcBorders>
              <w:top w:val="nil"/>
              <w:left w:val="nil"/>
              <w:bottom w:val="nil"/>
              <w:right w:val="nil"/>
            </w:tcBorders>
            <w:shd w:val="clear" w:color="auto" w:fill="auto"/>
            <w:hideMark/>
          </w:tcPr>
          <w:p w14:paraId="1ADA3700"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860655">
              <w:rPr>
                <w:rFonts w:cs="Arial"/>
                <w:color w:val="auto"/>
                <w:lang w:eastAsia="en-US"/>
              </w:rPr>
              <w:t>R$</w:t>
            </w:r>
          </w:p>
        </w:tc>
        <w:tc>
          <w:tcPr>
            <w:tcW w:w="0" w:type="dxa"/>
            <w:tcBorders>
              <w:top w:val="nil"/>
              <w:left w:val="nil"/>
              <w:bottom w:val="nil"/>
              <w:right w:val="nil"/>
            </w:tcBorders>
            <w:shd w:val="clear" w:color="auto" w:fill="auto"/>
            <w:hideMark/>
          </w:tcPr>
          <w:p w14:paraId="407CBBE4"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860655">
              <w:rPr>
                <w:rFonts w:cs="Arial"/>
                <w:color w:val="auto"/>
                <w:lang w:eastAsia="en-US"/>
              </w:rPr>
              <w:t>3,64</w:t>
            </w:r>
          </w:p>
        </w:tc>
        <w:tc>
          <w:tcPr>
            <w:tcW w:w="0" w:type="dxa"/>
            <w:tcBorders>
              <w:top w:val="nil"/>
              <w:left w:val="nil"/>
              <w:bottom w:val="nil"/>
              <w:right w:val="nil"/>
            </w:tcBorders>
            <w:shd w:val="clear" w:color="auto" w:fill="auto"/>
            <w:hideMark/>
          </w:tcPr>
          <w:p w14:paraId="0C40E73C" w14:textId="77777777" w:rsidR="00182FC3" w:rsidRPr="00860655"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860655">
              <w:rPr>
                <w:rFonts w:cs="Arial"/>
                <w:color w:val="auto"/>
                <w:lang w:eastAsia="en-US"/>
              </w:rPr>
              <w:t>3,19</w:t>
            </w:r>
          </w:p>
        </w:tc>
      </w:tr>
      <w:tr w:rsidR="00182FC3" w:rsidRPr="00DC3779" w14:paraId="72CBCE45"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AA5734A" w14:textId="77777777" w:rsidR="00182FC3" w:rsidRPr="00DC3779" w:rsidRDefault="00182FC3" w:rsidP="00DC3779">
            <w:pPr>
              <w:pStyle w:val="08-Tabelageral"/>
              <w:jc w:val="left"/>
              <w:rPr>
                <w:rFonts w:cs="Arial"/>
                <w:b w:val="0"/>
                <w:snapToGrid w:val="0"/>
                <w:lang w:eastAsia="en-US"/>
              </w:rPr>
            </w:pPr>
            <w:r w:rsidRPr="00DC3779">
              <w:rPr>
                <w:rFonts w:cs="Arial"/>
                <w:b w:val="0"/>
                <w:lang w:eastAsia="en-US"/>
              </w:rPr>
              <w:t>Cotação de fechamento</w:t>
            </w:r>
          </w:p>
        </w:tc>
        <w:tc>
          <w:tcPr>
            <w:tcW w:w="0" w:type="dxa"/>
            <w:tcBorders>
              <w:top w:val="nil"/>
              <w:left w:val="nil"/>
              <w:bottom w:val="nil"/>
              <w:right w:val="nil"/>
            </w:tcBorders>
            <w:shd w:val="clear" w:color="auto" w:fill="auto"/>
            <w:vAlign w:val="center"/>
          </w:tcPr>
          <w:p w14:paraId="08449449"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nil"/>
              <w:left w:val="nil"/>
              <w:bottom w:val="nil"/>
              <w:right w:val="nil"/>
            </w:tcBorders>
            <w:shd w:val="clear" w:color="auto" w:fill="auto"/>
            <w:hideMark/>
          </w:tcPr>
          <w:p w14:paraId="49F9630D"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R$</w:t>
            </w:r>
          </w:p>
        </w:tc>
        <w:tc>
          <w:tcPr>
            <w:tcW w:w="0" w:type="dxa"/>
            <w:tcBorders>
              <w:top w:val="nil"/>
              <w:left w:val="nil"/>
              <w:bottom w:val="nil"/>
              <w:right w:val="nil"/>
            </w:tcBorders>
            <w:shd w:val="clear" w:color="auto" w:fill="auto"/>
            <w:hideMark/>
          </w:tcPr>
          <w:p w14:paraId="7F59BBD7"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20,75</w:t>
            </w:r>
          </w:p>
        </w:tc>
        <w:tc>
          <w:tcPr>
            <w:tcW w:w="0" w:type="dxa"/>
            <w:tcBorders>
              <w:top w:val="nil"/>
              <w:left w:val="nil"/>
              <w:bottom w:val="nil"/>
              <w:right w:val="nil"/>
            </w:tcBorders>
            <w:shd w:val="clear" w:color="auto" w:fill="auto"/>
            <w:hideMark/>
          </w:tcPr>
          <w:p w14:paraId="30882A4E"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29,63</w:t>
            </w:r>
          </w:p>
        </w:tc>
      </w:tr>
      <w:tr w:rsidR="00182FC3" w:rsidRPr="00DC3779" w14:paraId="6A863BB3"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FB52867" w14:textId="77777777" w:rsidR="00182FC3" w:rsidRPr="00DC3779" w:rsidRDefault="00182FC3" w:rsidP="00DC3779">
            <w:pPr>
              <w:pStyle w:val="08-Tabelageral"/>
              <w:jc w:val="left"/>
              <w:rPr>
                <w:rFonts w:cs="Arial"/>
                <w:b w:val="0"/>
                <w:snapToGrid w:val="0"/>
                <w:lang w:eastAsia="en-US"/>
              </w:rPr>
            </w:pPr>
            <w:r w:rsidRPr="00DC3779">
              <w:rPr>
                <w:rFonts w:cs="Arial"/>
                <w:b w:val="0"/>
                <w:lang w:eastAsia="en-US"/>
              </w:rPr>
              <w:t>Valor de mercado</w:t>
            </w:r>
          </w:p>
        </w:tc>
        <w:tc>
          <w:tcPr>
            <w:tcW w:w="0" w:type="dxa"/>
            <w:tcBorders>
              <w:top w:val="nil"/>
              <w:left w:val="nil"/>
              <w:bottom w:val="nil"/>
              <w:right w:val="nil"/>
            </w:tcBorders>
            <w:shd w:val="clear" w:color="auto" w:fill="auto"/>
            <w:vAlign w:val="center"/>
          </w:tcPr>
          <w:p w14:paraId="33DBAA4C"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0" w:type="dxa"/>
            <w:tcBorders>
              <w:top w:val="nil"/>
              <w:left w:val="nil"/>
              <w:bottom w:val="nil"/>
              <w:right w:val="nil"/>
            </w:tcBorders>
            <w:shd w:val="clear" w:color="auto" w:fill="auto"/>
            <w:hideMark/>
          </w:tcPr>
          <w:p w14:paraId="0D20E5E7"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R$ bilhões</w:t>
            </w:r>
          </w:p>
        </w:tc>
        <w:tc>
          <w:tcPr>
            <w:tcW w:w="0" w:type="dxa"/>
            <w:tcBorders>
              <w:top w:val="nil"/>
              <w:left w:val="nil"/>
              <w:bottom w:val="nil"/>
              <w:right w:val="nil"/>
            </w:tcBorders>
            <w:shd w:val="clear" w:color="auto" w:fill="auto"/>
            <w:hideMark/>
          </w:tcPr>
          <w:p w14:paraId="42207C8D"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41,50</w:t>
            </w:r>
          </w:p>
        </w:tc>
        <w:tc>
          <w:tcPr>
            <w:tcW w:w="0" w:type="dxa"/>
            <w:tcBorders>
              <w:top w:val="nil"/>
              <w:left w:val="nil"/>
              <w:bottom w:val="nil"/>
              <w:right w:val="nil"/>
            </w:tcBorders>
            <w:shd w:val="clear" w:color="auto" w:fill="auto"/>
            <w:hideMark/>
          </w:tcPr>
          <w:p w14:paraId="7356F873"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59,26</w:t>
            </w:r>
          </w:p>
        </w:tc>
      </w:tr>
      <w:tr w:rsidR="00182FC3" w:rsidRPr="00DC3779" w14:paraId="5EB73C9E"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AAD3FD5" w14:textId="77777777" w:rsidR="00182FC3" w:rsidRPr="00DC3779" w:rsidRDefault="00182FC3" w:rsidP="00DC3779">
            <w:pPr>
              <w:pStyle w:val="08-Tabelageral"/>
              <w:jc w:val="left"/>
              <w:rPr>
                <w:rFonts w:cs="Arial"/>
                <w:b w:val="0"/>
                <w:snapToGrid w:val="0"/>
                <w:lang w:eastAsia="en-US"/>
              </w:rPr>
            </w:pPr>
            <w:r w:rsidRPr="00DC3779">
              <w:rPr>
                <w:rFonts w:cs="Arial"/>
                <w:b w:val="0"/>
                <w:lang w:eastAsia="en-US"/>
              </w:rPr>
              <w:t>Quantidade de negócios realizados¹</w:t>
            </w:r>
          </w:p>
        </w:tc>
        <w:tc>
          <w:tcPr>
            <w:tcW w:w="0" w:type="dxa"/>
            <w:tcBorders>
              <w:top w:val="nil"/>
              <w:left w:val="nil"/>
              <w:bottom w:val="nil"/>
              <w:right w:val="nil"/>
            </w:tcBorders>
            <w:shd w:val="clear" w:color="auto" w:fill="auto"/>
            <w:vAlign w:val="center"/>
          </w:tcPr>
          <w:p w14:paraId="2376A73F"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nil"/>
              <w:left w:val="nil"/>
              <w:bottom w:val="nil"/>
              <w:right w:val="nil"/>
            </w:tcBorders>
            <w:shd w:val="clear" w:color="auto" w:fill="auto"/>
            <w:hideMark/>
          </w:tcPr>
          <w:p w14:paraId="19FADFB3"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w:t>
            </w:r>
          </w:p>
        </w:tc>
        <w:tc>
          <w:tcPr>
            <w:tcW w:w="0" w:type="dxa"/>
            <w:tcBorders>
              <w:top w:val="nil"/>
              <w:left w:val="nil"/>
              <w:bottom w:val="nil"/>
              <w:right w:val="nil"/>
            </w:tcBorders>
            <w:shd w:val="clear" w:color="auto" w:fill="auto"/>
            <w:hideMark/>
          </w:tcPr>
          <w:p w14:paraId="48649844"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5.061.575</w:t>
            </w:r>
          </w:p>
        </w:tc>
        <w:tc>
          <w:tcPr>
            <w:tcW w:w="0" w:type="dxa"/>
            <w:tcBorders>
              <w:top w:val="nil"/>
              <w:left w:val="nil"/>
              <w:bottom w:val="nil"/>
              <w:right w:val="nil"/>
            </w:tcBorders>
            <w:shd w:val="clear" w:color="auto" w:fill="auto"/>
            <w:hideMark/>
          </w:tcPr>
          <w:p w14:paraId="5632320F"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5.249.372</w:t>
            </w:r>
          </w:p>
        </w:tc>
      </w:tr>
      <w:tr w:rsidR="00182FC3" w:rsidRPr="00DC3779" w14:paraId="759FECB9"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69D6B11" w14:textId="77777777" w:rsidR="00182FC3" w:rsidRPr="00DC3779" w:rsidRDefault="00182FC3" w:rsidP="00DC3779">
            <w:pPr>
              <w:pStyle w:val="08-Tabelageral"/>
              <w:jc w:val="left"/>
              <w:rPr>
                <w:rFonts w:cs="Arial"/>
                <w:b w:val="0"/>
                <w:snapToGrid w:val="0"/>
                <w:vertAlign w:val="superscript"/>
                <w:lang w:eastAsia="en-US"/>
              </w:rPr>
            </w:pPr>
            <w:r w:rsidRPr="00DC3779">
              <w:rPr>
                <w:rFonts w:cs="Arial"/>
                <w:b w:val="0"/>
                <w:lang w:eastAsia="en-US"/>
              </w:rPr>
              <w:t>Volume médio diário negociado¹</w:t>
            </w:r>
          </w:p>
        </w:tc>
        <w:tc>
          <w:tcPr>
            <w:tcW w:w="0" w:type="dxa"/>
            <w:tcBorders>
              <w:top w:val="nil"/>
              <w:left w:val="nil"/>
              <w:bottom w:val="nil"/>
              <w:right w:val="nil"/>
            </w:tcBorders>
            <w:shd w:val="clear" w:color="auto" w:fill="auto"/>
            <w:vAlign w:val="center"/>
          </w:tcPr>
          <w:p w14:paraId="502133B5"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0" w:type="dxa"/>
            <w:tcBorders>
              <w:top w:val="nil"/>
              <w:left w:val="nil"/>
              <w:bottom w:val="nil"/>
              <w:right w:val="nil"/>
            </w:tcBorders>
            <w:shd w:val="clear" w:color="auto" w:fill="auto"/>
            <w:hideMark/>
          </w:tcPr>
          <w:p w14:paraId="24C97A00"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R$ milhões</w:t>
            </w:r>
          </w:p>
        </w:tc>
        <w:tc>
          <w:tcPr>
            <w:tcW w:w="0" w:type="dxa"/>
            <w:tcBorders>
              <w:top w:val="nil"/>
              <w:left w:val="nil"/>
              <w:bottom w:val="nil"/>
              <w:right w:val="nil"/>
            </w:tcBorders>
            <w:shd w:val="clear" w:color="auto" w:fill="auto"/>
            <w:hideMark/>
          </w:tcPr>
          <w:p w14:paraId="605A2445"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125,9</w:t>
            </w:r>
          </w:p>
        </w:tc>
        <w:tc>
          <w:tcPr>
            <w:tcW w:w="0" w:type="dxa"/>
            <w:tcBorders>
              <w:top w:val="nil"/>
              <w:left w:val="nil"/>
              <w:bottom w:val="nil"/>
              <w:right w:val="nil"/>
            </w:tcBorders>
            <w:shd w:val="clear" w:color="auto" w:fill="auto"/>
            <w:hideMark/>
          </w:tcPr>
          <w:p w14:paraId="7D2E55D6" w14:textId="77777777" w:rsidR="00182FC3" w:rsidRPr="00DC3779" w:rsidRDefault="00182FC3" w:rsidP="00DC3779">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135,19</w:t>
            </w:r>
          </w:p>
        </w:tc>
      </w:tr>
      <w:tr w:rsidR="00182FC3" w:rsidRPr="00DC3779" w14:paraId="4FE964B9" w14:textId="77777777" w:rsidTr="003E5CAD">
        <w:trPr>
          <w:trHeight w:hRule="exact" w:val="413"/>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hideMark/>
          </w:tcPr>
          <w:p w14:paraId="13496A53" w14:textId="77777777" w:rsidR="00182FC3" w:rsidRPr="00DC3779" w:rsidRDefault="00182FC3" w:rsidP="00DC3779">
            <w:pPr>
              <w:pStyle w:val="08-Tabelageral"/>
              <w:jc w:val="left"/>
              <w:rPr>
                <w:rFonts w:cs="Arial"/>
                <w:b w:val="0"/>
                <w:snapToGrid w:val="0"/>
                <w:lang w:eastAsia="en-US"/>
              </w:rPr>
            </w:pPr>
            <w:r w:rsidRPr="00DC3779">
              <w:rPr>
                <w:rFonts w:cs="Arial"/>
                <w:b w:val="0"/>
                <w:lang w:eastAsia="en-US"/>
              </w:rPr>
              <w:t>Participação no volume médio diário da B3</w:t>
            </w:r>
          </w:p>
        </w:tc>
        <w:tc>
          <w:tcPr>
            <w:tcW w:w="0" w:type="dxa"/>
            <w:tcBorders>
              <w:top w:val="nil"/>
              <w:left w:val="nil"/>
              <w:bottom w:val="single" w:sz="2" w:space="0" w:color="1F4E79" w:themeColor="accent1" w:themeShade="80"/>
              <w:right w:val="nil"/>
            </w:tcBorders>
            <w:shd w:val="clear" w:color="auto" w:fill="auto"/>
            <w:vAlign w:val="center"/>
          </w:tcPr>
          <w:p w14:paraId="0280A209"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nil"/>
              <w:left w:val="nil"/>
              <w:bottom w:val="single" w:sz="2" w:space="0" w:color="1F4E79" w:themeColor="accent1" w:themeShade="80"/>
              <w:right w:val="nil"/>
            </w:tcBorders>
            <w:shd w:val="clear" w:color="auto" w:fill="auto"/>
            <w:hideMark/>
          </w:tcPr>
          <w:p w14:paraId="1BD4E95F"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w:t>
            </w:r>
          </w:p>
        </w:tc>
        <w:tc>
          <w:tcPr>
            <w:tcW w:w="0" w:type="dxa"/>
            <w:tcBorders>
              <w:top w:val="nil"/>
              <w:left w:val="nil"/>
              <w:bottom w:val="single" w:sz="2" w:space="0" w:color="1F4E79" w:themeColor="accent1" w:themeShade="80"/>
              <w:right w:val="nil"/>
            </w:tcBorders>
            <w:shd w:val="clear" w:color="auto" w:fill="auto"/>
            <w:hideMark/>
          </w:tcPr>
          <w:p w14:paraId="52099A89"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0,44</w:t>
            </w:r>
          </w:p>
        </w:tc>
        <w:tc>
          <w:tcPr>
            <w:tcW w:w="0" w:type="dxa"/>
            <w:tcBorders>
              <w:top w:val="nil"/>
              <w:left w:val="nil"/>
              <w:bottom w:val="single" w:sz="2" w:space="0" w:color="1F4E79" w:themeColor="accent1" w:themeShade="80"/>
              <w:right w:val="nil"/>
            </w:tcBorders>
            <w:shd w:val="clear" w:color="auto" w:fill="auto"/>
            <w:hideMark/>
          </w:tcPr>
          <w:p w14:paraId="557A4D04" w14:textId="77777777" w:rsidR="00182FC3" w:rsidRPr="00DC3779" w:rsidRDefault="00182FC3" w:rsidP="00DC3779">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0,52</w:t>
            </w:r>
          </w:p>
        </w:tc>
      </w:tr>
    </w:tbl>
    <w:p w14:paraId="47C9F7FB" w14:textId="77777777" w:rsidR="00182FC3" w:rsidRPr="00DC3779" w:rsidRDefault="00182FC3" w:rsidP="00C81A16">
      <w:pPr>
        <w:pStyle w:val="07-Legenda"/>
        <w:rPr>
          <w:rFonts w:cs="Arial"/>
        </w:rPr>
      </w:pPr>
      <w:r w:rsidRPr="00DC3779">
        <w:rPr>
          <w:rFonts w:cs="Arial"/>
        </w:rPr>
        <w:t>(1) Referem-se ao Lote-padrão</w:t>
      </w:r>
    </w:p>
    <w:p w14:paraId="2A3B2BCE" w14:textId="77777777" w:rsidR="00182FC3" w:rsidRPr="00FA31E9" w:rsidRDefault="00182FC3" w:rsidP="00C81A16">
      <w:pPr>
        <w:spacing w:after="0" w:line="240" w:lineRule="auto"/>
        <w:rPr>
          <w:rFonts w:eastAsia="Times New Roman" w:cs="Arial"/>
          <w:b/>
          <w:spacing w:val="-2"/>
          <w:sz w:val="20"/>
          <w:szCs w:val="20"/>
          <w:highlight w:val="yellow"/>
          <w:lang w:eastAsia="pt-BR"/>
        </w:rPr>
      </w:pPr>
    </w:p>
    <w:p w14:paraId="3B0C4C96" w14:textId="77777777" w:rsidR="00182FC3" w:rsidRPr="00860655" w:rsidRDefault="00182FC3" w:rsidP="00C81A16">
      <w:pPr>
        <w:pStyle w:val="03-SubttulodeNota"/>
        <w:spacing w:line="276" w:lineRule="auto"/>
        <w:rPr>
          <w:color w:val="1F4E79" w:themeColor="accent1" w:themeShade="80"/>
        </w:rPr>
      </w:pPr>
      <w:r w:rsidRPr="00860655">
        <w:rPr>
          <w:color w:val="1F4E79" w:themeColor="accent1" w:themeShade="80"/>
        </w:rPr>
        <w:t>Remuneração aos acionistas</w:t>
      </w:r>
    </w:p>
    <w:p w14:paraId="61E2ECA8" w14:textId="77777777" w:rsidR="00182FC3" w:rsidRPr="00140617" w:rsidRDefault="00182FC3" w:rsidP="00C81A16">
      <w:pPr>
        <w:pStyle w:val="01-Textonormal"/>
        <w:rPr>
          <w:rFonts w:cs="Arial"/>
        </w:rPr>
      </w:pPr>
      <w:r w:rsidRPr="00860655">
        <w:rPr>
          <w:rFonts w:cs="Arial"/>
        </w:rPr>
        <w:t>A BB Seguridade destinou aproximadamente 73,0% do lucro líquido aos acionistas na forma de dividendos em 2021, o que totaliza R$2,9 bilhões, equivalente a R$1,44 por ação. Em 2020, o dividendo</w:t>
      </w:r>
      <w:r w:rsidRPr="00140617">
        <w:rPr>
          <w:rFonts w:cs="Arial"/>
        </w:rPr>
        <w:t xml:space="preserve"> referente ao lucro líquido do exercício foi de R$1,35 por ação. </w:t>
      </w:r>
    </w:p>
    <w:p w14:paraId="599DE4E3" w14:textId="77777777" w:rsidR="00182FC3" w:rsidRPr="00FA31E9" w:rsidRDefault="00182FC3" w:rsidP="00C81A16">
      <w:pPr>
        <w:pStyle w:val="01-Textonormal"/>
        <w:rPr>
          <w:rFonts w:cs="Arial"/>
          <w:color w:val="FF0000"/>
          <w:highlight w:val="yellow"/>
        </w:rPr>
      </w:pPr>
    </w:p>
    <w:p w14:paraId="1962BBF9" w14:textId="77777777" w:rsidR="00182FC3" w:rsidRPr="00B85BEE" w:rsidRDefault="00182FC3" w:rsidP="00C81A16">
      <w:pPr>
        <w:pStyle w:val="03-SubttulodeNota"/>
        <w:spacing w:line="276" w:lineRule="auto"/>
        <w:rPr>
          <w:color w:val="1F4E79" w:themeColor="accent1" w:themeShade="80"/>
        </w:rPr>
      </w:pPr>
      <w:r w:rsidRPr="00B85BEE">
        <w:rPr>
          <w:color w:val="1F4E79" w:themeColor="accent1" w:themeShade="80"/>
        </w:rPr>
        <w:t>Recompra de ações</w:t>
      </w:r>
    </w:p>
    <w:p w14:paraId="7BD1FB52" w14:textId="77777777" w:rsidR="00182FC3" w:rsidRPr="00B85BEE" w:rsidRDefault="00182FC3" w:rsidP="00C81A16">
      <w:pPr>
        <w:pStyle w:val="05-Textonormal"/>
        <w:rPr>
          <w:rFonts w:cs="Arial"/>
        </w:rPr>
      </w:pPr>
      <w:r w:rsidRPr="00B85BEE">
        <w:rPr>
          <w:rFonts w:cs="Arial"/>
        </w:rPr>
        <w:t xml:space="preserve">Durante o ano de 2021, não houve programa de recompra de ações aberto. Conforme aprovado pela Assembleia Geral Extraordinária (“AGE”), realizada em 30.10.2019, as ações em tesouraria </w:t>
      </w:r>
      <w:bookmarkStart w:id="9" w:name="_Hlk62115926"/>
      <w:r w:rsidRPr="00B85BEE">
        <w:rPr>
          <w:rFonts w:cs="Arial"/>
        </w:rPr>
        <w:t xml:space="preserve">referentes a recompras realizadas em exercícios anteriores </w:t>
      </w:r>
      <w:bookmarkEnd w:id="9"/>
      <w:r w:rsidRPr="00B85BEE">
        <w:rPr>
          <w:rFonts w:cs="Arial"/>
        </w:rPr>
        <w:t xml:space="preserve">podem ser utilizadas especificamente em programas de premiação aos empregados e remuneração variável de diretores, até o limite de 3.359.550 ações, cabendo ao Conselho de Administração a definição da melhor forma e momento para implementar a alienação dessas ações. </w:t>
      </w:r>
    </w:p>
    <w:p w14:paraId="41A37E03" w14:textId="77777777" w:rsidR="00182FC3" w:rsidRDefault="00182FC3" w:rsidP="00C81A16">
      <w:pPr>
        <w:pStyle w:val="05-Textonormal"/>
        <w:rPr>
          <w:rFonts w:cs="Arial"/>
        </w:rPr>
      </w:pPr>
      <w:r w:rsidRPr="00B85BEE">
        <w:rPr>
          <w:rFonts w:cs="Arial"/>
        </w:rPr>
        <w:t>Em 202</w:t>
      </w:r>
      <w:r>
        <w:rPr>
          <w:rFonts w:cs="Arial"/>
        </w:rPr>
        <w:t>1</w:t>
      </w:r>
      <w:r w:rsidRPr="00B85BEE">
        <w:rPr>
          <w:rFonts w:cs="Arial"/>
        </w:rPr>
        <w:t xml:space="preserve"> foram transferidas 38.263 ações para o Programa de Premiação por Resultado (PPR), destinado a reconhecer o desempenho individual dos funcionários que superaram suas metas em 2020 e 22.460 ações para o Programa de Remuneração Variável de diretores.</w:t>
      </w:r>
    </w:p>
    <w:p w14:paraId="3826116E" w14:textId="77777777" w:rsidR="00182FC3" w:rsidRDefault="00182FC3" w:rsidP="00C81A16">
      <w:pPr>
        <w:pStyle w:val="05-Textonormal"/>
        <w:rPr>
          <w:rFonts w:cs="Arial"/>
        </w:rPr>
      </w:pPr>
    </w:p>
    <w:p w14:paraId="277788B9" w14:textId="77777777" w:rsidR="00182FC3" w:rsidRDefault="00182FC3" w:rsidP="00F97A88">
      <w:pPr>
        <w:pStyle w:val="01-TtulodeNota"/>
        <w:keepNext/>
        <w:keepLines/>
        <w:pageBreakBefore/>
        <w:numPr>
          <w:ilvl w:val="0"/>
          <w:numId w:val="40"/>
        </w:numPr>
        <w:ind w:left="357" w:hanging="357"/>
        <w:rPr>
          <w:color w:val="1F4E79" w:themeColor="accent1" w:themeShade="80"/>
        </w:rPr>
      </w:pPr>
      <w:r>
        <w:rPr>
          <w:color w:val="1F4E79" w:themeColor="accent1" w:themeShade="80"/>
        </w:rPr>
        <w:lastRenderedPageBreak/>
        <w:t>ESTRATÉGIA</w:t>
      </w:r>
    </w:p>
    <w:p w14:paraId="2FC4D9EE" w14:textId="77777777" w:rsidR="00182FC3" w:rsidRDefault="00182FC3" w:rsidP="00F8715C">
      <w:pPr>
        <w:pStyle w:val="01-Textonormal"/>
      </w:pPr>
      <w:r>
        <w:t xml:space="preserve">A estratégia da BB Seguridade busca garantir a perenidade da empresa, equilibrando esforços de curto, médio e longo prazo e preparando-a para enfrentar diferentes cenários prospectivos. </w:t>
      </w:r>
    </w:p>
    <w:p w14:paraId="2DE94632" w14:textId="77777777" w:rsidR="00182FC3" w:rsidRDefault="00182FC3" w:rsidP="00F8715C">
      <w:pPr>
        <w:pStyle w:val="01-Textonormal"/>
      </w:pPr>
      <w:r>
        <w:t>O modelo de estratégia de longo prazo da BB Seguridade é composto pelos seguintes elementos, os quais são revisados anualmente ou a qualquer momento em decorrência de fatos que provoquem alterações relevantes nos cenários, o que amplia a capacidade de antecipação e resposta estratégica da organização face às mudanças:</w:t>
      </w:r>
    </w:p>
    <w:p w14:paraId="6936B19F" w14:textId="77777777" w:rsidR="00182FC3" w:rsidRDefault="00182FC3" w:rsidP="00182FC3">
      <w:pPr>
        <w:pStyle w:val="01-Textonormal"/>
        <w:numPr>
          <w:ilvl w:val="0"/>
          <w:numId w:val="38"/>
        </w:numPr>
      </w:pPr>
      <w:r>
        <w:t>os cenários prospectivos, que contemplam os arquétipos que traduzem os vetores de maior incerteza inerentes ao mercado de atuação e ao modelo de negócios da BB Seguridade;</w:t>
      </w:r>
    </w:p>
    <w:p w14:paraId="72490936" w14:textId="77777777" w:rsidR="00182FC3" w:rsidRDefault="00182FC3" w:rsidP="00182FC3">
      <w:pPr>
        <w:pStyle w:val="01-Textonormal"/>
        <w:numPr>
          <w:ilvl w:val="0"/>
          <w:numId w:val="38"/>
        </w:numPr>
      </w:pPr>
      <w:r>
        <w:t>o modelo de detecção e filtragem de sinais e de temas e aplicações de tecnologia emergentes para os negócios de seguridade;</w:t>
      </w:r>
    </w:p>
    <w:p w14:paraId="76F33E65" w14:textId="77777777" w:rsidR="00182FC3" w:rsidRDefault="00182FC3" w:rsidP="00182FC3">
      <w:pPr>
        <w:pStyle w:val="01-Textonormal"/>
        <w:numPr>
          <w:ilvl w:val="0"/>
          <w:numId w:val="38"/>
        </w:numPr>
      </w:pPr>
      <w:r>
        <w:t>a matriz SWOT, que consolida fatores internos e externos e descreve o ambiente competitivo em que a empresa atua;</w:t>
      </w:r>
    </w:p>
    <w:p w14:paraId="6CADAA8A" w14:textId="77777777" w:rsidR="00182FC3" w:rsidRDefault="00182FC3" w:rsidP="00182FC3">
      <w:pPr>
        <w:pStyle w:val="01-Textonormal"/>
        <w:numPr>
          <w:ilvl w:val="0"/>
          <w:numId w:val="38"/>
        </w:numPr>
      </w:pPr>
      <w:r>
        <w:t>a avaliação estratégica, ou seja, a análise do posicionamento estratégico da BB Seguridade em razão das suas atuais forças e fraquezas;</w:t>
      </w:r>
    </w:p>
    <w:p w14:paraId="5D746817" w14:textId="77777777" w:rsidR="00182FC3" w:rsidRDefault="00182FC3" w:rsidP="00182FC3">
      <w:pPr>
        <w:pStyle w:val="01-Textonormal"/>
        <w:numPr>
          <w:ilvl w:val="0"/>
          <w:numId w:val="38"/>
        </w:numPr>
      </w:pPr>
      <w:r>
        <w:t>a missão: “Proteger bens, conquistas e projetos”;</w:t>
      </w:r>
    </w:p>
    <w:p w14:paraId="55CA3337" w14:textId="77777777" w:rsidR="00182FC3" w:rsidRDefault="00182FC3" w:rsidP="00182FC3">
      <w:pPr>
        <w:pStyle w:val="01-Textonormal"/>
        <w:numPr>
          <w:ilvl w:val="0"/>
          <w:numId w:val="38"/>
        </w:numPr>
      </w:pPr>
      <w:r>
        <w:t>a visão: “Transformamos a vida das pessoas por meio do melhor ecossistema de proteção. Somos uma empresa leve que gera valor sustentável”;</w:t>
      </w:r>
    </w:p>
    <w:p w14:paraId="491B9E4B" w14:textId="77777777" w:rsidR="00182FC3" w:rsidRDefault="00182FC3" w:rsidP="00182FC3">
      <w:pPr>
        <w:pStyle w:val="01-Textonormal"/>
        <w:numPr>
          <w:ilvl w:val="0"/>
          <w:numId w:val="38"/>
        </w:numPr>
      </w:pPr>
      <w:r>
        <w:t>os valores, conjunto de comportamentos e atitudes mentais que pautam nossas ações; e</w:t>
      </w:r>
    </w:p>
    <w:p w14:paraId="439490DE" w14:textId="77777777" w:rsidR="00182FC3" w:rsidRDefault="00182FC3" w:rsidP="00182FC3">
      <w:pPr>
        <w:pStyle w:val="01-Textonormal"/>
        <w:numPr>
          <w:ilvl w:val="0"/>
          <w:numId w:val="38"/>
        </w:numPr>
      </w:pPr>
      <w:r>
        <w:t>os objetivos estratégicos, que promovem o alinhamento estratégico com o Banco do Brasil e investidas e definem como e quando os desafios serão superados; otimizam a compreensão, o foco e a execução da estratégia na BB Seguridade; e apresentam métricas, indicadores e resultados chave, que medem os resultados alcançados e o desempenho da BB Seguridade frente aos objetivos.</w:t>
      </w:r>
    </w:p>
    <w:p w14:paraId="35866486" w14:textId="77777777" w:rsidR="00182FC3" w:rsidRDefault="00182FC3" w:rsidP="00F8715C">
      <w:pPr>
        <w:pStyle w:val="01-Textonormal"/>
      </w:pPr>
      <w:r>
        <w:t>Em 2021, após o processo de revisão realizado ao final do ano anterior para contemplar o quinquênio 2021-2025, os seguintes objetivos estratégicos guiaram as ações da BB Seguridade:</w:t>
      </w:r>
    </w:p>
    <w:p w14:paraId="7FCB3447" w14:textId="77777777" w:rsidR="00182FC3" w:rsidRDefault="00182FC3" w:rsidP="00182FC3">
      <w:pPr>
        <w:pStyle w:val="01-Textonormal"/>
        <w:numPr>
          <w:ilvl w:val="0"/>
          <w:numId w:val="43"/>
        </w:numPr>
      </w:pPr>
      <w:r>
        <w:t>ser leve e eficiente, contando com uma estrutura enxuta e processos simples, com alta geração de valor;</w:t>
      </w:r>
    </w:p>
    <w:p w14:paraId="31A19290" w14:textId="77777777" w:rsidR="00182FC3" w:rsidRDefault="00182FC3" w:rsidP="00182FC3">
      <w:pPr>
        <w:pStyle w:val="01-Textonormal"/>
        <w:numPr>
          <w:ilvl w:val="0"/>
          <w:numId w:val="43"/>
        </w:numPr>
      </w:pPr>
      <w:r>
        <w:t>transformar clientes em fãs, gerando encantamento com seus produtos, serviços, jornadas e relacionamento;</w:t>
      </w:r>
    </w:p>
    <w:p w14:paraId="1E806113" w14:textId="77777777" w:rsidR="00182FC3" w:rsidRDefault="00182FC3" w:rsidP="00182FC3">
      <w:pPr>
        <w:pStyle w:val="01-Textonormal"/>
        <w:numPr>
          <w:ilvl w:val="0"/>
          <w:numId w:val="43"/>
        </w:numPr>
      </w:pPr>
      <w:r>
        <w:t xml:space="preserve">combinar </w:t>
      </w:r>
      <w:r w:rsidRPr="005D1989">
        <w:rPr>
          <w:i/>
          <w:iCs/>
        </w:rPr>
        <w:t>online</w:t>
      </w:r>
      <w:r>
        <w:t xml:space="preserve"> e </w:t>
      </w:r>
      <w:r w:rsidRPr="005D1989">
        <w:rPr>
          <w:i/>
          <w:iCs/>
        </w:rPr>
        <w:t>offline</w:t>
      </w:r>
      <w:r>
        <w:t xml:space="preserve"> para vender sempre mais, transformando a BB Corretora em uma máquina eficiente e independente de vendas;</w:t>
      </w:r>
    </w:p>
    <w:p w14:paraId="3E18E9AC" w14:textId="77777777" w:rsidR="00182FC3" w:rsidRDefault="00182FC3" w:rsidP="00182FC3">
      <w:pPr>
        <w:pStyle w:val="01-Textonormal"/>
        <w:numPr>
          <w:ilvl w:val="0"/>
          <w:numId w:val="43"/>
        </w:numPr>
      </w:pPr>
      <w:r>
        <w:t xml:space="preserve">conectar e acelerar o digital, otimizando a transformação digital como alavancas de crescimento e experiência; e </w:t>
      </w:r>
    </w:p>
    <w:p w14:paraId="5CC9482B" w14:textId="77777777" w:rsidR="00182FC3" w:rsidRDefault="00182FC3" w:rsidP="00182FC3">
      <w:pPr>
        <w:pStyle w:val="01-Textonormal"/>
        <w:numPr>
          <w:ilvl w:val="0"/>
          <w:numId w:val="43"/>
        </w:numPr>
      </w:pPr>
      <w:r>
        <w:t>experimentar sem medo para acertar em cheio, transformando o futuro, o novo e o desconhecido em aliados da nossa estratégia.</w:t>
      </w:r>
    </w:p>
    <w:p w14:paraId="30E28DE9" w14:textId="77777777" w:rsidR="00182FC3" w:rsidRDefault="00182FC3" w:rsidP="008E7417">
      <w:pPr>
        <w:jc w:val="both"/>
      </w:pPr>
      <w:r>
        <w:t xml:space="preserve">Tais objetivos podem ser consolidados em três pilares que foram o foco das iniciativas de 2021: modernização tecnológica e transformação digital; diversificação de canais; e melhoria da experiência de clientes e vendedores. </w:t>
      </w:r>
    </w:p>
    <w:p w14:paraId="7E6AF9E2" w14:textId="77777777" w:rsidR="00182FC3" w:rsidRPr="00591873" w:rsidRDefault="00182FC3" w:rsidP="00F5692C">
      <w:pPr>
        <w:pStyle w:val="03-SubttulodeNota"/>
        <w:rPr>
          <w:color w:val="1F4E79" w:themeColor="accent1" w:themeShade="80"/>
        </w:rPr>
      </w:pPr>
      <w:r w:rsidRPr="00591873">
        <w:rPr>
          <w:color w:val="1F4E79" w:themeColor="accent1" w:themeShade="80"/>
        </w:rPr>
        <w:t>Modernização Tecnológica e Transformação Digital</w:t>
      </w:r>
    </w:p>
    <w:p w14:paraId="690155ED" w14:textId="77777777" w:rsidR="00182FC3" w:rsidRDefault="00182FC3" w:rsidP="00F5692C">
      <w:pPr>
        <w:pStyle w:val="01-Textonormal"/>
      </w:pPr>
      <w:r>
        <w:t>A BB Seguridade entende que o processo de transformação digital é um dos pilares viabilizadores da estratégia corporativa. O modelo de transformação digital da empresa se baseia na aplicação balanceada do arquétipo de otimização dos processos existentes, com foco na geração de valor, melhoria da experiência dos clientes e ampliação da geração dos negócios, e na transformação e inovação de impacto, com reflexo no posicionamento da Companhia e no seu modelo de negócios, tendo sempre a experiência do cliente, o crescimento sustentável, ganhos de eficiência, atuação como plataforma e o crescimento do resultado como princípios norteadores desta jornada.</w:t>
      </w:r>
    </w:p>
    <w:p w14:paraId="734A44A1" w14:textId="77777777" w:rsidR="00182FC3" w:rsidRDefault="00182FC3" w:rsidP="00F5692C">
      <w:pPr>
        <w:pStyle w:val="01-Textonormal"/>
      </w:pPr>
      <w:r>
        <w:t>Na BB Seguridade, os temas inovação e transformação digital estão inseridos na estratégia e na cultura da empresa. Todos os pilares do painel de metas corporativas, vinculado ao planejamento estratégico para o ano de 2021, possuíam indicadores relacionados à transformação digital e inovação.</w:t>
      </w:r>
    </w:p>
    <w:p w14:paraId="0337C509" w14:textId="77777777" w:rsidR="00182FC3" w:rsidRDefault="00182FC3" w:rsidP="00F5692C">
      <w:pPr>
        <w:pStyle w:val="01-Textonormal"/>
      </w:pPr>
      <w:r>
        <w:t xml:space="preserve">Em 2021, foi acelerado o desenvolvimento de soluções e ecossistemas de plataforma para consolidação da estrutura tecnológica e integração do conglomerado com novos canais a partir de uma arquitetura orientada a serviço e baseada em nuvem, a exemplo dos seguros residencial, empresarial, de viagem e de celular, além dos títulos de capitalização. A expectativa é que até o final de 2022 todos os principais negócios do conglomerado BB Seguridade operem nesse tipo de ambiente tecnológico mais flexível, que permite uma gestão da carteira de produtos mais eficiente e com menor tempo de desenvolvimento e é habilitador de novas e melhores experiências para os usuários e da expansão da estratégia de distribuição para novos canais.  </w:t>
      </w:r>
    </w:p>
    <w:p w14:paraId="0D8E9728" w14:textId="77777777" w:rsidR="00182FC3" w:rsidRDefault="00182FC3" w:rsidP="00F5692C">
      <w:pPr>
        <w:pStyle w:val="01-Textonormal"/>
      </w:pPr>
      <w:r>
        <w:lastRenderedPageBreak/>
        <w:t xml:space="preserve">O processo de automatização do atendimento, tanto na venda como no pós-venda, também esteve no foco em 2021, com o lançamento da central de seguros no App Banco do Brasil e do novo portal da BB Seguros na internet (https://www4.bbseguros.com.br/), onde foi implantada uma nova jornada para o usuário e novas funcionalidades, como consulta de apólices e acionamento de assistências e serviços. As vendas realizadas em canais digitais cresceram 24% em relação a 2020 em termos de quantidade, </w:t>
      </w:r>
      <w:r w:rsidRPr="00836F72">
        <w:t>superando R$1,5 bilhão em faturamento. No pós-venda, mais de 50% dos acionamentos de assistências e sinistros ocorreram via canais digitais e 800 mil atendimentos via Bot no WhatsApp. Superamos a marca de mais de 5 milhões de clientes digitais (65% de nossa base).</w:t>
      </w:r>
    </w:p>
    <w:p w14:paraId="32498571" w14:textId="77777777" w:rsidR="00182FC3" w:rsidRDefault="00182FC3" w:rsidP="00F5692C">
      <w:pPr>
        <w:pStyle w:val="01-Textonormal"/>
      </w:pPr>
      <w:r>
        <w:t xml:space="preserve">Foram entregues mais de 2 novas funcionalidades por mês nos canais digitais do Banco do Brasil no esforço de implementar jornadas digitais para todos os produtos da carteira da BB Seguridade no principal balcão de vendas da Companhia, garantindo uma boa experiência do usuário para torná-la um diferencial do negócio. </w:t>
      </w:r>
    </w:p>
    <w:p w14:paraId="49911B77" w14:textId="77777777" w:rsidR="00182FC3" w:rsidRDefault="00182FC3" w:rsidP="00F5692C">
      <w:pPr>
        <w:pStyle w:val="01-Textonormal"/>
      </w:pPr>
      <w:r>
        <w:t xml:space="preserve">O programa de </w:t>
      </w:r>
      <w:r w:rsidRPr="005D1989">
        <w:rPr>
          <w:i/>
          <w:iCs/>
        </w:rPr>
        <w:t>Beta Testers</w:t>
      </w:r>
      <w:r>
        <w:t xml:space="preserve"> de produtos de seguridade ultrapassou a marca de 4 mil clientes ativos que, com mais de 3 mil avaliações, contribuíram para a construção de 14 jornadas de produtos e teste de 12 hipóteses de conceito, economizando mais de mil horas de pesquisas de campo. </w:t>
      </w:r>
    </w:p>
    <w:p w14:paraId="5ED76EC8" w14:textId="77777777" w:rsidR="00182FC3" w:rsidRDefault="00182FC3" w:rsidP="00F5692C">
      <w:pPr>
        <w:pStyle w:val="01-Textonormal"/>
      </w:pPr>
      <w:r>
        <w:t xml:space="preserve">A estratégia de dados é baseada nos pilares de engenharia, ciência e governança de dados, além do aculturamento do conglomerado sobre o tema. O principal objetivo é tornar dados o principal indutor de negócios na empresa. Em 2021, foram lançadas 72 iniciativas voltadas para geração de valor utilizando ferramentas e modelos de inteligência de dados, com destaque para os modelos de aumento de receita que, no ano, geraram faturamento adicional na ordem de R$ 149 milhões e a realocação de mais de R$ 79 bilhões de recursos de clientes em fundos de investimentos de planos de previdência. </w:t>
      </w:r>
    </w:p>
    <w:p w14:paraId="09C1E499" w14:textId="77777777" w:rsidR="00182FC3" w:rsidRDefault="00182FC3" w:rsidP="00F5692C">
      <w:pPr>
        <w:pStyle w:val="01-Textonormal"/>
      </w:pPr>
      <w:r>
        <w:t>Em 2021, foram despendidos cerca de R$333 milhões em iniciativas que têm como objetivo realizar a modernização tecnológica e a transformação digital das empresas do conglomerado BB Seguridade, considerando uma visão consolidada da holding e suas investidas, e a expectativa é de expandir o volume para acelerar essa agenda.</w:t>
      </w:r>
    </w:p>
    <w:p w14:paraId="6E6B714F" w14:textId="77777777" w:rsidR="00182FC3" w:rsidRPr="00F97A88" w:rsidRDefault="00182FC3">
      <w:pPr>
        <w:pStyle w:val="03-SubttulodeNota"/>
        <w:rPr>
          <w:color w:val="1F4E79" w:themeColor="accent1" w:themeShade="80"/>
        </w:rPr>
      </w:pPr>
      <w:r w:rsidRPr="00F97A88">
        <w:rPr>
          <w:color w:val="1F4E79" w:themeColor="accent1" w:themeShade="80"/>
        </w:rPr>
        <w:t>Diversificação de Canais</w:t>
      </w:r>
    </w:p>
    <w:p w14:paraId="2AE6D897" w14:textId="77777777" w:rsidR="00182FC3" w:rsidRDefault="00182FC3">
      <w:pPr>
        <w:pStyle w:val="01-Textonormal"/>
      </w:pPr>
      <w:r>
        <w:t xml:space="preserve">O mercado de seguridade brasileiro apresenta concentração em empresas que possuem algum tipo de relação societária ou comercial com grandes bancos tradicionais, que lhes confere acesso aos seus canais físicos e digitais, em um modelo conhecido como </w:t>
      </w:r>
      <w:r w:rsidRPr="00591873">
        <w:rPr>
          <w:i/>
          <w:iCs/>
        </w:rPr>
        <w:t>bancassurance</w:t>
      </w:r>
      <w:r>
        <w:t xml:space="preserve">. Tal fator está ligado à falta de cultura de proteção de bens e renda do brasileiro, o que demanda uma rede de distribuição que conte com uma força de vendas ampla e qualificada para realizar a oferta ativa de produtos aos clientes. </w:t>
      </w:r>
    </w:p>
    <w:p w14:paraId="750FDA1D" w14:textId="77777777" w:rsidR="00182FC3" w:rsidRDefault="00182FC3">
      <w:pPr>
        <w:pStyle w:val="01-Textonormal"/>
      </w:pPr>
      <w:r>
        <w:t xml:space="preserve">Nesse contexto, a grande fortaleza do modelo de negócios da BB Seguridade é poder contar com a rede de distribuição do Banco do Brasil, responsável pela maior parte das vendas dos produtos de seguridade do conglomerado. </w:t>
      </w:r>
    </w:p>
    <w:p w14:paraId="7C2F92C0" w14:textId="77777777" w:rsidR="00182FC3" w:rsidRDefault="00182FC3">
      <w:pPr>
        <w:pStyle w:val="01-Textonormal"/>
      </w:pPr>
      <w:r>
        <w:t xml:space="preserve">Contando com esse importante porto seguro, que garante volumes de faturamento e margens elevadas para as empresas investidas, mas também atenta aos sinais de possíveis mudanças que possam ocorrer na indústria a médio e longo prazo, a BB Seguridade tem como um dos pilares de sua estratégia a prospecção e desenvolvimento de novos modelos e canais para comercialização de seus produtos, em um esforço coletivo entre a BB Corretora e todas as outras empresas do grupo. </w:t>
      </w:r>
    </w:p>
    <w:p w14:paraId="481DD8A5" w14:textId="77777777" w:rsidR="00182FC3" w:rsidRDefault="00182FC3">
      <w:pPr>
        <w:pStyle w:val="01-Textonormal"/>
      </w:pPr>
      <w:r>
        <w:t>Em 2021, o movimento mais estruturante foi a criação de uma área dedicada a identificar e desenvolver novas fontes de receita e canais de oferta, que apesar de recente já começou a entregar resultados que aumentam o potencial de faturamento em novos canais não Banco do Brasil para 2022.</w:t>
      </w:r>
    </w:p>
    <w:p w14:paraId="3C0D0663" w14:textId="77777777" w:rsidR="00182FC3" w:rsidRDefault="00182FC3">
      <w:pPr>
        <w:pStyle w:val="01-Textonormal"/>
      </w:pPr>
      <w:r>
        <w:t xml:space="preserve">No ano foram credenciados mais de 200 correspondentes bancários para oferta especializada de seguros rurais. Ainda com foco no agronegócio, um dos principais segmentos da Companhia, foi firmada parceria com a Agrogalaxy, </w:t>
      </w:r>
      <w:r w:rsidRPr="009328E7">
        <w:t>uma das maiores plataformas de varejo de insumos agrícolas e serviços voltados para o agronegócio, para oferta de seguros rurais, patrimoniais e de vida aos produtores</w:t>
      </w:r>
      <w:r>
        <w:t>.</w:t>
      </w:r>
    </w:p>
    <w:p w14:paraId="5ABAD2A3" w14:textId="77777777" w:rsidR="00182FC3" w:rsidRDefault="00182FC3">
      <w:pPr>
        <w:pStyle w:val="01-Textonormal"/>
      </w:pPr>
      <w:r>
        <w:t xml:space="preserve">Também no final de 2021, foi firmado acordo com a Rede Promotiva </w:t>
      </w:r>
      <w:r w:rsidRPr="00804A6C">
        <w:t xml:space="preserve">para promover </w:t>
      </w:r>
      <w:r>
        <w:t xml:space="preserve">a </w:t>
      </w:r>
      <w:r w:rsidRPr="00804A6C">
        <w:t>divulgação, angariação de clientes, distribuição, oferta e comercialização dos produtos de seguros</w:t>
      </w:r>
      <w:r>
        <w:t>, iniciando pelo prestamista.</w:t>
      </w:r>
    </w:p>
    <w:p w14:paraId="4C2FACC7" w14:textId="77777777" w:rsidR="00182FC3" w:rsidRDefault="00182FC3">
      <w:pPr>
        <w:pStyle w:val="01-Textonormal"/>
      </w:pPr>
      <w:r>
        <w:t>Os esforços serão intensificados em 2022 e a expectativa da Companhia é encerrar o ano com mais de 1</w:t>
      </w:r>
      <w:r w:rsidRPr="0036211D">
        <w:t>0</w:t>
      </w:r>
      <w:r>
        <w:t xml:space="preserve"> iniciativas em operação.</w:t>
      </w:r>
    </w:p>
    <w:p w14:paraId="5C0427E8" w14:textId="77777777" w:rsidR="00182FC3" w:rsidRPr="00591873" w:rsidRDefault="00182FC3" w:rsidP="00F97A88">
      <w:pPr>
        <w:pStyle w:val="03-SubttulodeNota"/>
        <w:keepNext/>
        <w:keepLines/>
        <w:pageBreakBefore/>
        <w:rPr>
          <w:color w:val="1F4E79" w:themeColor="accent1" w:themeShade="80"/>
        </w:rPr>
      </w:pPr>
      <w:r w:rsidRPr="00591873">
        <w:rPr>
          <w:color w:val="1F4E79" w:themeColor="accent1" w:themeShade="80"/>
        </w:rPr>
        <w:lastRenderedPageBreak/>
        <w:t xml:space="preserve">Melhoria da Experiência de Clientes e Vendedores </w:t>
      </w:r>
    </w:p>
    <w:p w14:paraId="267BD26A" w14:textId="77777777" w:rsidR="00182FC3" w:rsidRDefault="00182FC3" w:rsidP="003C4E13">
      <w:pPr>
        <w:pStyle w:val="01-Textonormal"/>
      </w:pPr>
      <w:r>
        <w:t xml:space="preserve">A BB Seguridade tem como um de seus objetivos estratégicos </w:t>
      </w:r>
      <w:r w:rsidRPr="003C4E13">
        <w:t>transformar clientes em fãs, gerando encantamento com seus produtos, serviços, jornadas e relacionamento</w:t>
      </w:r>
      <w:r>
        <w:t>.</w:t>
      </w:r>
      <w:r w:rsidRPr="003C4E13">
        <w:t xml:space="preserve"> </w:t>
      </w:r>
      <w:r>
        <w:t xml:space="preserve">Para isso, busca constantemente a construção de uma relação composta por diálogo, transparência e cumplicidade, destinando esforços em conjunto com suas investidas para que o cliente se sinta acompanhado em todos os seus momentos de vida. </w:t>
      </w:r>
    </w:p>
    <w:p w14:paraId="7743EBE5" w14:textId="77777777" w:rsidR="00182FC3" w:rsidRDefault="00182FC3" w:rsidP="003C4E13">
      <w:pPr>
        <w:pStyle w:val="01-Textonormal"/>
      </w:pPr>
      <w:r>
        <w:t>Nessa linha, a Companhia vem intensificando o uso de canais digitais e atendimento de especialistas para manter um contato frequente que traga desde informações e orientação sobre os produtos e serviços adquiridos até dicas e conteúdos diversificados. Foi ampliada para todos os produtos a estratégia de pós-venda utilizando canais digitais, com entrega de informações e orientação sobre produtos e serviços, além de dicas e conteúdos diversificados que auxiliam as pessoas a aproveitarem melhor as diversas soluções adquiridas. Ao todo, foram cerca de 2</w:t>
      </w:r>
      <w:r w:rsidRPr="00773CBB">
        <w:t xml:space="preserve"> mil ações de pós</w:t>
      </w:r>
      <w:r>
        <w:t>-</w:t>
      </w:r>
      <w:r w:rsidRPr="00773CBB">
        <w:t xml:space="preserve">venda realizadas via canais digitais, gerando mais de </w:t>
      </w:r>
      <w:r>
        <w:t>33</w:t>
      </w:r>
      <w:r w:rsidRPr="00773CBB">
        <w:t xml:space="preserve"> milhões de contatos efetivos</w:t>
      </w:r>
      <w:r>
        <w:t xml:space="preserve"> </w:t>
      </w:r>
      <w:r w:rsidRPr="007023E1">
        <w:t>que alcançaram 4 milhões de clientes ao longo do ano</w:t>
      </w:r>
      <w:r>
        <w:t xml:space="preserve">. </w:t>
      </w:r>
    </w:p>
    <w:p w14:paraId="03BDA3A9" w14:textId="77777777" w:rsidR="00182FC3" w:rsidRDefault="00182FC3" w:rsidP="003C4E13">
      <w:pPr>
        <w:pStyle w:val="01-Textonormal"/>
      </w:pPr>
      <w:r>
        <w:t xml:space="preserve">Ainda respeitando o distanciamento social, foi mantida a realização de conselhos de clientes para obter a percepção desse público sobre nossos produtos, serviços e jornadas. No total foram 5 conselhos realizados no ano, com a coleta de 63 novos </w:t>
      </w:r>
      <w:r w:rsidRPr="005D1989">
        <w:rPr>
          <w:i/>
          <w:iCs/>
        </w:rPr>
        <w:t>insights</w:t>
      </w:r>
      <w:r>
        <w:t xml:space="preserve"> e a implementação de 13 melhorias para aprimoramento da experiência dos nossos clientes. A implementação de ferramentas para acompanhamento de sinistros em canais digitais para clientes dos Seguros de Vida e Previdência materializa melhoria implantada a partir da voz do cliente.</w:t>
      </w:r>
    </w:p>
    <w:p w14:paraId="1D3C3A6D" w14:textId="77777777" w:rsidR="00182FC3" w:rsidRDefault="00182FC3" w:rsidP="003C4E13">
      <w:pPr>
        <w:pStyle w:val="01-Textonormal"/>
      </w:pPr>
      <w:r>
        <w:t>A realização de fóruns mensais envolvendo todos os intervenientes que podem contribuir com a melhoria da experiência com nossas soluções também foi mantida. O transbordo direto aos especialistas das centrais de atendimento de cada investida também contribuiu para o aumento da resolutividade e qualidade da informação prestada aos clientes.</w:t>
      </w:r>
    </w:p>
    <w:p w14:paraId="2A9A2BA2" w14:textId="77777777" w:rsidR="00182FC3" w:rsidRDefault="00182FC3" w:rsidP="003C4E13">
      <w:pPr>
        <w:pStyle w:val="01-Textonormal"/>
      </w:pPr>
      <w:r>
        <w:t xml:space="preserve">Não somente o cliente tem voz na BB Seguridade. Os esforços da Companhia também se concentram na melhoria da jornada da sua principal força de vendas, os colaboradores da rede de distribuição do Banco do Brasil, buscando manter a relevância da oferta dos produtos de seguridade no dia-a-dia do relacionamento com os clientes do banco. </w:t>
      </w:r>
    </w:p>
    <w:p w14:paraId="7788BCFD" w14:textId="77777777" w:rsidR="00182FC3" w:rsidRDefault="00182FC3" w:rsidP="003C4E13">
      <w:pPr>
        <w:pStyle w:val="01-Textonormal"/>
      </w:pPr>
      <w:r>
        <w:t xml:space="preserve">Em 2021, foi lançado o “Embaixadores da Marca”, com ampliação de benefícios a funcionários do Banco do Brasil para compra de produtos da BB Seguridade, buscando aumento de engajamento da força de vendas. </w:t>
      </w:r>
    </w:p>
    <w:p w14:paraId="53C73FA1" w14:textId="77777777" w:rsidR="00182FC3" w:rsidRDefault="00182FC3" w:rsidP="003C4E13">
      <w:pPr>
        <w:pStyle w:val="01-Textonormal"/>
      </w:pPr>
      <w:r>
        <w:t xml:space="preserve">Além disso, o apoio à rede do Banco do Brasil para resolução de problemas foi melhorado, o que fica evidenciado pela redução de </w:t>
      </w:r>
      <w:r w:rsidRPr="005271F8">
        <w:t>33%</w:t>
      </w:r>
      <w:r>
        <w:t xml:space="preserve"> do tempo médio de atendimento e crescimento de 25,7% da satisfação.</w:t>
      </w:r>
    </w:p>
    <w:p w14:paraId="55C8BA7F" w14:textId="77777777" w:rsidR="00182FC3" w:rsidRPr="00F97A88" w:rsidRDefault="00182FC3" w:rsidP="003E5CAD">
      <w:pPr>
        <w:pStyle w:val="01-TtulodeNota"/>
        <w:keepNext/>
        <w:keepLines/>
        <w:pageBreakBefore/>
        <w:numPr>
          <w:ilvl w:val="0"/>
          <w:numId w:val="40"/>
        </w:numPr>
        <w:ind w:left="357" w:hanging="357"/>
        <w:rPr>
          <w:color w:val="1F4E79" w:themeColor="accent1" w:themeShade="80"/>
        </w:rPr>
      </w:pPr>
      <w:r w:rsidRPr="00F97A88">
        <w:rPr>
          <w:color w:val="1F4E79" w:themeColor="accent1" w:themeShade="80"/>
        </w:rPr>
        <w:lastRenderedPageBreak/>
        <w:t xml:space="preserve">COMERCIAL, MARKETING E PRODUTOS </w:t>
      </w:r>
    </w:p>
    <w:p w14:paraId="10A78FB4"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Para continuar sendo relevante para clientes e vendedores, a BB Seguridade investiu esforços em 2021 para revitalizar a sua carteira produtos, com ampliação das soluções digitais e melhorias nas jornadas, buscando oferecer as melhores soluções para proteção de bens, conquistas e projetos.</w:t>
      </w:r>
    </w:p>
    <w:p w14:paraId="07409FA5"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No primeiro trimestre foi implantado um novo seguro residencial, com o modelo simplificado de oferta de planos e contando com novos pacotes de assistência e de benefícios premium, elevando em 221% o tíquete médio do produto, melhorando o NPS e contribuindo para aumento das vendas em canais digitais. Cabe ressaltar que esse produto já foi implementado na nova arquitetura de tecnologia orientada a serviço, o que, dentre outros benefícios, torna a venda em outros canais de distribuição mais ágil de ser implementada.</w:t>
      </w:r>
    </w:p>
    <w:p w14:paraId="553939B5"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No segmento de pessoas, a</w:t>
      </w:r>
      <w:r w:rsidRPr="003E5B86">
        <w:rPr>
          <w:rFonts w:eastAsia="Times New Roman" w:cs="Times New Roman"/>
          <w:szCs w:val="18"/>
          <w:lang w:eastAsia="pt-BR"/>
        </w:rPr>
        <w:t xml:space="preserve"> comercialização do novo</w:t>
      </w:r>
      <w:r>
        <w:rPr>
          <w:rFonts w:eastAsia="Times New Roman" w:cs="Times New Roman"/>
          <w:szCs w:val="18"/>
          <w:lang w:eastAsia="pt-BR"/>
        </w:rPr>
        <w:t xml:space="preserve"> seguro prestamista </w:t>
      </w:r>
      <w:r w:rsidRPr="003E5B86">
        <w:rPr>
          <w:rFonts w:eastAsia="Times New Roman" w:cs="Times New Roman"/>
          <w:szCs w:val="18"/>
          <w:lang w:eastAsia="pt-BR"/>
        </w:rPr>
        <w:t xml:space="preserve">no </w:t>
      </w:r>
      <w:r>
        <w:rPr>
          <w:rFonts w:eastAsia="Times New Roman" w:cs="Times New Roman"/>
          <w:szCs w:val="18"/>
          <w:lang w:eastAsia="pt-BR"/>
        </w:rPr>
        <w:t xml:space="preserve">aplicativo BB foi colocada em produção em maio e teve como objetivo </w:t>
      </w:r>
      <w:r w:rsidRPr="003E5B86">
        <w:rPr>
          <w:rFonts w:eastAsia="Times New Roman" w:cs="Times New Roman"/>
          <w:szCs w:val="18"/>
          <w:lang w:eastAsia="pt-BR"/>
        </w:rPr>
        <w:t xml:space="preserve">trazer de forma simples e efetiva </w:t>
      </w:r>
      <w:r>
        <w:rPr>
          <w:rFonts w:eastAsia="Times New Roman" w:cs="Times New Roman"/>
          <w:szCs w:val="18"/>
          <w:lang w:eastAsia="pt-BR"/>
        </w:rPr>
        <w:t>um</w:t>
      </w:r>
      <w:r w:rsidRPr="003E5B86">
        <w:rPr>
          <w:rFonts w:eastAsia="Times New Roman" w:cs="Times New Roman"/>
          <w:szCs w:val="18"/>
          <w:lang w:eastAsia="pt-BR"/>
        </w:rPr>
        <w:t xml:space="preserve">a melhor experiência </w:t>
      </w:r>
      <w:r>
        <w:rPr>
          <w:rFonts w:eastAsia="Times New Roman" w:cs="Times New Roman"/>
          <w:szCs w:val="18"/>
          <w:lang w:eastAsia="pt-BR"/>
        </w:rPr>
        <w:t xml:space="preserve">de autosserviço </w:t>
      </w:r>
      <w:r w:rsidRPr="003E5B86">
        <w:rPr>
          <w:rFonts w:eastAsia="Times New Roman" w:cs="Times New Roman"/>
          <w:szCs w:val="18"/>
          <w:lang w:eastAsia="pt-BR"/>
        </w:rPr>
        <w:t>ao cliente</w:t>
      </w:r>
      <w:r>
        <w:rPr>
          <w:rFonts w:eastAsia="Times New Roman" w:cs="Times New Roman"/>
          <w:szCs w:val="18"/>
          <w:lang w:eastAsia="pt-BR"/>
        </w:rPr>
        <w:t>. Com isso, houve cerca de 242 mil contratações até dezembro por meio de canais digitais. Em seguida, no mês de julho, foi lançado o novo seguro vida em grupo personalizado, com melhorias significativas na jornada do vendedor para tornar os processos de cotação e contratação mais simples, e em outubro foi lançado o piloto do seguro de vida para micro e pequenas empresas, permitindo maior personalização da oferta para atender as particularidades desse público.</w:t>
      </w:r>
    </w:p>
    <w:p w14:paraId="0F67BA83"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 xml:space="preserve">Em previdência, o ano iniciou com a carteira revitalizada, com a simplificação da oferta em todos os canais, inclusão de alternativas de fundos de maior valor agregado e criação de novas teses de investimentos para melhorar a alocação dos recursos dos clientes sob gestão da Brasilprev. Em junho e novembro, </w:t>
      </w:r>
      <w:r w:rsidRPr="00531205">
        <w:rPr>
          <w:rFonts w:eastAsia="Times New Roman" w:cs="Times New Roman"/>
          <w:szCs w:val="18"/>
          <w:lang w:eastAsia="pt-BR"/>
        </w:rPr>
        <w:t>o produto Brasil</w:t>
      </w:r>
      <w:r>
        <w:rPr>
          <w:rFonts w:eastAsia="Times New Roman" w:cs="Times New Roman"/>
          <w:szCs w:val="18"/>
          <w:lang w:eastAsia="pt-BR"/>
        </w:rPr>
        <w:t>p</w:t>
      </w:r>
      <w:r w:rsidRPr="00531205">
        <w:rPr>
          <w:rFonts w:eastAsia="Times New Roman" w:cs="Times New Roman"/>
          <w:szCs w:val="18"/>
          <w:lang w:eastAsia="pt-BR"/>
        </w:rPr>
        <w:t>rev Multigestores ganhou reforço</w:t>
      </w:r>
      <w:r>
        <w:rPr>
          <w:rFonts w:eastAsia="Times New Roman" w:cs="Times New Roman"/>
          <w:szCs w:val="18"/>
          <w:lang w:eastAsia="pt-BR"/>
        </w:rPr>
        <w:t>,</w:t>
      </w:r>
      <w:r w:rsidRPr="00531205">
        <w:rPr>
          <w:rFonts w:eastAsia="Times New Roman" w:cs="Times New Roman"/>
          <w:szCs w:val="18"/>
          <w:lang w:eastAsia="pt-BR"/>
        </w:rPr>
        <w:t xml:space="preserve"> com a inclusão de </w:t>
      </w:r>
      <w:r>
        <w:rPr>
          <w:rFonts w:eastAsia="Times New Roman" w:cs="Times New Roman"/>
          <w:szCs w:val="18"/>
          <w:lang w:eastAsia="pt-BR"/>
        </w:rPr>
        <w:t xml:space="preserve">três novos </w:t>
      </w:r>
      <w:r w:rsidRPr="00531205">
        <w:rPr>
          <w:rFonts w:eastAsia="Times New Roman" w:cs="Times New Roman"/>
          <w:szCs w:val="18"/>
          <w:lang w:eastAsia="pt-BR"/>
        </w:rPr>
        <w:t>gestores</w:t>
      </w:r>
      <w:r>
        <w:rPr>
          <w:rFonts w:eastAsia="Times New Roman" w:cs="Times New Roman"/>
          <w:szCs w:val="18"/>
          <w:lang w:eastAsia="pt-BR"/>
        </w:rPr>
        <w:t xml:space="preserve">, encerrando o ano com </w:t>
      </w:r>
      <w:r w:rsidRPr="00531205">
        <w:rPr>
          <w:rFonts w:eastAsia="Times New Roman" w:cs="Times New Roman"/>
          <w:szCs w:val="18"/>
          <w:lang w:eastAsia="pt-BR"/>
        </w:rPr>
        <w:t xml:space="preserve">13 estratégias de gestores externos e novas casas </w:t>
      </w:r>
      <w:r>
        <w:rPr>
          <w:rFonts w:eastAsia="Times New Roman" w:cs="Times New Roman"/>
          <w:szCs w:val="18"/>
          <w:lang w:eastAsia="pt-BR"/>
        </w:rPr>
        <w:t xml:space="preserve">em </w:t>
      </w:r>
      <w:r w:rsidRPr="00531205">
        <w:rPr>
          <w:rFonts w:eastAsia="Times New Roman" w:cs="Times New Roman"/>
          <w:szCs w:val="18"/>
          <w:lang w:eastAsia="pt-BR"/>
        </w:rPr>
        <w:t>avaliação</w:t>
      </w:r>
      <w:r>
        <w:rPr>
          <w:rFonts w:eastAsia="Times New Roman" w:cs="Times New Roman"/>
          <w:szCs w:val="18"/>
          <w:lang w:eastAsia="pt-BR"/>
        </w:rPr>
        <w:t>.</w:t>
      </w:r>
    </w:p>
    <w:p w14:paraId="196ADA55"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Ainda em previdência, destaque para o lançamento, em outubro, do Brasilprev Flex, produto que combina componentes de acumulação e proteção (vida), para atender uma demanda dos clientes e da rede BB.</w:t>
      </w:r>
    </w:p>
    <w:p w14:paraId="33469ED6" w14:textId="77777777" w:rsidR="00182FC3" w:rsidRDefault="00182FC3" w:rsidP="00C81A16">
      <w:pPr>
        <w:jc w:val="both"/>
        <w:rPr>
          <w:rFonts w:eastAsia="Times New Roman" w:cs="Times New Roman"/>
          <w:szCs w:val="18"/>
          <w:lang w:eastAsia="pt-BR"/>
        </w:rPr>
      </w:pPr>
      <w:r>
        <w:rPr>
          <w:rFonts w:eastAsia="Times New Roman" w:cs="Times New Roman"/>
          <w:szCs w:val="18"/>
          <w:lang w:eastAsia="pt-BR"/>
        </w:rPr>
        <w:t xml:space="preserve">Nos seguros rurais, em abril houve a expansão nacional do seguro pecuário faturamento, complementando a carteira de seguros destinados à proteção da produtividade e faturamento do setor agropecuário. Em maio, o seguro Vida Agricultura Familiar foi </w:t>
      </w:r>
      <w:proofErr w:type="gramStart"/>
      <w:r>
        <w:rPr>
          <w:rFonts w:eastAsia="Times New Roman" w:cs="Times New Roman"/>
          <w:szCs w:val="18"/>
          <w:lang w:eastAsia="pt-BR"/>
        </w:rPr>
        <w:t>liberada</w:t>
      </w:r>
      <w:proofErr w:type="gramEnd"/>
      <w:r>
        <w:rPr>
          <w:rFonts w:eastAsia="Times New Roman" w:cs="Times New Roman"/>
          <w:szCs w:val="18"/>
          <w:lang w:eastAsia="pt-BR"/>
        </w:rPr>
        <w:t xml:space="preserve"> para contratação nas operações de crédito em estoque, garantindo a possibilidade de os clientes adquirirem uma proteção a qualquer momento. No seguro agrícola, as contratações para a Safra 2021/2022 contaram com a ampliação em 30% da importância segurada e a expansão das culturas seguráveis no produto destinado ao público do Programa Nacional de Fortalecimento da Agricultura Familiar (Pronaf).</w:t>
      </w:r>
    </w:p>
    <w:p w14:paraId="374834CF" w14:textId="77777777" w:rsidR="00182FC3" w:rsidRPr="004959B9" w:rsidRDefault="00182FC3" w:rsidP="004959B9">
      <w:pPr>
        <w:jc w:val="both"/>
        <w:rPr>
          <w:rFonts w:eastAsia="Times New Roman" w:cs="Times New Roman"/>
          <w:szCs w:val="18"/>
          <w:lang w:eastAsia="pt-BR"/>
        </w:rPr>
      </w:pPr>
      <w:r>
        <w:rPr>
          <w:rFonts w:eastAsia="Times New Roman" w:cs="Times New Roman"/>
          <w:szCs w:val="18"/>
          <w:lang w:eastAsia="pt-BR"/>
        </w:rPr>
        <w:t xml:space="preserve">No âmbito comercial, </w:t>
      </w:r>
      <w:r w:rsidRPr="004959B9">
        <w:rPr>
          <w:rFonts w:eastAsia="Times New Roman" w:cs="Times New Roman"/>
          <w:szCs w:val="18"/>
          <w:lang w:eastAsia="pt-BR"/>
        </w:rPr>
        <w:t xml:space="preserve">foi </w:t>
      </w:r>
      <w:r>
        <w:rPr>
          <w:rFonts w:eastAsia="Times New Roman" w:cs="Times New Roman"/>
          <w:szCs w:val="18"/>
          <w:lang w:eastAsia="pt-BR"/>
        </w:rPr>
        <w:t xml:space="preserve">mantida </w:t>
      </w:r>
      <w:r w:rsidRPr="004959B9">
        <w:rPr>
          <w:rFonts w:eastAsia="Times New Roman" w:cs="Times New Roman"/>
          <w:szCs w:val="18"/>
          <w:lang w:eastAsia="pt-BR"/>
        </w:rPr>
        <w:t>a estratégia de estímulo à força de vendas do BB por meio de premiações atreladas diretamente à venda de seguros, previdência, capitalização e planos odontológicos, com incentivos imediatos, mensais e semestrais</w:t>
      </w:r>
      <w:r>
        <w:rPr>
          <w:rFonts w:eastAsia="Times New Roman" w:cs="Times New Roman"/>
          <w:szCs w:val="18"/>
          <w:lang w:eastAsia="pt-BR"/>
        </w:rPr>
        <w:t>, o programa Seg+.</w:t>
      </w:r>
    </w:p>
    <w:p w14:paraId="681EC476" w14:textId="77777777" w:rsidR="00182FC3" w:rsidRPr="004959B9" w:rsidRDefault="00182FC3" w:rsidP="004959B9">
      <w:pPr>
        <w:jc w:val="both"/>
        <w:rPr>
          <w:rFonts w:eastAsia="Times New Roman" w:cs="Times New Roman"/>
          <w:szCs w:val="18"/>
          <w:lang w:eastAsia="pt-BR"/>
        </w:rPr>
      </w:pPr>
      <w:r>
        <w:rPr>
          <w:rFonts w:eastAsia="Times New Roman" w:cs="Times New Roman"/>
          <w:szCs w:val="18"/>
          <w:lang w:eastAsia="pt-BR"/>
        </w:rPr>
        <w:t>E</w:t>
      </w:r>
      <w:r w:rsidRPr="004959B9">
        <w:rPr>
          <w:rFonts w:eastAsia="Times New Roman" w:cs="Times New Roman"/>
          <w:szCs w:val="18"/>
          <w:lang w:eastAsia="pt-BR"/>
        </w:rPr>
        <w:t xml:space="preserve">m previdência, </w:t>
      </w:r>
      <w:r>
        <w:rPr>
          <w:rFonts w:eastAsia="Times New Roman" w:cs="Times New Roman"/>
          <w:szCs w:val="18"/>
          <w:lang w:eastAsia="pt-BR"/>
        </w:rPr>
        <w:t xml:space="preserve">a estratégia de melhorar a alocação dos clientes com produtos de maior valor agregado teve como destaque a oferta do </w:t>
      </w:r>
      <w:r w:rsidRPr="004959B9">
        <w:rPr>
          <w:rFonts w:eastAsia="Times New Roman" w:cs="Times New Roman"/>
          <w:szCs w:val="18"/>
          <w:lang w:eastAsia="pt-BR"/>
        </w:rPr>
        <w:t>produto Brasilprev Carteiras, que tem como conceito buscar uma volatilidade alvo a partir do perfil do investidor e ajustar a composição da carteira de acordo com o cenário</w:t>
      </w:r>
      <w:r>
        <w:rPr>
          <w:rFonts w:eastAsia="Times New Roman" w:cs="Times New Roman"/>
          <w:szCs w:val="18"/>
          <w:lang w:eastAsia="pt-BR"/>
        </w:rPr>
        <w:t xml:space="preserve">. Com isso, a participação </w:t>
      </w:r>
      <w:r w:rsidRPr="004959B9">
        <w:rPr>
          <w:rFonts w:eastAsia="Times New Roman" w:cs="Times New Roman"/>
          <w:szCs w:val="18"/>
          <w:lang w:eastAsia="pt-BR"/>
        </w:rPr>
        <w:t>de fundos multimercado nos ativos sob gestão</w:t>
      </w:r>
      <w:r>
        <w:rPr>
          <w:rFonts w:eastAsia="Times New Roman" w:cs="Times New Roman"/>
          <w:szCs w:val="18"/>
          <w:lang w:eastAsia="pt-BR"/>
        </w:rPr>
        <w:t xml:space="preserve"> passou de </w:t>
      </w:r>
      <w:r w:rsidRPr="004959B9">
        <w:rPr>
          <w:rFonts w:eastAsia="Times New Roman" w:cs="Times New Roman"/>
          <w:szCs w:val="18"/>
          <w:lang w:eastAsia="pt-BR"/>
        </w:rPr>
        <w:t>1</w:t>
      </w:r>
      <w:r>
        <w:rPr>
          <w:rFonts w:eastAsia="Times New Roman" w:cs="Times New Roman"/>
          <w:szCs w:val="18"/>
          <w:lang w:eastAsia="pt-BR"/>
        </w:rPr>
        <w:t>1</w:t>
      </w:r>
      <w:r w:rsidRPr="004959B9">
        <w:rPr>
          <w:rFonts w:eastAsia="Times New Roman" w:cs="Times New Roman"/>
          <w:szCs w:val="18"/>
          <w:lang w:eastAsia="pt-BR"/>
        </w:rPr>
        <w:t>% no final de 2020 para 3</w:t>
      </w:r>
      <w:r>
        <w:rPr>
          <w:rFonts w:eastAsia="Times New Roman" w:cs="Times New Roman"/>
          <w:szCs w:val="18"/>
          <w:lang w:eastAsia="pt-BR"/>
        </w:rPr>
        <w:t>2</w:t>
      </w:r>
      <w:r w:rsidRPr="004959B9">
        <w:rPr>
          <w:rFonts w:eastAsia="Times New Roman" w:cs="Times New Roman"/>
          <w:szCs w:val="18"/>
          <w:lang w:eastAsia="pt-BR"/>
        </w:rPr>
        <w:t>% no final de 2021.</w:t>
      </w:r>
    </w:p>
    <w:p w14:paraId="7F63C5D8" w14:textId="77777777" w:rsidR="00182FC3" w:rsidRPr="004959B9" w:rsidRDefault="00182FC3" w:rsidP="004959B9">
      <w:pPr>
        <w:jc w:val="both"/>
        <w:rPr>
          <w:rFonts w:eastAsia="Times New Roman" w:cs="Times New Roman"/>
          <w:szCs w:val="18"/>
          <w:lang w:eastAsia="pt-BR"/>
        </w:rPr>
      </w:pPr>
      <w:r w:rsidRPr="004959B9">
        <w:rPr>
          <w:rFonts w:eastAsia="Times New Roman" w:cs="Times New Roman"/>
          <w:szCs w:val="18"/>
          <w:lang w:eastAsia="pt-BR"/>
        </w:rPr>
        <w:t xml:space="preserve">Em 2021, </w:t>
      </w:r>
      <w:r>
        <w:rPr>
          <w:rFonts w:eastAsia="Times New Roman" w:cs="Times New Roman"/>
          <w:szCs w:val="18"/>
          <w:lang w:eastAsia="pt-BR"/>
        </w:rPr>
        <w:t xml:space="preserve">foi lançado o </w:t>
      </w:r>
      <w:r w:rsidRPr="004959B9">
        <w:rPr>
          <w:rFonts w:eastAsia="Times New Roman" w:cs="Times New Roman"/>
          <w:szCs w:val="18"/>
          <w:lang w:eastAsia="pt-BR"/>
        </w:rPr>
        <w:t>novo posicionamento d</w:t>
      </w:r>
      <w:r>
        <w:rPr>
          <w:rFonts w:eastAsia="Times New Roman" w:cs="Times New Roman"/>
          <w:szCs w:val="18"/>
          <w:lang w:eastAsia="pt-BR"/>
        </w:rPr>
        <w:t>a</w:t>
      </w:r>
      <w:r w:rsidRPr="004959B9">
        <w:rPr>
          <w:rFonts w:eastAsia="Times New Roman" w:cs="Times New Roman"/>
          <w:szCs w:val="18"/>
          <w:lang w:eastAsia="pt-BR"/>
        </w:rPr>
        <w:t xml:space="preserve"> marca </w:t>
      </w:r>
      <w:r>
        <w:rPr>
          <w:rFonts w:eastAsia="Times New Roman" w:cs="Times New Roman"/>
          <w:szCs w:val="18"/>
          <w:lang w:eastAsia="pt-BR"/>
        </w:rPr>
        <w:t xml:space="preserve">BB Seguros, </w:t>
      </w:r>
      <w:r w:rsidRPr="004959B9">
        <w:rPr>
          <w:rFonts w:eastAsia="Times New Roman" w:cs="Times New Roman"/>
          <w:szCs w:val="18"/>
          <w:lang w:eastAsia="pt-BR"/>
        </w:rPr>
        <w:t xml:space="preserve">com a </w:t>
      </w:r>
      <w:r w:rsidRPr="005D1989">
        <w:rPr>
          <w:rFonts w:eastAsia="Times New Roman" w:cs="Times New Roman"/>
          <w:i/>
          <w:iCs/>
          <w:szCs w:val="18"/>
          <w:lang w:eastAsia="pt-BR"/>
        </w:rPr>
        <w:t>tagline</w:t>
      </w:r>
      <w:r w:rsidRPr="004959B9">
        <w:rPr>
          <w:rFonts w:eastAsia="Times New Roman" w:cs="Times New Roman"/>
          <w:szCs w:val="18"/>
          <w:lang w:eastAsia="pt-BR"/>
        </w:rPr>
        <w:t xml:space="preserve"> “Pra tudo que importa”. Para o lançamento, foi realizada campanha publicitária em TV e mídias digitais, que apresentou todas as soluções oferecidas pela marca (seguros, previdência, capitalização e dental)</w:t>
      </w:r>
      <w:r>
        <w:rPr>
          <w:rFonts w:eastAsia="Times New Roman" w:cs="Times New Roman"/>
          <w:szCs w:val="18"/>
          <w:lang w:eastAsia="pt-BR"/>
        </w:rPr>
        <w:t xml:space="preserve"> e</w:t>
      </w:r>
      <w:r w:rsidRPr="004959B9">
        <w:rPr>
          <w:rFonts w:eastAsia="Times New Roman" w:cs="Times New Roman"/>
          <w:szCs w:val="18"/>
          <w:lang w:eastAsia="pt-BR"/>
        </w:rPr>
        <w:t xml:space="preserve"> reforçou que cada etapa da vida tem um desafio e preocupação diferente e </w:t>
      </w:r>
      <w:r>
        <w:rPr>
          <w:rFonts w:eastAsia="Times New Roman" w:cs="Times New Roman"/>
          <w:szCs w:val="18"/>
          <w:lang w:eastAsia="pt-BR"/>
        </w:rPr>
        <w:t xml:space="preserve">que </w:t>
      </w:r>
      <w:r w:rsidRPr="004959B9">
        <w:rPr>
          <w:rFonts w:eastAsia="Times New Roman" w:cs="Times New Roman"/>
          <w:szCs w:val="18"/>
          <w:lang w:eastAsia="pt-BR"/>
        </w:rPr>
        <w:t xml:space="preserve">a </w:t>
      </w:r>
      <w:r>
        <w:rPr>
          <w:rFonts w:eastAsia="Times New Roman" w:cs="Times New Roman"/>
          <w:szCs w:val="18"/>
          <w:lang w:eastAsia="pt-BR"/>
        </w:rPr>
        <w:t xml:space="preserve">Companhia </w:t>
      </w:r>
      <w:r w:rsidRPr="004959B9">
        <w:rPr>
          <w:rFonts w:eastAsia="Times New Roman" w:cs="Times New Roman"/>
          <w:szCs w:val="18"/>
          <w:lang w:eastAsia="pt-BR"/>
        </w:rPr>
        <w:t>t</w:t>
      </w:r>
      <w:r>
        <w:rPr>
          <w:rFonts w:eastAsia="Times New Roman" w:cs="Times New Roman"/>
          <w:szCs w:val="18"/>
          <w:lang w:eastAsia="pt-BR"/>
        </w:rPr>
        <w:t>e</w:t>
      </w:r>
      <w:r w:rsidRPr="004959B9">
        <w:rPr>
          <w:rFonts w:eastAsia="Times New Roman" w:cs="Times New Roman"/>
          <w:szCs w:val="18"/>
          <w:lang w:eastAsia="pt-BR"/>
        </w:rPr>
        <w:t xml:space="preserve">m soluções para </w:t>
      </w:r>
      <w:r>
        <w:rPr>
          <w:rFonts w:eastAsia="Times New Roman" w:cs="Times New Roman"/>
          <w:szCs w:val="18"/>
          <w:lang w:eastAsia="pt-BR"/>
        </w:rPr>
        <w:t>todas os momentos</w:t>
      </w:r>
      <w:r w:rsidRPr="004959B9">
        <w:rPr>
          <w:rFonts w:eastAsia="Times New Roman" w:cs="Times New Roman"/>
          <w:szCs w:val="18"/>
          <w:lang w:eastAsia="pt-BR"/>
        </w:rPr>
        <w:t xml:space="preserve">. </w:t>
      </w:r>
    </w:p>
    <w:p w14:paraId="31A9EDA6" w14:textId="77777777" w:rsidR="00182FC3" w:rsidRDefault="00182FC3" w:rsidP="004959B9">
      <w:pPr>
        <w:jc w:val="both"/>
        <w:rPr>
          <w:rFonts w:eastAsia="Times New Roman" w:cs="Times New Roman"/>
          <w:szCs w:val="18"/>
          <w:lang w:eastAsia="pt-BR"/>
        </w:rPr>
      </w:pPr>
      <w:r w:rsidRPr="004959B9">
        <w:rPr>
          <w:rFonts w:eastAsia="Times New Roman" w:cs="Times New Roman"/>
          <w:szCs w:val="18"/>
          <w:lang w:eastAsia="pt-BR"/>
        </w:rPr>
        <w:t>A atuação em marketing digital com uso de inteligência analítica utilizou-se de duas verticais de veiculação, uma delas com a operação da plataforma de mídias digitais pagas, gerando mais de 1,8 bilhão de impactos, com engajamento 400% superior ao ano de 2020; e a outra, com a utilização dos canais digitais proprietários do BB, com mais de 90 campanhas, cerca de 56 milhões de abordagens e gerando R$ 1,76 bilhão em negócios.</w:t>
      </w:r>
    </w:p>
    <w:p w14:paraId="5F0ECEA5" w14:textId="77777777" w:rsidR="00182FC3" w:rsidRDefault="00182FC3" w:rsidP="00AC2BB9">
      <w:pPr>
        <w:pStyle w:val="01-TtulodeNota"/>
        <w:rPr>
          <w:color w:val="1F4E79" w:themeColor="accent1" w:themeShade="80"/>
        </w:rPr>
      </w:pPr>
    </w:p>
    <w:p w14:paraId="561A8BDF" w14:textId="77777777" w:rsidR="00182FC3" w:rsidRDefault="00182FC3" w:rsidP="00F97A88">
      <w:pPr>
        <w:pStyle w:val="01-TtulodeNota"/>
        <w:keepNext/>
        <w:keepLines/>
        <w:pageBreakBefore/>
        <w:numPr>
          <w:ilvl w:val="0"/>
          <w:numId w:val="40"/>
        </w:numPr>
        <w:ind w:left="357" w:hanging="357"/>
        <w:rPr>
          <w:color w:val="1F4E79" w:themeColor="accent1" w:themeShade="80"/>
        </w:rPr>
      </w:pPr>
      <w:r>
        <w:rPr>
          <w:color w:val="1F4E79" w:themeColor="accent1" w:themeShade="80"/>
        </w:rPr>
        <w:lastRenderedPageBreak/>
        <w:t>ASPECTOS AMBIENTAIS, SOCIAIS E DE GOVERNANÇA</w:t>
      </w:r>
    </w:p>
    <w:p w14:paraId="5374D47C" w14:textId="77777777" w:rsidR="00182FC3" w:rsidRDefault="00182FC3" w:rsidP="00E84DAB">
      <w:pPr>
        <w:spacing w:before="120" w:after="120"/>
        <w:jc w:val="both"/>
        <w:rPr>
          <w:lang w:eastAsia="pt-BR"/>
        </w:rPr>
      </w:pPr>
      <w:r>
        <w:rPr>
          <w:lang w:eastAsia="pt-BR"/>
        </w:rPr>
        <w:t>Trazendo luz aos aspectos ambientais, sociais e de governança (ASG) do negócio, considerando que a BB Seguridade é uma empresa relativamente nova, que se originou a partir da segregação dos negócios em seguros, previdência e capitalização anteriormente conduzidos dentro da estrutura organizacional do seu controlador, o Banco do Brasil, os primeiros anos da Companhia foram dedicados ao amadurecimento e consolidação da Governança como meio para garantir a adoção de melhores práticas de gestão empresarial na condução dos negócios e na gestão dos seus investimentos.</w:t>
      </w:r>
    </w:p>
    <w:p w14:paraId="44087728" w14:textId="77777777" w:rsidR="00182FC3" w:rsidRDefault="00182FC3" w:rsidP="00E84DAB">
      <w:pPr>
        <w:spacing w:before="120" w:after="120"/>
        <w:jc w:val="both"/>
        <w:rPr>
          <w:lang w:eastAsia="pt-BR"/>
        </w:rPr>
      </w:pPr>
      <w:r>
        <w:rPr>
          <w:lang w:eastAsia="pt-BR"/>
        </w:rPr>
        <w:t>Esse amadurecimento, aliado à voz das partes interessadas, estimulou o incremento da atenção aos aspectos ambientais e sociais, o que culminou em 2021 na criação do Projeto Estratégico Agenda ASG, com o propósito de aproximar, consolidar e acelerar as agendas ambientais, sociais e de governança no âmbito do Grupo BB Seguridade.</w:t>
      </w:r>
    </w:p>
    <w:p w14:paraId="13D018C5" w14:textId="657F0AC5" w:rsidR="00182FC3" w:rsidRDefault="00182FC3" w:rsidP="00E84DAB">
      <w:pPr>
        <w:spacing w:before="120" w:after="120"/>
        <w:jc w:val="both"/>
        <w:rPr>
          <w:lang w:eastAsia="pt-BR"/>
        </w:rPr>
      </w:pPr>
      <w:r>
        <w:rPr>
          <w:rFonts w:eastAsia="Times New Roman" w:cs="Arial"/>
          <w:spacing w:val="-2"/>
          <w:szCs w:val="18"/>
          <w:lang w:eastAsia="pt-BR"/>
        </w:rPr>
        <w:t xml:space="preserve">O relato completo das </w:t>
      </w:r>
      <w:r w:rsidRPr="00117C0C">
        <w:rPr>
          <w:rFonts w:eastAsia="Times New Roman" w:cs="Arial"/>
          <w:spacing w:val="-2"/>
          <w:szCs w:val="18"/>
          <w:lang w:eastAsia="pt-BR"/>
        </w:rPr>
        <w:t>práticas ASG adotadas podem ser obtidas no Relatório</w:t>
      </w:r>
      <w:r>
        <w:rPr>
          <w:rFonts w:eastAsia="Times New Roman" w:cs="Arial"/>
          <w:spacing w:val="-2"/>
          <w:szCs w:val="18"/>
          <w:lang w:eastAsia="pt-BR"/>
        </w:rPr>
        <w:t xml:space="preserve"> Anual</w:t>
      </w:r>
      <w:r w:rsidRPr="00117C0C">
        <w:rPr>
          <w:rFonts w:eastAsia="Times New Roman" w:cs="Arial"/>
          <w:spacing w:val="-2"/>
          <w:szCs w:val="18"/>
          <w:lang w:eastAsia="pt-BR"/>
        </w:rPr>
        <w:t xml:space="preserve"> de Sustentabilidade da Companhia, disponível no endereço eletrônico </w:t>
      </w:r>
      <w:r w:rsidRPr="00571767">
        <w:t>www.bbseguridaderi.com.br/sustentabilidade-e-governanca/sustentabilidade/</w:t>
      </w:r>
      <w:r>
        <w:t xml:space="preserve"> e elaborado de acordo com as orientações do </w:t>
      </w:r>
      <w:r>
        <w:rPr>
          <w:lang w:eastAsia="pt-BR"/>
        </w:rPr>
        <w:t>Global Reporting Iniciative (GRI).</w:t>
      </w:r>
    </w:p>
    <w:p w14:paraId="3152EBE0" w14:textId="77777777" w:rsidR="00182FC3" w:rsidRDefault="00182FC3" w:rsidP="00E84DAB">
      <w:pPr>
        <w:spacing w:before="120" w:after="120"/>
        <w:jc w:val="both"/>
        <w:rPr>
          <w:lang w:eastAsia="pt-BR"/>
        </w:rPr>
      </w:pPr>
      <w:r>
        <w:rPr>
          <w:lang w:eastAsia="pt-BR"/>
        </w:rPr>
        <w:t>Neste Relatório da Administração são apresentadas algumas informações sobre temas que estão contemplados nos aspectos ASG em relação ao exercício 2021. O relato completo das práticas em relação aos temas considerados materiais para a Companhia no exercício, de acordo com a metodologia do GRI, será apresentado no Relatório Anual de Sustentabilidade 2021, a ser divulgado no primeiro semestre de 2022.</w:t>
      </w:r>
    </w:p>
    <w:p w14:paraId="552FAD97" w14:textId="77777777" w:rsidR="00182FC3" w:rsidRPr="00053E4D" w:rsidRDefault="00182FC3" w:rsidP="00053E4D">
      <w:pPr>
        <w:pStyle w:val="03-SubttulodeNota"/>
        <w:spacing w:line="276" w:lineRule="auto"/>
        <w:rPr>
          <w:color w:val="1F4E79" w:themeColor="accent1" w:themeShade="80"/>
        </w:rPr>
      </w:pPr>
      <w:r w:rsidRPr="00053E4D">
        <w:rPr>
          <w:color w:val="1F4E79" w:themeColor="accent1" w:themeShade="80"/>
        </w:rPr>
        <w:t>G</w:t>
      </w:r>
      <w:r>
        <w:rPr>
          <w:color w:val="1F4E79" w:themeColor="accent1" w:themeShade="80"/>
        </w:rPr>
        <w:t xml:space="preserve">overnança, Gestão de Riscos e </w:t>
      </w:r>
      <w:r w:rsidRPr="003253D6">
        <w:rPr>
          <w:i/>
          <w:iCs/>
          <w:color w:val="1F4E79" w:themeColor="accent1" w:themeShade="80"/>
        </w:rPr>
        <w:t>Compliance</w:t>
      </w:r>
    </w:p>
    <w:p w14:paraId="2123630F" w14:textId="77777777" w:rsidR="00182FC3" w:rsidRPr="00783390" w:rsidRDefault="00182FC3" w:rsidP="00E84DAB">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Governança</w:t>
      </w:r>
    </w:p>
    <w:p w14:paraId="659BEAD2" w14:textId="77777777" w:rsidR="00182FC3" w:rsidRPr="00006A20" w:rsidRDefault="00182FC3" w:rsidP="00E84DAB">
      <w:pPr>
        <w:jc w:val="both"/>
        <w:rPr>
          <w:rFonts w:eastAsia="Times New Roman" w:cs="Arial"/>
          <w:spacing w:val="-2"/>
          <w:szCs w:val="18"/>
          <w:lang w:eastAsia="pt-BR"/>
        </w:rPr>
      </w:pPr>
      <w:r w:rsidRPr="00006A20">
        <w:rPr>
          <w:rFonts w:eastAsia="Times New Roman" w:cs="Arial"/>
          <w:spacing w:val="-2"/>
          <w:szCs w:val="18"/>
          <w:lang w:eastAsia="pt-BR"/>
        </w:rPr>
        <w:t>O compromisso da BB Seguridade com a transparência na relação com o mercado e, em especial, com seus acionistas minoritários, é ratificado pela sua adesão, desde a abertura de capital, ao Novo Mercado da B3, segmento que reúne as companhias que atendem às mais elevadas exigências de governança corporativa no mercado brasileiro.</w:t>
      </w:r>
    </w:p>
    <w:p w14:paraId="298C7938" w14:textId="77777777" w:rsidR="00182FC3" w:rsidRPr="00006A20" w:rsidRDefault="00182FC3" w:rsidP="00E84DAB">
      <w:pPr>
        <w:jc w:val="both"/>
        <w:rPr>
          <w:rFonts w:eastAsia="Times New Roman" w:cs="Arial"/>
          <w:spacing w:val="-2"/>
          <w:szCs w:val="18"/>
          <w:lang w:eastAsia="pt-BR"/>
        </w:rPr>
      </w:pPr>
      <w:r>
        <w:rPr>
          <w:rFonts w:eastAsia="Times New Roman" w:cs="Arial"/>
          <w:spacing w:val="-2"/>
          <w:szCs w:val="18"/>
          <w:lang w:eastAsia="pt-BR"/>
        </w:rPr>
        <w:t>Em 2021, a</w:t>
      </w:r>
      <w:r w:rsidRPr="00006A20">
        <w:rPr>
          <w:rFonts w:eastAsia="Times New Roman" w:cs="Arial"/>
          <w:spacing w:val="-2"/>
          <w:szCs w:val="18"/>
          <w:lang w:eastAsia="pt-BR"/>
        </w:rPr>
        <w:t xml:space="preserve"> BB Seguridade atingiu novamente o Nível 1 da Certificação do Indicador de Governança IG-SEST, instrumento de avaliação contínua das estatais federais, que verifica o cumprimento de diversos dispositivos legais, infralegais e de boas práticas de governança corporativa. A título de comparação, em um universo de 60 empresas avaliadas, apenas 16 Companhias foram classificadas no Nível 1, considerado o índice mais alto da certificação.</w:t>
      </w:r>
    </w:p>
    <w:p w14:paraId="0D1327A6" w14:textId="77777777" w:rsidR="00182FC3" w:rsidRPr="00006A20" w:rsidRDefault="00182FC3" w:rsidP="00E84DAB">
      <w:pPr>
        <w:jc w:val="both"/>
        <w:rPr>
          <w:rFonts w:eastAsia="Times New Roman" w:cs="Arial"/>
          <w:spacing w:val="-2"/>
          <w:szCs w:val="18"/>
          <w:lang w:eastAsia="pt-BR"/>
        </w:rPr>
      </w:pPr>
      <w:r w:rsidRPr="00006A20">
        <w:rPr>
          <w:rFonts w:eastAsia="Times New Roman" w:cs="Arial"/>
          <w:spacing w:val="-2"/>
          <w:szCs w:val="18"/>
          <w:lang w:eastAsia="pt-BR"/>
        </w:rPr>
        <w:t>Dentre os aprimoramentos na estrutura de governança, destaca-se a iniciativa inédita na companhia de realização da Assembleia Geral de Acionistas totalmente digital, o que demonstrou além do cuidado da empresa com as iniciativas de prevenção à disseminação do Covid-19, a agilidade em se adaptar às mudanças decorrentes da nova realidade, aliando eficiência com a segurança adequada para garantir a entrega de melhor experiência aos acionistas.</w:t>
      </w:r>
    </w:p>
    <w:p w14:paraId="32E4B7AA" w14:textId="77777777" w:rsidR="00182FC3" w:rsidRPr="00006A20" w:rsidRDefault="00182FC3" w:rsidP="00E84DAB">
      <w:pPr>
        <w:jc w:val="both"/>
        <w:rPr>
          <w:rFonts w:eastAsia="Times New Roman" w:cs="Arial"/>
          <w:spacing w:val="-2"/>
          <w:szCs w:val="18"/>
          <w:lang w:eastAsia="pt-BR"/>
        </w:rPr>
      </w:pPr>
      <w:r w:rsidRPr="00006A20">
        <w:rPr>
          <w:rFonts w:eastAsia="Times New Roman" w:cs="Arial"/>
          <w:spacing w:val="-2"/>
          <w:szCs w:val="18"/>
          <w:lang w:eastAsia="pt-BR"/>
        </w:rPr>
        <w:t>Ainda dentro do sistema de governança corporativa, merece menção o processo de adequação do Estatuto da BB Seguridade ao modelo padrão divulgado pela Secretaria de Coordenação e Governança das Empresas Estatais (SEST), que buscou promover a adoção das melhores práticas, além de estar alinhado às diretrizes da Organização para Cooperação e Desenvolvimento Econômico (OCDE). Entre as principais inovações do modelo, destacam-se o tratamento adequado às hipóteses de conflito de interesse dos administradores, aprimoramento do processo de seleção de administradores, dentre outras.</w:t>
      </w:r>
    </w:p>
    <w:p w14:paraId="0B66BC9E" w14:textId="77777777" w:rsidR="00182FC3" w:rsidRPr="00783390" w:rsidRDefault="00182FC3" w:rsidP="00E84DAB">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Gestão de Riscos e Compliance</w:t>
      </w:r>
    </w:p>
    <w:p w14:paraId="7F5EB44A" w14:textId="77777777" w:rsidR="00182FC3" w:rsidRDefault="00182FC3" w:rsidP="00E84DAB">
      <w:pPr>
        <w:pStyle w:val="01-Textonormal"/>
      </w:pPr>
      <w:r>
        <w:t xml:space="preserve">Além de órgãos estatutários de governança, fiscalização e controle, como o Comitê de Auditoria e o Conselho Fiscal, a BB Seguridade conta em sua estrutura organizacional com uma área técnica segregada das funções de negócio, a Superintendência Executiva de Governança, Riscos e Compliance, vinculada diretamente à presidência da Companhia, o que assegura a necessária independência de atuação. </w:t>
      </w:r>
    </w:p>
    <w:p w14:paraId="6F37723E" w14:textId="77777777" w:rsidR="00182FC3" w:rsidRDefault="00182FC3" w:rsidP="00E84DAB">
      <w:pPr>
        <w:pStyle w:val="01-Textonormal"/>
      </w:pPr>
      <w:r>
        <w:t xml:space="preserve">Tal superintendência tem a responsabilidade de desenvolver e normatizar metodologias de gerenciamento de riscos, controles internos e conformidade, além de orientar a adoção de melhores práticas relacionadas ao tema. As diretrizes aprovadas pelo Conselho de Administração, que orientam o gerenciamento de riscos, controles internos e conformidade, estão contidas na Declaração de Apetite a Riscos, Política de Gerenciamento de Riscos, Controles Internos e Conformidade, </w:t>
      </w:r>
      <w:r w:rsidRPr="000A5AEB">
        <w:t>Política de Prevenção e Combate à Lavagem de Dinheiro e ao Financiamento do Terrorismo e Política de Prevenção e Combate à Corrupção.</w:t>
      </w:r>
      <w:r>
        <w:t xml:space="preserve"> </w:t>
      </w:r>
    </w:p>
    <w:p w14:paraId="3D269C00" w14:textId="77777777" w:rsidR="00182FC3" w:rsidRDefault="00182FC3" w:rsidP="00E84DAB">
      <w:pPr>
        <w:pStyle w:val="01-Textonormal"/>
      </w:pPr>
      <w:r>
        <w:t xml:space="preserve">O Modelo de Gerenciamento de Riscos, Controles Internos e Conformidade, aprovado pela Diretoria Colegiada, apresenta alinhamento com a estratégia da Companhia e considera os cenários corporativos na identificação, análise, avaliação e tratamento de eventos capazes de influenciar negativamente o atingimento dos objetivos. </w:t>
      </w:r>
    </w:p>
    <w:p w14:paraId="0D3B7FFF" w14:textId="77777777" w:rsidR="00182FC3" w:rsidRDefault="00182FC3" w:rsidP="00E84DAB">
      <w:pPr>
        <w:pStyle w:val="01-Textonormal"/>
      </w:pPr>
      <w:r>
        <w:t xml:space="preserve">O resultado do monitoramento contínuo do sistema de controles internos e o estado de conformidade corporativo é reportado trimestralmente à administração por meio do Painel de Controles Internos e Conformidade, que inclui informações relevantes sobre trabalhos realizados não somente pela área técnica dedicada à gestão de riscos e controles, mas também pela Auditoria Interna, Auditoria Externa e demais órgãos supervisores. </w:t>
      </w:r>
    </w:p>
    <w:p w14:paraId="3EAA24DD" w14:textId="77777777" w:rsidR="00182FC3" w:rsidRDefault="00182FC3" w:rsidP="00E84DAB">
      <w:pPr>
        <w:pStyle w:val="01-Textonormal"/>
      </w:pPr>
      <w:r>
        <w:lastRenderedPageBreak/>
        <w:t>Ainda, a manutenção e avaliação periódica de um Programa de Integridade fomenta uma cultura organizacional ética e reforça a responsabilidade de todos com a prática de controles internos de gestão e de conformidade adotadas para o cumprimento da missão e realização do propósito da empresa.</w:t>
      </w:r>
    </w:p>
    <w:p w14:paraId="20551A37" w14:textId="77777777" w:rsidR="00182FC3" w:rsidRDefault="00182FC3" w:rsidP="00E84DAB">
      <w:pPr>
        <w:jc w:val="both"/>
        <w:rPr>
          <w:rFonts w:eastAsia="Times New Roman" w:cs="Arial"/>
          <w:spacing w:val="-2"/>
          <w:szCs w:val="18"/>
          <w:lang w:eastAsia="pt-BR"/>
        </w:rPr>
      </w:pPr>
      <w:r>
        <w:t>Dentre as ações realizadas ao longo de 2021, a companhia revisou as estruturas de gerenciamento de riscos, controles internos e conformidade, promovendo os seguintes aprimoramentos que entrarão em operação em 2022: i) criação de Comitê de Riscos estatutário composto por membros independentes; ii) criação do Comitê de Gestão da Continuidade e Crises, órgão de assessoramento à Diretoria; e iii) ampliação da estrutura dedicada à gestão de riscos e conformidade, com a segregação das funções de Gestão de Controles Internos e Integridade e de Gestão de Riscos, Capital e Segurança em duas áreas. A implementação de tais iniciativas auxiliará na elevação do foco estratégico e resiliência da companhia frente aos novos desafios do horizonte pós pandemia, contemplando também as necessárias adequações regulatórias, destacadamente as relativas à Lei Geral de Proteção de Dados, Resolução CNSP nº 382, a Resolução CNSP nº 416 e Circular Susep nº 612.</w:t>
      </w:r>
    </w:p>
    <w:p w14:paraId="7BDB60FB" w14:textId="77777777" w:rsidR="00182FC3" w:rsidRDefault="00182FC3" w:rsidP="00E84DAB">
      <w:pPr>
        <w:spacing w:before="120" w:after="120"/>
        <w:jc w:val="both"/>
        <w:rPr>
          <w:lang w:eastAsia="pt-BR"/>
        </w:rPr>
      </w:pPr>
    </w:p>
    <w:p w14:paraId="2A247572" w14:textId="77777777" w:rsidR="00182FC3" w:rsidRPr="00597253" w:rsidRDefault="00182FC3" w:rsidP="00597253">
      <w:pPr>
        <w:pStyle w:val="03-SubttulodeNota"/>
        <w:spacing w:line="276" w:lineRule="auto"/>
        <w:rPr>
          <w:color w:val="1F4E79" w:themeColor="accent1" w:themeShade="80"/>
        </w:rPr>
      </w:pPr>
      <w:r w:rsidRPr="00597253">
        <w:rPr>
          <w:color w:val="1F4E79" w:themeColor="accent1" w:themeShade="80"/>
        </w:rPr>
        <w:t>Gestão do Capital Humano</w:t>
      </w:r>
    </w:p>
    <w:p w14:paraId="53BA5E6B" w14:textId="77777777" w:rsidR="00182FC3" w:rsidRDefault="00182FC3" w:rsidP="00EF771D">
      <w:pPr>
        <w:spacing w:before="120" w:after="120"/>
        <w:jc w:val="both"/>
        <w:rPr>
          <w:rFonts w:cs="Arial"/>
          <w:color w:val="000000"/>
          <w:szCs w:val="18"/>
        </w:rPr>
      </w:pPr>
      <w:r>
        <w:rPr>
          <w:rFonts w:cs="Arial"/>
          <w:color w:val="000000"/>
          <w:szCs w:val="18"/>
        </w:rPr>
        <w:t xml:space="preserve">O quadro de pessoal da BB Seguridade é composto, em sua maioria, por funcionários cedidos pelo BB. Em 31.12.2021, a Companhia contava com 154 funcionários celetistas e 4 diretores estatutários, localizados em Brasília e São Paulo, 3 estagiários e 21 contratados. </w:t>
      </w:r>
    </w:p>
    <w:p w14:paraId="2FC51E11" w14:textId="77777777" w:rsidR="00182FC3" w:rsidRDefault="00182FC3" w:rsidP="00EF771D">
      <w:pPr>
        <w:spacing w:before="120" w:after="120"/>
        <w:jc w:val="both"/>
        <w:rPr>
          <w:rFonts w:cs="Arial"/>
          <w:color w:val="000000"/>
          <w:szCs w:val="18"/>
        </w:rPr>
      </w:pPr>
      <w:r>
        <w:rPr>
          <w:rFonts w:cs="Arial"/>
          <w:color w:val="000000"/>
          <w:szCs w:val="18"/>
        </w:rPr>
        <w:t>A BB Seguridade acredita que seu capital humano é o principal ativo da empresa. Em 2021, com a revisão da abordagem dos pilares de estratégia e capital humano da Companhia, os processos inerentes à gestão de pessoas passaram a ser conduzidos pela Superintendência de Gente e Gestão. Tal mudança teve foco no amadurecimento do modelo de gestão da Companhia, mantendo o propósito de conferir um papel mais estratégico e menos transacional à área de capital humano, com o objetivo principal de atrair, reter e desenvolver os talentos da BB Seguridade, disseminar e fortalecer a cultura organizacional e atuar como parceiro estratégico do negócio, buscando uma performance sustentável em todas as áreas da empresa.</w:t>
      </w:r>
    </w:p>
    <w:p w14:paraId="381F3AEF" w14:textId="77777777" w:rsidR="00182FC3" w:rsidRDefault="00182FC3" w:rsidP="00EF771D">
      <w:pPr>
        <w:spacing w:before="120" w:after="120"/>
        <w:jc w:val="both"/>
        <w:rPr>
          <w:rFonts w:cs="Arial"/>
          <w:color w:val="000000"/>
          <w:szCs w:val="18"/>
        </w:rPr>
      </w:pPr>
      <w:r>
        <w:rPr>
          <w:rFonts w:cs="Arial"/>
          <w:color w:val="000000"/>
          <w:szCs w:val="18"/>
        </w:rPr>
        <w:t xml:space="preserve"> </w:t>
      </w:r>
    </w:p>
    <w:p w14:paraId="2124A49D" w14:textId="77777777" w:rsidR="00182FC3" w:rsidRPr="00783390" w:rsidRDefault="00182FC3" w:rsidP="00597253">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Treinamento e Desenvolvimento</w:t>
      </w:r>
    </w:p>
    <w:p w14:paraId="15CBE0F2"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 xml:space="preserve">Reforçando a importância que a BB Seguridade confere ao desenvolvimento dos colaboradores, foram investidos em 2021 aproximadamente R$638 mil em treinamentos e subsídios de até 80% em bolsas de pós-graduação e idiomas. Para os cursos de pós-graduação, os colaboradores podem, ainda, valer-se de ausências autorizadas, com o objetivo de finalizar o trabalho de conclusão de curso. </w:t>
      </w:r>
    </w:p>
    <w:p w14:paraId="49816972"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 xml:space="preserve">Ao longo de 2021, os principais treinamentos que fizeram parte do Plano de Desenvolvimento Corporativo (PDC) foram: </w:t>
      </w:r>
      <w:r>
        <w:t xml:space="preserve"> (i) </w:t>
      </w:r>
      <w:r>
        <w:rPr>
          <w:rFonts w:cs="Arial"/>
          <w:color w:val="000000"/>
          <w:szCs w:val="18"/>
        </w:rPr>
        <w:t xml:space="preserve">Programa de Formação de Líderes, que teve como principal objetivo preparar os potenciais sucessores para a passagem de líder de si para líder de equipe; (ii) Desenvolvimento de </w:t>
      </w:r>
      <w:r w:rsidRPr="005D1989">
        <w:rPr>
          <w:rFonts w:cs="Arial"/>
          <w:i/>
          <w:iCs/>
          <w:color w:val="000000"/>
          <w:szCs w:val="18"/>
        </w:rPr>
        <w:t>Soft Skills</w:t>
      </w:r>
      <w:r>
        <w:rPr>
          <w:rFonts w:cs="Arial"/>
          <w:color w:val="000000"/>
          <w:szCs w:val="18"/>
        </w:rPr>
        <w:t xml:space="preserve"> para gestores, com o objetivo de aprimorar tópicos fundamentais para a atuação consciente do líder como gestor de pessoas; (iii) Trilha Líderes de Projeto, para preparar potenciais líderes para condução dos futuros projetos da BB Seguros; (iv) Modelos de Negócios; e (v) Programa Academia do Conhecimento, que teve como objetivo fortalecer as competências-chave (sejam elas técnicas ou comportamentais) da BB Seguidade, alinhadas às principais habilidades do futuro.</w:t>
      </w:r>
    </w:p>
    <w:p w14:paraId="04B729D6" w14:textId="77777777" w:rsidR="00182FC3" w:rsidRDefault="00182FC3" w:rsidP="00EF771D">
      <w:pPr>
        <w:tabs>
          <w:tab w:val="left" w:pos="1175"/>
        </w:tabs>
        <w:spacing w:before="120" w:after="120"/>
        <w:jc w:val="both"/>
        <w:rPr>
          <w:rFonts w:cs="Arial"/>
          <w:color w:val="000000"/>
          <w:szCs w:val="18"/>
        </w:rPr>
      </w:pPr>
    </w:p>
    <w:p w14:paraId="01CCAE0B" w14:textId="77777777" w:rsidR="00182FC3" w:rsidRPr="00783390" w:rsidRDefault="00182FC3" w:rsidP="00597253">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Talentos e Sucessão</w:t>
      </w:r>
    </w:p>
    <w:p w14:paraId="243D916C" w14:textId="77777777" w:rsidR="00182FC3" w:rsidRDefault="00182FC3" w:rsidP="00EF771D">
      <w:pPr>
        <w:spacing w:before="120" w:after="120"/>
        <w:jc w:val="both"/>
        <w:rPr>
          <w:rFonts w:cs="Arial"/>
          <w:color w:val="000000"/>
          <w:szCs w:val="18"/>
        </w:rPr>
      </w:pPr>
      <w:r>
        <w:rPr>
          <w:rFonts w:cs="Arial"/>
          <w:color w:val="000000"/>
          <w:szCs w:val="18"/>
        </w:rPr>
        <w:t>Desde 2019, a BB Seguridade tem avançado na elevação da maturidade do processo de identificação de talentos e sucessores.</w:t>
      </w:r>
    </w:p>
    <w:p w14:paraId="6900A344"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Os talentos são identificados por meio do ciclo de gestão de desempenho, compreendendo a avaliação de desempenho e a avaliação colegiada por meio de Comissão de Desenvolvimento e Carreira. A referida Comissão tem como um dos seus objetivos finais a formação de uma relação de potenciais sucessores da Companhia por meio da identificação dos funcionários que apresentaram alto desempenho e alto potencial, os quais serão preparados para ocuparem novas posições de maior complexidade.</w:t>
      </w:r>
    </w:p>
    <w:p w14:paraId="58846009"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 xml:space="preserve">Nesse sentido, no exercício de 2021, a BB Seguridade deu continuidade ao Programa de Desenvolvimento de Potenciais Sucessores para posições gerenciais, finalizando a etapa de autoconhecimento com a aplicação e devolutiva da avaliação de perfil comportamental e de estilo de gestão e iniciou a Formação de Líderes com aulas </w:t>
      </w:r>
      <w:r w:rsidRPr="005D1989">
        <w:rPr>
          <w:rFonts w:cs="Arial"/>
          <w:i/>
          <w:iCs/>
          <w:color w:val="000000"/>
          <w:szCs w:val="18"/>
        </w:rPr>
        <w:t>online</w:t>
      </w:r>
      <w:r>
        <w:rPr>
          <w:rFonts w:cs="Arial"/>
          <w:color w:val="000000"/>
          <w:szCs w:val="18"/>
        </w:rPr>
        <w:t xml:space="preserve"> e ao vivo, conduzidas por empresa especializada.</w:t>
      </w:r>
    </w:p>
    <w:p w14:paraId="69652E88" w14:textId="77777777" w:rsidR="00182FC3" w:rsidRDefault="00182FC3" w:rsidP="00EF771D">
      <w:pPr>
        <w:tabs>
          <w:tab w:val="left" w:pos="1175"/>
        </w:tabs>
        <w:spacing w:before="120" w:after="120"/>
        <w:jc w:val="both"/>
        <w:rPr>
          <w:rFonts w:cs="Arial"/>
          <w:b/>
          <w:color w:val="254E79"/>
          <w:szCs w:val="18"/>
        </w:rPr>
      </w:pPr>
    </w:p>
    <w:p w14:paraId="69B6FB82" w14:textId="77777777" w:rsidR="00182FC3" w:rsidRPr="00783390" w:rsidRDefault="00182FC3" w:rsidP="00F97A88">
      <w:pPr>
        <w:pStyle w:val="03-SubttulodeNota"/>
        <w:keepNext/>
        <w:keepLines/>
        <w:pageBreakBefore/>
        <w:spacing w:line="276" w:lineRule="auto"/>
        <w:rPr>
          <w:b w:val="0"/>
          <w:bCs/>
          <w:color w:val="000000" w:themeColor="text1"/>
          <w:sz w:val="18"/>
          <w:szCs w:val="18"/>
          <w:u w:val="single"/>
        </w:rPr>
      </w:pPr>
      <w:r w:rsidRPr="00783390">
        <w:rPr>
          <w:b w:val="0"/>
          <w:bCs/>
          <w:color w:val="000000" w:themeColor="text1"/>
          <w:sz w:val="18"/>
          <w:szCs w:val="18"/>
          <w:u w:val="single"/>
        </w:rPr>
        <w:lastRenderedPageBreak/>
        <w:t>Benefícios e Premiações</w:t>
      </w:r>
    </w:p>
    <w:p w14:paraId="2BDB9DD8" w14:textId="77777777" w:rsidR="00182FC3" w:rsidRDefault="00182FC3" w:rsidP="00EF771D">
      <w:pPr>
        <w:jc w:val="both"/>
        <w:rPr>
          <w:rFonts w:cs="Arial"/>
          <w:szCs w:val="18"/>
        </w:rPr>
      </w:pPr>
      <w:r>
        <w:rPr>
          <w:rFonts w:cs="Arial"/>
          <w:color w:val="000000"/>
          <w:szCs w:val="18"/>
        </w:rPr>
        <w:t xml:space="preserve">Aos funcionários cedidos pelo controlador para trabalhar na Companhia, a BB Seguridade assegura diversos benefícios, com destaque para previdência complementar, planos de saúde e remuneração variável com base nos lucros e resultados. Além desses benefícios, em 2019, o Conselho de Administração aprovou o “Programa Aplausos”, uma premiação vinculada ao resultado e ao desempenho individual dos participantes elegíveis que venham a se destacar em termos de atingimento de metas individuais e contribuição diferenciada para o resultado da empresa. O pagamento da premiação é realizado com ações da Companhia e visa o fortalecimento da parceria entre o funcionário e a BB Seguridade, reconhecimento dos participantes na construção do resultado e alinhamento dos resultados às </w:t>
      </w:r>
      <w:r>
        <w:rPr>
          <w:rFonts w:cs="Arial"/>
          <w:szCs w:val="18"/>
        </w:rPr>
        <w:t>estratégias da Companhia. De forma similar, o Programa de Remuneração Variável dos Diretores Estatutários também prevê o pagamento de 50% do valor total em ações da Companhia.</w:t>
      </w:r>
    </w:p>
    <w:p w14:paraId="2343255D" w14:textId="77777777" w:rsidR="00182FC3" w:rsidRDefault="00182FC3" w:rsidP="00EF771D">
      <w:pPr>
        <w:jc w:val="both"/>
        <w:rPr>
          <w:rFonts w:cs="Arial"/>
          <w:color w:val="000000"/>
          <w:szCs w:val="18"/>
        </w:rPr>
      </w:pPr>
      <w:r>
        <w:rPr>
          <w:rFonts w:cs="Arial"/>
          <w:color w:val="000000"/>
          <w:szCs w:val="18"/>
        </w:rPr>
        <w:t>Em 2021, com base nos resultados dos desempenhos individuais referentes ao exercício de 2020, 42 funcionários (de um total de 142 avaliados) foram identificados com desempenho acima do adequado ou destaque e tiveram sua performance reconhecida por meio do Programa Aplausos.</w:t>
      </w:r>
    </w:p>
    <w:p w14:paraId="4532DDAF" w14:textId="77777777" w:rsidR="00182FC3" w:rsidRDefault="00182FC3" w:rsidP="00EF771D">
      <w:pPr>
        <w:jc w:val="both"/>
        <w:rPr>
          <w:rFonts w:cs="Arial"/>
          <w:color w:val="000000"/>
          <w:szCs w:val="18"/>
        </w:rPr>
      </w:pPr>
    </w:p>
    <w:p w14:paraId="4B6F5E83" w14:textId="77777777" w:rsidR="00182FC3" w:rsidRDefault="00182FC3" w:rsidP="00EF771D">
      <w:pPr>
        <w:spacing w:before="120" w:after="120"/>
        <w:jc w:val="both"/>
        <w:rPr>
          <w:rFonts w:cs="Arial"/>
          <w:color w:val="000000"/>
          <w:szCs w:val="18"/>
        </w:rPr>
      </w:pPr>
      <w:r>
        <w:rPr>
          <w:rFonts w:cs="Arial"/>
          <w:color w:val="000000"/>
          <w:szCs w:val="18"/>
        </w:rPr>
        <w:t>Abaixo, demonstramos os investimentos realizados no ano:</w:t>
      </w:r>
    </w:p>
    <w:p w14:paraId="0A899C90" w14:textId="7082A7CF" w:rsidR="00182FC3" w:rsidRDefault="00182FC3" w:rsidP="00EF771D">
      <w:pPr>
        <w:pStyle w:val="01-TtulodeNota"/>
        <w:rPr>
          <w:b w:val="0"/>
          <w:sz w:val="14"/>
        </w:rPr>
      </w:pPr>
      <w:r>
        <w:rPr>
          <w:rFonts w:cs="Arial"/>
          <w:b w:val="0"/>
          <w:sz w:val="14"/>
          <w:szCs w:val="14"/>
        </w:rPr>
        <w:t xml:space="preserve">Tabela </w:t>
      </w:r>
      <w:r w:rsidR="00126F8B">
        <w:rPr>
          <w:rFonts w:cs="Arial"/>
          <w:b w:val="0"/>
          <w:noProof/>
          <w:sz w:val="14"/>
          <w:szCs w:val="14"/>
        </w:rPr>
        <w:t>5</w:t>
      </w:r>
      <w:r>
        <w:rPr>
          <w:b w:val="0"/>
          <w:sz w:val="14"/>
        </w:rPr>
        <w:t xml:space="preserve"> – </w:t>
      </w:r>
      <w:r>
        <w:rPr>
          <w:rFonts w:cs="Arial"/>
          <w:b w:val="0"/>
          <w:sz w:val="14"/>
        </w:rPr>
        <w:t>Capital Humano – Investimento (visão consolidada)</w:t>
      </w:r>
    </w:p>
    <w:tbl>
      <w:tblPr>
        <w:tblStyle w:val="TabeladeLista6Colorida-nfase5"/>
        <w:tblW w:w="9639" w:type="dxa"/>
        <w:tblLook w:val="04A0" w:firstRow="1" w:lastRow="0" w:firstColumn="1" w:lastColumn="0" w:noHBand="0" w:noVBand="1"/>
      </w:tblPr>
      <w:tblGrid>
        <w:gridCol w:w="3744"/>
        <w:gridCol w:w="1965"/>
        <w:gridCol w:w="1965"/>
        <w:gridCol w:w="1965"/>
      </w:tblGrid>
      <w:tr w:rsidR="00182FC3" w14:paraId="7044F591" w14:textId="77777777" w:rsidTr="003E5CAD">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tcPr>
          <w:p w14:paraId="5C47F30A" w14:textId="77777777" w:rsidR="00182FC3" w:rsidRDefault="00182FC3">
            <w:pPr>
              <w:pStyle w:val="08-Tabelageral"/>
              <w:jc w:val="left"/>
              <w:rPr>
                <w:rFonts w:cs="Arial"/>
                <w:lang w:eastAsia="en-US"/>
              </w:rPr>
            </w:pPr>
            <w:r>
              <w:rPr>
                <w:rFonts w:cs="Arial"/>
                <w:lang w:eastAsia="en-US"/>
              </w:rPr>
              <w:t>R$ mil</w:t>
            </w:r>
          </w:p>
        </w:tc>
        <w:tc>
          <w:tcPr>
            <w:tcW w:w="0" w:type="dxa"/>
            <w:gridSpan w:val="3"/>
            <w:tcBorders>
              <w:top w:val="single" w:sz="2" w:space="0" w:color="1F4E79" w:themeColor="accent1" w:themeShade="80"/>
              <w:left w:val="nil"/>
              <w:bottom w:val="nil"/>
              <w:right w:val="nil"/>
            </w:tcBorders>
            <w:shd w:val="clear" w:color="auto" w:fill="auto"/>
            <w:vAlign w:val="center"/>
            <w:hideMark/>
          </w:tcPr>
          <w:p w14:paraId="4F439F59" w14:textId="77777777" w:rsidR="00182FC3" w:rsidRDefault="00182FC3">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Fluxo Anual</w:t>
            </w:r>
          </w:p>
        </w:tc>
      </w:tr>
      <w:tr w:rsidR="00182FC3" w14:paraId="771421E4"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tcPr>
          <w:p w14:paraId="208DAC85" w14:textId="77777777" w:rsidR="00182FC3" w:rsidRDefault="00182FC3">
            <w:pPr>
              <w:pStyle w:val="08-Tabelageral"/>
              <w:jc w:val="left"/>
              <w:rPr>
                <w:rFonts w:cs="Arial"/>
                <w:bCs w:val="0"/>
                <w:szCs w:val="14"/>
                <w:lang w:eastAsia="en-US"/>
              </w:rPr>
            </w:pPr>
          </w:p>
        </w:tc>
        <w:tc>
          <w:tcPr>
            <w:tcW w:w="0" w:type="dxa"/>
            <w:tcBorders>
              <w:top w:val="nil"/>
              <w:left w:val="nil"/>
              <w:bottom w:val="single" w:sz="2" w:space="0" w:color="1F4E79" w:themeColor="accent1" w:themeShade="80"/>
              <w:right w:val="nil"/>
            </w:tcBorders>
            <w:shd w:val="clear" w:color="auto" w:fill="auto"/>
            <w:vAlign w:val="center"/>
            <w:hideMark/>
          </w:tcPr>
          <w:p w14:paraId="76203312" w14:textId="77777777" w:rsidR="00182FC3" w:rsidRDefault="00182FC3">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2021</w:t>
            </w:r>
          </w:p>
        </w:tc>
        <w:tc>
          <w:tcPr>
            <w:tcW w:w="0" w:type="dxa"/>
            <w:tcBorders>
              <w:top w:val="nil"/>
              <w:left w:val="nil"/>
              <w:bottom w:val="single" w:sz="2" w:space="0" w:color="1F4E79" w:themeColor="accent1" w:themeShade="80"/>
              <w:right w:val="nil"/>
            </w:tcBorders>
            <w:shd w:val="clear" w:color="auto" w:fill="auto"/>
            <w:vAlign w:val="center"/>
            <w:hideMark/>
          </w:tcPr>
          <w:p w14:paraId="4C5421B0" w14:textId="77777777" w:rsidR="00182FC3" w:rsidRDefault="00182FC3">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vertAlign w:val="superscript"/>
                <w:lang w:eastAsia="en-US"/>
              </w:rPr>
            </w:pPr>
            <w:r>
              <w:rPr>
                <w:rFonts w:cs="Arial"/>
                <w:b/>
                <w:lang w:eastAsia="en-US"/>
              </w:rPr>
              <w:t>2020</w:t>
            </w:r>
            <w:r>
              <w:rPr>
                <w:rFonts w:cs="Arial"/>
                <w:b/>
                <w:vertAlign w:val="superscript"/>
                <w:lang w:eastAsia="en-US"/>
              </w:rPr>
              <w:t>1</w:t>
            </w:r>
          </w:p>
        </w:tc>
        <w:tc>
          <w:tcPr>
            <w:tcW w:w="0" w:type="dxa"/>
            <w:tcBorders>
              <w:top w:val="nil"/>
              <w:left w:val="nil"/>
              <w:bottom w:val="single" w:sz="2" w:space="0" w:color="1F4E79" w:themeColor="accent1" w:themeShade="80"/>
              <w:right w:val="nil"/>
            </w:tcBorders>
            <w:shd w:val="clear" w:color="auto" w:fill="auto"/>
            <w:vAlign w:val="center"/>
            <w:hideMark/>
          </w:tcPr>
          <w:p w14:paraId="529D495C"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2019</w:t>
            </w:r>
          </w:p>
        </w:tc>
      </w:tr>
      <w:tr w:rsidR="00182FC3" w14:paraId="42788830" w14:textId="77777777" w:rsidTr="003E5CAD">
        <w:trPr>
          <w:trHeight w:hRule="exact" w:val="298"/>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hideMark/>
          </w:tcPr>
          <w:p w14:paraId="5A650F01" w14:textId="77777777" w:rsidR="00182FC3" w:rsidRDefault="00182FC3" w:rsidP="00196E37">
            <w:pPr>
              <w:pStyle w:val="08-Tabelageral"/>
              <w:jc w:val="left"/>
              <w:rPr>
                <w:rFonts w:cs="Arial"/>
                <w:snapToGrid w:val="0"/>
                <w:color w:val="000000"/>
                <w:lang w:eastAsia="en-US"/>
              </w:rPr>
            </w:pPr>
            <w:r>
              <w:rPr>
                <w:color w:val="000000"/>
                <w:lang w:eastAsia="en-US"/>
              </w:rPr>
              <w:t>Investimento em Pessoas</w:t>
            </w:r>
          </w:p>
        </w:tc>
        <w:tc>
          <w:tcPr>
            <w:tcW w:w="0" w:type="dxa"/>
            <w:tcBorders>
              <w:top w:val="single" w:sz="2" w:space="0" w:color="1F4E79" w:themeColor="accent1" w:themeShade="80"/>
              <w:left w:val="nil"/>
              <w:bottom w:val="nil"/>
              <w:right w:val="nil"/>
            </w:tcBorders>
            <w:shd w:val="clear" w:color="auto" w:fill="auto"/>
            <w:hideMark/>
          </w:tcPr>
          <w:p w14:paraId="71FD77D8" w14:textId="77777777" w:rsidR="00182FC3" w:rsidRPr="00196E37"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b/>
                <w:bCs/>
                <w:color w:val="000000"/>
                <w:lang w:eastAsia="en-US"/>
              </w:rPr>
            </w:pPr>
            <w:r w:rsidRPr="00196E37">
              <w:rPr>
                <w:b/>
                <w:bCs/>
              </w:rPr>
              <w:t xml:space="preserve"> 57.638 </w:t>
            </w:r>
          </w:p>
        </w:tc>
        <w:tc>
          <w:tcPr>
            <w:tcW w:w="0" w:type="dxa"/>
            <w:tcBorders>
              <w:top w:val="single" w:sz="2" w:space="0" w:color="1F4E79" w:themeColor="accent1" w:themeShade="80"/>
              <w:left w:val="nil"/>
              <w:bottom w:val="nil"/>
              <w:right w:val="nil"/>
            </w:tcBorders>
            <w:shd w:val="clear" w:color="auto" w:fill="auto"/>
            <w:hideMark/>
          </w:tcPr>
          <w:p w14:paraId="23EB9B8C" w14:textId="77777777" w:rsidR="00182FC3" w:rsidRPr="00196E37"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572944">
              <w:t xml:space="preserve"> </w:t>
            </w:r>
            <w:r w:rsidRPr="00196E37">
              <w:rPr>
                <w:b/>
                <w:bCs/>
              </w:rPr>
              <w:t xml:space="preserve">58.021 </w:t>
            </w:r>
          </w:p>
        </w:tc>
        <w:tc>
          <w:tcPr>
            <w:tcW w:w="0" w:type="dxa"/>
            <w:tcBorders>
              <w:top w:val="single" w:sz="2" w:space="0" w:color="1F4E79" w:themeColor="accent1" w:themeShade="80"/>
              <w:left w:val="nil"/>
              <w:bottom w:val="nil"/>
              <w:right w:val="nil"/>
            </w:tcBorders>
            <w:shd w:val="clear" w:color="auto" w:fill="auto"/>
            <w:hideMark/>
          </w:tcPr>
          <w:p w14:paraId="20BB09ED" w14:textId="77777777" w:rsidR="00182FC3" w:rsidRPr="00196E37"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572944">
              <w:t xml:space="preserve"> </w:t>
            </w:r>
            <w:r w:rsidRPr="00196E37">
              <w:rPr>
                <w:b/>
                <w:bCs/>
              </w:rPr>
              <w:t xml:space="preserve">53.827 </w:t>
            </w:r>
          </w:p>
        </w:tc>
      </w:tr>
      <w:tr w:rsidR="00182FC3" w14:paraId="3737BF98"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250D7108" w14:textId="77777777" w:rsidR="00182FC3" w:rsidRDefault="00182FC3" w:rsidP="00196E37">
            <w:pPr>
              <w:pStyle w:val="08-Tabelageral"/>
              <w:ind w:left="113"/>
              <w:jc w:val="left"/>
              <w:rPr>
                <w:rFonts w:cs="Arial"/>
                <w:b w:val="0"/>
                <w:snapToGrid w:val="0"/>
                <w:color w:val="000000"/>
                <w:lang w:eastAsia="en-US"/>
              </w:rPr>
            </w:pPr>
            <w:r>
              <w:rPr>
                <w:b w:val="0"/>
                <w:color w:val="000000"/>
                <w:lang w:eastAsia="en-US"/>
              </w:rPr>
              <w:t>Folha de pagamento²</w:t>
            </w:r>
          </w:p>
        </w:tc>
        <w:tc>
          <w:tcPr>
            <w:tcW w:w="0" w:type="dxa"/>
            <w:tcBorders>
              <w:top w:val="nil"/>
              <w:left w:val="nil"/>
              <w:bottom w:val="nil"/>
              <w:right w:val="nil"/>
            </w:tcBorders>
            <w:shd w:val="clear" w:color="auto" w:fill="auto"/>
            <w:hideMark/>
          </w:tcPr>
          <w:p w14:paraId="0FB60059"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color w:val="000000"/>
                <w:lang w:eastAsia="en-US"/>
              </w:rPr>
            </w:pPr>
            <w:r w:rsidRPr="00572944">
              <w:t xml:space="preserve"> 51.887 </w:t>
            </w:r>
          </w:p>
        </w:tc>
        <w:tc>
          <w:tcPr>
            <w:tcW w:w="0" w:type="dxa"/>
            <w:tcBorders>
              <w:top w:val="nil"/>
              <w:left w:val="nil"/>
              <w:bottom w:val="nil"/>
              <w:right w:val="nil"/>
            </w:tcBorders>
            <w:shd w:val="clear" w:color="auto" w:fill="auto"/>
            <w:hideMark/>
          </w:tcPr>
          <w:p w14:paraId="543811E6"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52.130 </w:t>
            </w:r>
          </w:p>
        </w:tc>
        <w:tc>
          <w:tcPr>
            <w:tcW w:w="0" w:type="dxa"/>
            <w:tcBorders>
              <w:top w:val="nil"/>
              <w:left w:val="nil"/>
              <w:bottom w:val="nil"/>
              <w:right w:val="nil"/>
            </w:tcBorders>
            <w:shd w:val="clear" w:color="auto" w:fill="auto"/>
            <w:hideMark/>
          </w:tcPr>
          <w:p w14:paraId="06138DE8"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48.959 </w:t>
            </w:r>
          </w:p>
        </w:tc>
      </w:tr>
      <w:tr w:rsidR="00182FC3" w14:paraId="34F339F9"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70BDFA8A" w14:textId="77777777" w:rsidR="00182FC3" w:rsidRDefault="00182FC3" w:rsidP="00196E37">
            <w:pPr>
              <w:pStyle w:val="08-Tabelageral"/>
              <w:ind w:left="113"/>
              <w:jc w:val="left"/>
              <w:rPr>
                <w:rFonts w:cs="Arial"/>
                <w:b w:val="0"/>
                <w:snapToGrid w:val="0"/>
                <w:color w:val="000000"/>
                <w:lang w:eastAsia="en-US"/>
              </w:rPr>
            </w:pPr>
            <w:r>
              <w:rPr>
                <w:b w:val="0"/>
                <w:color w:val="000000"/>
                <w:lang w:eastAsia="en-US"/>
              </w:rPr>
              <w:t>Previdência complementar</w:t>
            </w:r>
          </w:p>
        </w:tc>
        <w:tc>
          <w:tcPr>
            <w:tcW w:w="0" w:type="dxa"/>
            <w:tcBorders>
              <w:top w:val="nil"/>
              <w:left w:val="nil"/>
              <w:bottom w:val="nil"/>
              <w:right w:val="nil"/>
            </w:tcBorders>
            <w:shd w:val="clear" w:color="auto" w:fill="auto"/>
            <w:hideMark/>
          </w:tcPr>
          <w:p w14:paraId="4341758C"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color w:val="000000"/>
                <w:lang w:eastAsia="en-US"/>
              </w:rPr>
            </w:pPr>
            <w:r w:rsidRPr="00572944">
              <w:t xml:space="preserve"> 2.985 </w:t>
            </w:r>
          </w:p>
        </w:tc>
        <w:tc>
          <w:tcPr>
            <w:tcW w:w="0" w:type="dxa"/>
            <w:tcBorders>
              <w:top w:val="nil"/>
              <w:left w:val="nil"/>
              <w:bottom w:val="nil"/>
              <w:right w:val="nil"/>
            </w:tcBorders>
            <w:shd w:val="clear" w:color="auto" w:fill="auto"/>
            <w:hideMark/>
          </w:tcPr>
          <w:p w14:paraId="4147479D"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2.865 </w:t>
            </w:r>
          </w:p>
        </w:tc>
        <w:tc>
          <w:tcPr>
            <w:tcW w:w="0" w:type="dxa"/>
            <w:tcBorders>
              <w:top w:val="nil"/>
              <w:left w:val="nil"/>
              <w:bottom w:val="nil"/>
              <w:right w:val="nil"/>
            </w:tcBorders>
            <w:shd w:val="clear" w:color="auto" w:fill="auto"/>
            <w:hideMark/>
          </w:tcPr>
          <w:p w14:paraId="66931E03"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2.642 </w:t>
            </w:r>
          </w:p>
        </w:tc>
      </w:tr>
      <w:tr w:rsidR="00182FC3" w14:paraId="0B7FDE71"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vAlign w:val="center"/>
            <w:hideMark/>
          </w:tcPr>
          <w:p w14:paraId="7203D9F9" w14:textId="77777777" w:rsidR="00182FC3" w:rsidRDefault="00182FC3" w:rsidP="00196E37">
            <w:pPr>
              <w:pStyle w:val="08-Tabelageral"/>
              <w:ind w:left="113"/>
              <w:jc w:val="left"/>
              <w:rPr>
                <w:rFonts w:cs="Arial"/>
                <w:b w:val="0"/>
                <w:snapToGrid w:val="0"/>
                <w:color w:val="000000"/>
                <w:lang w:eastAsia="en-US"/>
              </w:rPr>
            </w:pPr>
            <w:r>
              <w:rPr>
                <w:b w:val="0"/>
                <w:color w:val="000000"/>
                <w:lang w:eastAsia="en-US"/>
              </w:rPr>
              <w:t>Plano de saúde</w:t>
            </w:r>
          </w:p>
        </w:tc>
        <w:tc>
          <w:tcPr>
            <w:tcW w:w="0" w:type="dxa"/>
            <w:tcBorders>
              <w:top w:val="nil"/>
              <w:left w:val="nil"/>
              <w:bottom w:val="nil"/>
              <w:right w:val="nil"/>
            </w:tcBorders>
            <w:shd w:val="clear" w:color="auto" w:fill="auto"/>
            <w:hideMark/>
          </w:tcPr>
          <w:p w14:paraId="18CE2177"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572944">
              <w:t xml:space="preserve"> 2.128 </w:t>
            </w:r>
          </w:p>
        </w:tc>
        <w:tc>
          <w:tcPr>
            <w:tcW w:w="0" w:type="dxa"/>
            <w:tcBorders>
              <w:top w:val="nil"/>
              <w:left w:val="nil"/>
              <w:bottom w:val="nil"/>
              <w:right w:val="nil"/>
            </w:tcBorders>
            <w:shd w:val="clear" w:color="auto" w:fill="auto"/>
            <w:hideMark/>
          </w:tcPr>
          <w:p w14:paraId="36E69D62"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2.192 </w:t>
            </w:r>
          </w:p>
        </w:tc>
        <w:tc>
          <w:tcPr>
            <w:tcW w:w="0" w:type="dxa"/>
            <w:tcBorders>
              <w:top w:val="nil"/>
              <w:left w:val="nil"/>
              <w:bottom w:val="nil"/>
              <w:right w:val="nil"/>
            </w:tcBorders>
            <w:shd w:val="clear" w:color="auto" w:fill="auto"/>
            <w:hideMark/>
          </w:tcPr>
          <w:p w14:paraId="4830998F" w14:textId="77777777" w:rsidR="00182FC3" w:rsidRDefault="00182FC3" w:rsidP="00196E37">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1.249 </w:t>
            </w:r>
          </w:p>
        </w:tc>
      </w:tr>
      <w:tr w:rsidR="00182FC3" w14:paraId="7CF573F3"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vAlign w:val="center"/>
            <w:hideMark/>
          </w:tcPr>
          <w:p w14:paraId="43854036" w14:textId="77777777" w:rsidR="00182FC3" w:rsidRDefault="00182FC3" w:rsidP="00196E37">
            <w:pPr>
              <w:pStyle w:val="08-Tabelageral"/>
              <w:ind w:left="113"/>
              <w:jc w:val="left"/>
              <w:rPr>
                <w:rFonts w:cs="Arial"/>
                <w:b w:val="0"/>
                <w:snapToGrid w:val="0"/>
                <w:color w:val="000000"/>
                <w:lang w:eastAsia="en-US"/>
              </w:rPr>
            </w:pPr>
            <w:r>
              <w:rPr>
                <w:b w:val="0"/>
                <w:color w:val="000000"/>
                <w:lang w:eastAsia="en-US"/>
              </w:rPr>
              <w:t>Capacitação (Bolsas e Treinamentos)</w:t>
            </w:r>
          </w:p>
        </w:tc>
        <w:tc>
          <w:tcPr>
            <w:tcW w:w="0" w:type="dxa"/>
            <w:tcBorders>
              <w:top w:val="nil"/>
              <w:left w:val="nil"/>
              <w:bottom w:val="single" w:sz="2" w:space="0" w:color="1F4E79" w:themeColor="accent1" w:themeShade="80"/>
              <w:right w:val="nil"/>
            </w:tcBorders>
            <w:shd w:val="clear" w:color="auto" w:fill="auto"/>
            <w:hideMark/>
          </w:tcPr>
          <w:p w14:paraId="69FD2311"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color w:val="000000"/>
                <w:lang w:eastAsia="en-US"/>
              </w:rPr>
            </w:pPr>
            <w:r w:rsidRPr="00572944">
              <w:t xml:space="preserve"> 638 </w:t>
            </w:r>
          </w:p>
        </w:tc>
        <w:tc>
          <w:tcPr>
            <w:tcW w:w="0" w:type="dxa"/>
            <w:tcBorders>
              <w:top w:val="nil"/>
              <w:left w:val="nil"/>
              <w:bottom w:val="single" w:sz="2" w:space="0" w:color="1F4E79" w:themeColor="accent1" w:themeShade="80"/>
              <w:right w:val="nil"/>
            </w:tcBorders>
            <w:shd w:val="clear" w:color="auto" w:fill="auto"/>
            <w:hideMark/>
          </w:tcPr>
          <w:p w14:paraId="2F374002"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834 </w:t>
            </w:r>
          </w:p>
        </w:tc>
        <w:tc>
          <w:tcPr>
            <w:tcW w:w="0" w:type="dxa"/>
            <w:tcBorders>
              <w:top w:val="nil"/>
              <w:left w:val="nil"/>
              <w:bottom w:val="single" w:sz="2" w:space="0" w:color="1F4E79" w:themeColor="accent1" w:themeShade="80"/>
              <w:right w:val="nil"/>
            </w:tcBorders>
            <w:shd w:val="clear" w:color="auto" w:fill="auto"/>
            <w:hideMark/>
          </w:tcPr>
          <w:p w14:paraId="759F57BA" w14:textId="77777777" w:rsidR="00182FC3" w:rsidRDefault="00182FC3" w:rsidP="00196E37">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978 </w:t>
            </w:r>
          </w:p>
        </w:tc>
      </w:tr>
    </w:tbl>
    <w:p w14:paraId="6F6E3B5E" w14:textId="77777777" w:rsidR="00182FC3" w:rsidRDefault="00182FC3" w:rsidP="00EF771D">
      <w:pPr>
        <w:pStyle w:val="07-Legenda"/>
        <w:tabs>
          <w:tab w:val="left" w:pos="142"/>
        </w:tabs>
        <w:rPr>
          <w:color w:val="000000"/>
        </w:rPr>
      </w:pPr>
      <w:r>
        <w:rPr>
          <w:color w:val="000000"/>
        </w:rPr>
        <w:t>(1)</w:t>
      </w:r>
      <w:r>
        <w:rPr>
          <w:color w:val="000000"/>
        </w:rPr>
        <w:tab/>
        <w:t xml:space="preserve">A partir de 2020, alguns dos valores referentes à previdência complementar e plano de saúde, antes consideradas na linha Folha de pagamento, passaram a ser reportadas separadamente. Adicionalmente, a linha Folha de pagamento passou a contemplar os valores relativos a auxílio alimentação e refeição. </w:t>
      </w:r>
    </w:p>
    <w:p w14:paraId="72E87C5B" w14:textId="77777777" w:rsidR="00182FC3" w:rsidRDefault="00182FC3" w:rsidP="00EF771D">
      <w:pPr>
        <w:pStyle w:val="07-Legenda"/>
        <w:rPr>
          <w:color w:val="000000"/>
        </w:rPr>
      </w:pPr>
      <w:r>
        <w:rPr>
          <w:color w:val="000000"/>
        </w:rPr>
        <w:t xml:space="preserve">(2) </w:t>
      </w:r>
      <w:r>
        <w:rPr>
          <w:color w:val="000000"/>
        </w:rPr>
        <w:tab/>
        <w:t>Despesas com proventos, benefícios e encargos sociais, excluído os valores referentes a Plano de Saúde e Previdência Complementar.</w:t>
      </w:r>
    </w:p>
    <w:p w14:paraId="5BF7AEF6" w14:textId="77777777" w:rsidR="00182FC3" w:rsidRDefault="00182FC3" w:rsidP="00EF771D">
      <w:pPr>
        <w:tabs>
          <w:tab w:val="left" w:pos="1175"/>
        </w:tabs>
        <w:spacing w:before="120" w:after="120"/>
        <w:jc w:val="both"/>
        <w:rPr>
          <w:rFonts w:cs="Arial"/>
          <w:color w:val="000000"/>
          <w:szCs w:val="18"/>
        </w:rPr>
      </w:pPr>
    </w:p>
    <w:p w14:paraId="47FFEF9B" w14:textId="77777777" w:rsidR="00182FC3" w:rsidRPr="00783390" w:rsidRDefault="00182FC3" w:rsidP="00597253">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Diversidade</w:t>
      </w:r>
    </w:p>
    <w:p w14:paraId="4097D7CA"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A partir de discussões que aconteceram no âmbito do Fórum ASG da BB Seguridade, foi proposta uma agenda sobre diversidade e igualdade de oportunidades para o Grupo BB Seguridade, observadas as particularidades de cada empresa do grupo e, ao mesmo tempo, gerar uma identidade sobre como o tema é tratado na Companhia. A agenda proposta e que será implementada ao longo dos próximos anos tem foco em ações relacionadas a quatro pilares da diversidade: (i) Gênero; (ii) Etnia/Raça; (iii) Pessoas com Deficiência (PcD); e (iv) LGBTQIA+.</w:t>
      </w:r>
    </w:p>
    <w:p w14:paraId="1C3E28FE"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Importante esclarecer que, na BB Seguridade, não há distinção de remuneração para aqueles que ocupam a mesma função, respeitando a equidade na definição da política salarial.</w:t>
      </w:r>
    </w:p>
    <w:p w14:paraId="17B74C20"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Já no campo da educação corporativa, a Companhia faz uso da plataforma da Universidade Corporativa do BB, onde encontram-se cursos que tratam do tema, como, por exemplo, o Liderança Feminina, que tem como principal objetivo disseminar a importância estratégica da promoção da equidade de gênero na empresa. Em 2021, houve um aumento de 15% para 17% no número de mulheres em funções de gestão em comparação com o ano anterior.</w:t>
      </w:r>
    </w:p>
    <w:p w14:paraId="6DF035C6"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 xml:space="preserve">Em relação à promoção de direitos iguais e tratamento justo para o público LGBTQIA+, citam-se as seguintes práticas: (i) possibilidade do uso do nome social no crachá, cartão de visitas, carimbos e e-mail para pessoa trans e travesti; (ii) uso de banheiro de acordo com a identidade de gênero do funcionário; (iii) simplificação dos procedimentos para inclusão de dependentes por união homoafetiva; e (iv) licença-maternidade para um dos cônjuges de pais de filhos gerados por útero de substituição. </w:t>
      </w:r>
    </w:p>
    <w:p w14:paraId="334BD814"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A inclusão da pessoa com deficiência na BB Seguridade também integra um conjunto de ações que visa promover a igualdade de direitos e de cidadania. Nesse sentido, há promoção da adequação dos ambientes físicos de trabalho e orientação de conduta para a recepção de funcionários com deficiência.</w:t>
      </w:r>
    </w:p>
    <w:p w14:paraId="7FAD4783" w14:textId="77777777" w:rsidR="00182FC3" w:rsidRDefault="00182FC3" w:rsidP="00EF771D">
      <w:pPr>
        <w:spacing w:before="120" w:after="120"/>
        <w:jc w:val="both"/>
        <w:rPr>
          <w:rFonts w:cs="Arial"/>
          <w:color w:val="000000"/>
          <w:szCs w:val="18"/>
        </w:rPr>
      </w:pPr>
      <w:r>
        <w:rPr>
          <w:rFonts w:cs="Arial"/>
          <w:color w:val="000000"/>
          <w:szCs w:val="18"/>
        </w:rPr>
        <w:t>Em linha com todas as ações mencionadas, a BB Seguridade, em suas políticas, práticas e cultura, preza pela manutenção da diversidade de pessoal. O quadro a seguir apresenta, de forma resumida, a composição dos colaboradores da BB Seguridade:</w:t>
      </w:r>
    </w:p>
    <w:p w14:paraId="359D5B09" w14:textId="77777777" w:rsidR="00182FC3" w:rsidRDefault="00182FC3">
      <w:pPr>
        <w:rPr>
          <w:rFonts w:cs="Arial"/>
          <w:color w:val="000000"/>
          <w:szCs w:val="18"/>
        </w:rPr>
      </w:pPr>
      <w:r>
        <w:rPr>
          <w:rFonts w:cs="Arial"/>
          <w:color w:val="000000"/>
          <w:szCs w:val="18"/>
        </w:rPr>
        <w:br w:type="page"/>
      </w:r>
    </w:p>
    <w:p w14:paraId="70BA3837" w14:textId="50C73893" w:rsidR="00182FC3" w:rsidRDefault="00182FC3" w:rsidP="00EF771D">
      <w:pPr>
        <w:pStyle w:val="01-TtulodeNota"/>
        <w:rPr>
          <w:b w:val="0"/>
          <w:sz w:val="14"/>
        </w:rPr>
      </w:pPr>
      <w:r>
        <w:rPr>
          <w:rFonts w:cs="Arial"/>
          <w:b w:val="0"/>
          <w:sz w:val="14"/>
          <w:szCs w:val="14"/>
        </w:rPr>
        <w:lastRenderedPageBreak/>
        <w:t xml:space="preserve">Tabela </w:t>
      </w:r>
      <w:r w:rsidR="00126F8B">
        <w:rPr>
          <w:rFonts w:cs="Arial"/>
          <w:b w:val="0"/>
          <w:noProof/>
          <w:sz w:val="14"/>
          <w:szCs w:val="14"/>
        </w:rPr>
        <w:t>6</w:t>
      </w:r>
      <w:r>
        <w:rPr>
          <w:b w:val="0"/>
          <w:sz w:val="14"/>
        </w:rPr>
        <w:t xml:space="preserve"> – </w:t>
      </w:r>
      <w:r>
        <w:rPr>
          <w:rFonts w:cs="Arial"/>
          <w:b w:val="0"/>
          <w:sz w:val="14"/>
        </w:rPr>
        <w:t>Capital Humano - Composição</w:t>
      </w:r>
    </w:p>
    <w:tbl>
      <w:tblPr>
        <w:tblStyle w:val="TabeladeLista6Colorida-nfase5"/>
        <w:tblW w:w="9639" w:type="dxa"/>
        <w:tblLook w:val="04A0" w:firstRow="1" w:lastRow="0" w:firstColumn="1" w:lastColumn="0" w:noHBand="0" w:noVBand="1"/>
      </w:tblPr>
      <w:tblGrid>
        <w:gridCol w:w="4191"/>
        <w:gridCol w:w="1781"/>
        <w:gridCol w:w="1781"/>
        <w:gridCol w:w="1886"/>
      </w:tblGrid>
      <w:tr w:rsidR="00182FC3" w14:paraId="2736CB20" w14:textId="77777777" w:rsidTr="003E5CAD">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vAlign w:val="center"/>
          </w:tcPr>
          <w:p w14:paraId="330B8EEA" w14:textId="77777777" w:rsidR="00182FC3" w:rsidRDefault="00182FC3">
            <w:pPr>
              <w:pStyle w:val="08-Tabelageral"/>
              <w:jc w:val="left"/>
              <w:rPr>
                <w:rFonts w:cs="Arial"/>
                <w:lang w:eastAsia="en-US"/>
              </w:rPr>
            </w:pPr>
          </w:p>
        </w:tc>
        <w:tc>
          <w:tcPr>
            <w:tcW w:w="0" w:type="dxa"/>
            <w:gridSpan w:val="3"/>
            <w:tcBorders>
              <w:top w:val="single" w:sz="2" w:space="0" w:color="1F4E79" w:themeColor="accent1" w:themeShade="80"/>
              <w:left w:val="nil"/>
              <w:bottom w:val="nil"/>
              <w:right w:val="nil"/>
            </w:tcBorders>
            <w:shd w:val="clear" w:color="auto" w:fill="auto"/>
            <w:vAlign w:val="center"/>
            <w:hideMark/>
          </w:tcPr>
          <w:p w14:paraId="5D768770" w14:textId="77777777" w:rsidR="00182FC3" w:rsidRDefault="00182FC3">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Informações Anuais</w:t>
            </w:r>
          </w:p>
        </w:tc>
      </w:tr>
      <w:tr w:rsidR="00182FC3" w14:paraId="40F4FB08"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tcPr>
          <w:p w14:paraId="7C1B52A1" w14:textId="77777777" w:rsidR="00182FC3" w:rsidRDefault="00182FC3">
            <w:pPr>
              <w:pStyle w:val="08-Tabelageral"/>
              <w:jc w:val="left"/>
              <w:rPr>
                <w:rFonts w:cs="Arial"/>
                <w:bCs w:val="0"/>
                <w:szCs w:val="14"/>
                <w:lang w:eastAsia="en-US"/>
              </w:rPr>
            </w:pPr>
          </w:p>
        </w:tc>
        <w:tc>
          <w:tcPr>
            <w:tcW w:w="0" w:type="dxa"/>
            <w:tcBorders>
              <w:top w:val="nil"/>
              <w:left w:val="nil"/>
              <w:bottom w:val="single" w:sz="2" w:space="0" w:color="1F4E79" w:themeColor="accent1" w:themeShade="80"/>
              <w:right w:val="nil"/>
            </w:tcBorders>
            <w:shd w:val="clear" w:color="auto" w:fill="auto"/>
            <w:vAlign w:val="center"/>
            <w:hideMark/>
          </w:tcPr>
          <w:p w14:paraId="3F3DD9AF" w14:textId="77777777" w:rsidR="00182FC3" w:rsidRDefault="00182FC3">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2021</w:t>
            </w:r>
          </w:p>
        </w:tc>
        <w:tc>
          <w:tcPr>
            <w:tcW w:w="0" w:type="dxa"/>
            <w:tcBorders>
              <w:top w:val="nil"/>
              <w:left w:val="nil"/>
              <w:bottom w:val="single" w:sz="2" w:space="0" w:color="1F4E79" w:themeColor="accent1" w:themeShade="80"/>
              <w:right w:val="nil"/>
            </w:tcBorders>
            <w:shd w:val="clear" w:color="auto" w:fill="auto"/>
            <w:vAlign w:val="center"/>
            <w:hideMark/>
          </w:tcPr>
          <w:p w14:paraId="42D4D754" w14:textId="77777777" w:rsidR="00182FC3" w:rsidRDefault="00182FC3">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2020</w:t>
            </w:r>
          </w:p>
        </w:tc>
        <w:tc>
          <w:tcPr>
            <w:tcW w:w="0" w:type="dxa"/>
            <w:tcBorders>
              <w:top w:val="nil"/>
              <w:left w:val="nil"/>
              <w:bottom w:val="single" w:sz="2" w:space="0" w:color="1F4E79" w:themeColor="accent1" w:themeShade="80"/>
              <w:right w:val="nil"/>
            </w:tcBorders>
            <w:shd w:val="clear" w:color="auto" w:fill="auto"/>
            <w:vAlign w:val="center"/>
            <w:hideMark/>
          </w:tcPr>
          <w:p w14:paraId="7A5599AA"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2019</w:t>
            </w:r>
          </w:p>
        </w:tc>
      </w:tr>
      <w:tr w:rsidR="00182FC3" w14:paraId="64CAC927" w14:textId="77777777" w:rsidTr="003E5CAD">
        <w:trPr>
          <w:trHeight w:hRule="exact" w:val="298"/>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auto"/>
            <w:hideMark/>
          </w:tcPr>
          <w:p w14:paraId="114F2785" w14:textId="77777777" w:rsidR="00182FC3" w:rsidRDefault="00182FC3">
            <w:pPr>
              <w:pStyle w:val="08-Tabelageral"/>
              <w:jc w:val="left"/>
              <w:rPr>
                <w:rFonts w:cs="Arial"/>
                <w:snapToGrid w:val="0"/>
                <w:color w:val="000000"/>
                <w:lang w:eastAsia="en-US"/>
              </w:rPr>
            </w:pPr>
            <w:r>
              <w:rPr>
                <w:color w:val="000000"/>
                <w:lang w:eastAsia="en-US"/>
              </w:rPr>
              <w:t>Quantidade de colaboradores</w:t>
            </w:r>
          </w:p>
        </w:tc>
        <w:tc>
          <w:tcPr>
            <w:tcW w:w="0" w:type="dxa"/>
            <w:tcBorders>
              <w:top w:val="single" w:sz="2" w:space="0" w:color="1F4E79" w:themeColor="accent1" w:themeShade="80"/>
              <w:left w:val="nil"/>
              <w:bottom w:val="nil"/>
              <w:right w:val="nil"/>
            </w:tcBorders>
            <w:shd w:val="clear" w:color="auto" w:fill="auto"/>
            <w:vAlign w:val="center"/>
          </w:tcPr>
          <w:p w14:paraId="24ABC2FB" w14:textId="77777777" w:rsidR="00182FC3" w:rsidRDefault="00182FC3">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6C63CA5B" w14:textId="77777777" w:rsidR="00182FC3" w:rsidRDefault="00182FC3">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p>
        </w:tc>
        <w:tc>
          <w:tcPr>
            <w:tcW w:w="0" w:type="dxa"/>
            <w:tcBorders>
              <w:top w:val="single" w:sz="2" w:space="0" w:color="1F4E79" w:themeColor="accent1" w:themeShade="80"/>
              <w:left w:val="nil"/>
              <w:bottom w:val="nil"/>
              <w:right w:val="nil"/>
            </w:tcBorders>
            <w:shd w:val="clear" w:color="auto" w:fill="auto"/>
            <w:vAlign w:val="center"/>
          </w:tcPr>
          <w:p w14:paraId="4B570795" w14:textId="77777777" w:rsidR="00182FC3" w:rsidRDefault="00182FC3">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szCs w:val="14"/>
                <w:lang w:eastAsia="en-US"/>
              </w:rPr>
            </w:pPr>
          </w:p>
        </w:tc>
      </w:tr>
      <w:tr w:rsidR="00182FC3" w14:paraId="53B7C664"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5293B7D5" w14:textId="77777777" w:rsidR="00182FC3" w:rsidRDefault="00182FC3">
            <w:pPr>
              <w:pStyle w:val="08-Tabelageral"/>
              <w:ind w:left="113"/>
              <w:jc w:val="left"/>
              <w:rPr>
                <w:rFonts w:cs="Arial"/>
                <w:b w:val="0"/>
                <w:snapToGrid w:val="0"/>
                <w:color w:val="000000"/>
                <w:lang w:eastAsia="en-US"/>
              </w:rPr>
            </w:pPr>
            <w:r>
              <w:rPr>
                <w:b w:val="0"/>
                <w:color w:val="000000"/>
                <w:lang w:eastAsia="en-US"/>
              </w:rPr>
              <w:t>Funcionários¹</w:t>
            </w:r>
          </w:p>
        </w:tc>
        <w:tc>
          <w:tcPr>
            <w:tcW w:w="0" w:type="dxa"/>
            <w:tcBorders>
              <w:top w:val="nil"/>
              <w:left w:val="nil"/>
              <w:bottom w:val="nil"/>
              <w:right w:val="nil"/>
            </w:tcBorders>
            <w:shd w:val="clear" w:color="auto" w:fill="auto"/>
            <w:vAlign w:val="center"/>
            <w:hideMark/>
          </w:tcPr>
          <w:p w14:paraId="080037FB"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154</w:t>
            </w:r>
          </w:p>
        </w:tc>
        <w:tc>
          <w:tcPr>
            <w:tcW w:w="0" w:type="dxa"/>
            <w:tcBorders>
              <w:top w:val="nil"/>
              <w:left w:val="nil"/>
              <w:bottom w:val="nil"/>
              <w:right w:val="nil"/>
            </w:tcBorders>
            <w:shd w:val="clear" w:color="auto" w:fill="auto"/>
            <w:vAlign w:val="center"/>
            <w:hideMark/>
          </w:tcPr>
          <w:p w14:paraId="0B70443F"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154</w:t>
            </w:r>
          </w:p>
        </w:tc>
        <w:tc>
          <w:tcPr>
            <w:tcW w:w="0" w:type="dxa"/>
            <w:tcBorders>
              <w:top w:val="nil"/>
              <w:left w:val="nil"/>
              <w:bottom w:val="nil"/>
              <w:right w:val="nil"/>
            </w:tcBorders>
            <w:shd w:val="clear" w:color="auto" w:fill="auto"/>
            <w:hideMark/>
          </w:tcPr>
          <w:p w14:paraId="6CF6D0DE"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161</w:t>
            </w:r>
          </w:p>
        </w:tc>
      </w:tr>
      <w:tr w:rsidR="00182FC3" w14:paraId="5D31589E"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C42B9FA" w14:textId="77777777" w:rsidR="00182FC3" w:rsidRDefault="00182FC3">
            <w:pPr>
              <w:pStyle w:val="08-Tabelageral"/>
              <w:ind w:left="113"/>
              <w:jc w:val="left"/>
              <w:rPr>
                <w:rFonts w:cs="Arial"/>
                <w:b w:val="0"/>
                <w:snapToGrid w:val="0"/>
                <w:color w:val="000000"/>
                <w:lang w:eastAsia="en-US"/>
              </w:rPr>
            </w:pPr>
            <w:r>
              <w:rPr>
                <w:b w:val="0"/>
                <w:color w:val="000000"/>
                <w:lang w:eastAsia="en-US"/>
              </w:rPr>
              <w:t>Contratados</w:t>
            </w:r>
          </w:p>
        </w:tc>
        <w:tc>
          <w:tcPr>
            <w:tcW w:w="0" w:type="dxa"/>
            <w:tcBorders>
              <w:top w:val="nil"/>
              <w:left w:val="nil"/>
              <w:bottom w:val="nil"/>
              <w:right w:val="nil"/>
            </w:tcBorders>
            <w:shd w:val="clear" w:color="auto" w:fill="auto"/>
            <w:vAlign w:val="center"/>
            <w:hideMark/>
          </w:tcPr>
          <w:p w14:paraId="36E588E2"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FF0000"/>
                <w:lang w:eastAsia="en-US"/>
              </w:rPr>
            </w:pPr>
            <w:r>
              <w:rPr>
                <w:lang w:eastAsia="en-US"/>
              </w:rPr>
              <w:t>21</w:t>
            </w:r>
          </w:p>
        </w:tc>
        <w:tc>
          <w:tcPr>
            <w:tcW w:w="0" w:type="dxa"/>
            <w:tcBorders>
              <w:top w:val="nil"/>
              <w:left w:val="nil"/>
              <w:bottom w:val="nil"/>
              <w:right w:val="nil"/>
            </w:tcBorders>
            <w:shd w:val="clear" w:color="auto" w:fill="auto"/>
            <w:vAlign w:val="center"/>
            <w:hideMark/>
          </w:tcPr>
          <w:p w14:paraId="1EC11082"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r>
              <w:rPr>
                <w:lang w:eastAsia="en-US"/>
              </w:rPr>
              <w:t>20</w:t>
            </w:r>
          </w:p>
        </w:tc>
        <w:tc>
          <w:tcPr>
            <w:tcW w:w="0" w:type="dxa"/>
            <w:tcBorders>
              <w:top w:val="nil"/>
              <w:left w:val="nil"/>
              <w:bottom w:val="nil"/>
              <w:right w:val="nil"/>
            </w:tcBorders>
            <w:shd w:val="clear" w:color="auto" w:fill="auto"/>
            <w:hideMark/>
          </w:tcPr>
          <w:p w14:paraId="6FA30CDC"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31</w:t>
            </w:r>
          </w:p>
        </w:tc>
      </w:tr>
      <w:tr w:rsidR="00182FC3" w14:paraId="2A26DC63"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921999D" w14:textId="77777777" w:rsidR="00182FC3" w:rsidRDefault="00182FC3">
            <w:pPr>
              <w:pStyle w:val="08-Tabelageral"/>
              <w:ind w:left="113"/>
              <w:jc w:val="left"/>
              <w:rPr>
                <w:rFonts w:cs="Arial"/>
                <w:b w:val="0"/>
                <w:snapToGrid w:val="0"/>
                <w:color w:val="000000"/>
                <w:lang w:eastAsia="en-US"/>
              </w:rPr>
            </w:pPr>
            <w:r>
              <w:rPr>
                <w:b w:val="0"/>
                <w:color w:val="000000"/>
                <w:lang w:eastAsia="en-US"/>
              </w:rPr>
              <w:t>Estagiários</w:t>
            </w:r>
          </w:p>
        </w:tc>
        <w:tc>
          <w:tcPr>
            <w:tcW w:w="0" w:type="dxa"/>
            <w:tcBorders>
              <w:top w:val="nil"/>
              <w:left w:val="nil"/>
              <w:bottom w:val="nil"/>
              <w:right w:val="nil"/>
            </w:tcBorders>
            <w:shd w:val="clear" w:color="auto" w:fill="auto"/>
            <w:vAlign w:val="center"/>
            <w:hideMark/>
          </w:tcPr>
          <w:p w14:paraId="290EEB50"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3</w:t>
            </w:r>
          </w:p>
        </w:tc>
        <w:tc>
          <w:tcPr>
            <w:tcW w:w="0" w:type="dxa"/>
            <w:tcBorders>
              <w:top w:val="nil"/>
              <w:left w:val="nil"/>
              <w:bottom w:val="nil"/>
              <w:right w:val="nil"/>
            </w:tcBorders>
            <w:shd w:val="clear" w:color="auto" w:fill="auto"/>
            <w:vAlign w:val="center"/>
            <w:hideMark/>
          </w:tcPr>
          <w:p w14:paraId="3C661648"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9</w:t>
            </w:r>
          </w:p>
        </w:tc>
        <w:tc>
          <w:tcPr>
            <w:tcW w:w="0" w:type="dxa"/>
            <w:tcBorders>
              <w:top w:val="nil"/>
              <w:left w:val="nil"/>
              <w:bottom w:val="nil"/>
              <w:right w:val="nil"/>
            </w:tcBorders>
            <w:shd w:val="clear" w:color="auto" w:fill="auto"/>
            <w:hideMark/>
          </w:tcPr>
          <w:p w14:paraId="3371A72B"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15</w:t>
            </w:r>
          </w:p>
        </w:tc>
      </w:tr>
      <w:tr w:rsidR="00182FC3" w14:paraId="0F9DD4CF"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FE18B8C" w14:textId="77777777" w:rsidR="00182FC3" w:rsidRDefault="00182FC3">
            <w:pPr>
              <w:pStyle w:val="08-Tabelageral"/>
              <w:ind w:left="113"/>
              <w:jc w:val="left"/>
              <w:rPr>
                <w:rFonts w:cs="Arial"/>
                <w:b w:val="0"/>
                <w:snapToGrid w:val="0"/>
                <w:color w:val="000000"/>
                <w:lang w:eastAsia="en-US"/>
              </w:rPr>
            </w:pPr>
            <w:r>
              <w:rPr>
                <w:b w:val="0"/>
                <w:color w:val="000000"/>
                <w:lang w:eastAsia="en-US"/>
              </w:rPr>
              <w:t>Conselheiros</w:t>
            </w:r>
          </w:p>
        </w:tc>
        <w:tc>
          <w:tcPr>
            <w:tcW w:w="0" w:type="dxa"/>
            <w:tcBorders>
              <w:top w:val="nil"/>
              <w:left w:val="nil"/>
              <w:bottom w:val="nil"/>
              <w:right w:val="nil"/>
            </w:tcBorders>
            <w:shd w:val="clear" w:color="auto" w:fill="auto"/>
            <w:vAlign w:val="center"/>
            <w:hideMark/>
          </w:tcPr>
          <w:p w14:paraId="7AB33B91"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FF0000"/>
                <w:lang w:eastAsia="en-US"/>
              </w:rPr>
            </w:pPr>
            <w:r>
              <w:rPr>
                <w:lang w:eastAsia="en-US"/>
              </w:rPr>
              <w:t>10</w:t>
            </w:r>
          </w:p>
        </w:tc>
        <w:tc>
          <w:tcPr>
            <w:tcW w:w="0" w:type="dxa"/>
            <w:tcBorders>
              <w:top w:val="nil"/>
              <w:left w:val="nil"/>
              <w:bottom w:val="nil"/>
              <w:right w:val="nil"/>
            </w:tcBorders>
            <w:shd w:val="clear" w:color="auto" w:fill="auto"/>
            <w:vAlign w:val="center"/>
            <w:hideMark/>
          </w:tcPr>
          <w:p w14:paraId="49013558"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10</w:t>
            </w:r>
          </w:p>
        </w:tc>
        <w:tc>
          <w:tcPr>
            <w:tcW w:w="0" w:type="dxa"/>
            <w:tcBorders>
              <w:top w:val="nil"/>
              <w:left w:val="nil"/>
              <w:bottom w:val="nil"/>
              <w:right w:val="nil"/>
            </w:tcBorders>
            <w:shd w:val="clear" w:color="auto" w:fill="auto"/>
            <w:hideMark/>
          </w:tcPr>
          <w:p w14:paraId="4E683A9F"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14</w:t>
            </w:r>
          </w:p>
        </w:tc>
      </w:tr>
      <w:tr w:rsidR="00182FC3" w14:paraId="08D644F9"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4F9C405" w14:textId="77777777" w:rsidR="00182FC3" w:rsidRDefault="00182FC3">
            <w:pPr>
              <w:pStyle w:val="08-Tabelageral"/>
              <w:jc w:val="left"/>
              <w:rPr>
                <w:rFonts w:cs="Arial"/>
                <w:snapToGrid w:val="0"/>
                <w:color w:val="000000"/>
                <w:vertAlign w:val="superscript"/>
                <w:lang w:eastAsia="en-US"/>
              </w:rPr>
            </w:pPr>
            <w:r>
              <w:rPr>
                <w:color w:val="000000"/>
                <w:lang w:eastAsia="en-US"/>
              </w:rPr>
              <w:t xml:space="preserve">TOTAL </w:t>
            </w:r>
          </w:p>
        </w:tc>
        <w:tc>
          <w:tcPr>
            <w:tcW w:w="0" w:type="dxa"/>
            <w:tcBorders>
              <w:top w:val="nil"/>
              <w:left w:val="nil"/>
              <w:bottom w:val="nil"/>
              <w:right w:val="nil"/>
            </w:tcBorders>
            <w:shd w:val="clear" w:color="auto" w:fill="auto"/>
            <w:vAlign w:val="center"/>
            <w:hideMark/>
          </w:tcPr>
          <w:p w14:paraId="6CE1BDD8"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r>
              <w:rPr>
                <w:b/>
                <w:color w:val="auto"/>
                <w:lang w:eastAsia="en-US"/>
              </w:rPr>
              <w:t>188</w:t>
            </w:r>
          </w:p>
        </w:tc>
        <w:tc>
          <w:tcPr>
            <w:tcW w:w="0" w:type="dxa"/>
            <w:tcBorders>
              <w:top w:val="nil"/>
              <w:left w:val="nil"/>
              <w:bottom w:val="nil"/>
              <w:right w:val="nil"/>
            </w:tcBorders>
            <w:shd w:val="clear" w:color="auto" w:fill="auto"/>
            <w:vAlign w:val="center"/>
            <w:hideMark/>
          </w:tcPr>
          <w:p w14:paraId="2B3CF2FE"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r>
              <w:rPr>
                <w:b/>
                <w:color w:val="auto"/>
                <w:lang w:eastAsia="en-US"/>
              </w:rPr>
              <w:t>193</w:t>
            </w:r>
          </w:p>
        </w:tc>
        <w:tc>
          <w:tcPr>
            <w:tcW w:w="0" w:type="dxa"/>
            <w:tcBorders>
              <w:top w:val="nil"/>
              <w:left w:val="nil"/>
              <w:bottom w:val="nil"/>
              <w:right w:val="nil"/>
            </w:tcBorders>
            <w:shd w:val="clear" w:color="auto" w:fill="auto"/>
            <w:hideMark/>
          </w:tcPr>
          <w:p w14:paraId="5C42C6EC" w14:textId="77777777" w:rsidR="00182FC3" w:rsidRPr="00436660"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bCs/>
                <w:lang w:eastAsia="en-US"/>
              </w:rPr>
            </w:pPr>
            <w:r w:rsidRPr="005D1989">
              <w:rPr>
                <w:b/>
                <w:bCs/>
                <w:lang w:eastAsia="en-US"/>
              </w:rPr>
              <w:t>221</w:t>
            </w:r>
          </w:p>
        </w:tc>
      </w:tr>
      <w:tr w:rsidR="00182FC3" w14:paraId="2B7E33E5"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1F20B3E4" w14:textId="77777777" w:rsidR="00182FC3" w:rsidRDefault="00182FC3">
            <w:pPr>
              <w:pStyle w:val="08-Tabelageral"/>
              <w:jc w:val="left"/>
              <w:rPr>
                <w:rFonts w:cs="Arial"/>
                <w:snapToGrid w:val="0"/>
                <w:color w:val="000000"/>
                <w:lang w:eastAsia="en-US"/>
              </w:rPr>
            </w:pPr>
            <w:r>
              <w:rPr>
                <w:color w:val="000000"/>
                <w:lang w:eastAsia="en-US"/>
              </w:rPr>
              <w:t>Sexo</w:t>
            </w:r>
          </w:p>
        </w:tc>
        <w:tc>
          <w:tcPr>
            <w:tcW w:w="0" w:type="dxa"/>
            <w:tcBorders>
              <w:top w:val="nil"/>
              <w:left w:val="nil"/>
              <w:bottom w:val="nil"/>
              <w:right w:val="nil"/>
            </w:tcBorders>
            <w:shd w:val="clear" w:color="auto" w:fill="auto"/>
            <w:vAlign w:val="center"/>
          </w:tcPr>
          <w:p w14:paraId="44A1E47B"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FF0000"/>
                <w:lang w:eastAsia="en-US"/>
              </w:rPr>
            </w:pPr>
          </w:p>
        </w:tc>
        <w:tc>
          <w:tcPr>
            <w:tcW w:w="0" w:type="dxa"/>
            <w:tcBorders>
              <w:top w:val="nil"/>
              <w:left w:val="nil"/>
              <w:bottom w:val="nil"/>
              <w:right w:val="nil"/>
            </w:tcBorders>
            <w:shd w:val="clear" w:color="auto" w:fill="auto"/>
            <w:vAlign w:val="center"/>
          </w:tcPr>
          <w:p w14:paraId="11C7146F"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p>
        </w:tc>
        <w:tc>
          <w:tcPr>
            <w:tcW w:w="0" w:type="dxa"/>
            <w:tcBorders>
              <w:top w:val="nil"/>
              <w:left w:val="nil"/>
              <w:bottom w:val="nil"/>
              <w:right w:val="nil"/>
            </w:tcBorders>
            <w:shd w:val="clear" w:color="auto" w:fill="auto"/>
          </w:tcPr>
          <w:p w14:paraId="1D67A052"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lang w:eastAsia="en-US"/>
              </w:rPr>
            </w:pPr>
          </w:p>
        </w:tc>
      </w:tr>
      <w:tr w:rsidR="00182FC3" w14:paraId="4F75EAB4" w14:textId="77777777" w:rsidTr="003E5CAD">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399A452" w14:textId="77777777" w:rsidR="00182FC3" w:rsidRDefault="00182FC3">
            <w:pPr>
              <w:pStyle w:val="08-Tabelageral"/>
              <w:ind w:left="113"/>
              <w:jc w:val="left"/>
              <w:rPr>
                <w:rFonts w:cs="Arial"/>
                <w:b w:val="0"/>
                <w:snapToGrid w:val="0"/>
                <w:color w:val="000000"/>
                <w:lang w:eastAsia="en-US"/>
              </w:rPr>
            </w:pPr>
            <w:r>
              <w:rPr>
                <w:b w:val="0"/>
                <w:color w:val="000000"/>
                <w:lang w:eastAsia="en-US"/>
              </w:rPr>
              <w:t>Feminino</w:t>
            </w:r>
          </w:p>
        </w:tc>
        <w:tc>
          <w:tcPr>
            <w:tcW w:w="0" w:type="dxa"/>
            <w:tcBorders>
              <w:top w:val="nil"/>
              <w:left w:val="nil"/>
              <w:bottom w:val="nil"/>
              <w:right w:val="nil"/>
            </w:tcBorders>
            <w:shd w:val="clear" w:color="auto" w:fill="auto"/>
            <w:vAlign w:val="center"/>
            <w:hideMark/>
          </w:tcPr>
          <w:p w14:paraId="5841A63E"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33%</w:t>
            </w:r>
          </w:p>
        </w:tc>
        <w:tc>
          <w:tcPr>
            <w:tcW w:w="0" w:type="dxa"/>
            <w:tcBorders>
              <w:top w:val="nil"/>
              <w:left w:val="nil"/>
              <w:bottom w:val="nil"/>
              <w:right w:val="nil"/>
            </w:tcBorders>
            <w:shd w:val="clear" w:color="auto" w:fill="auto"/>
            <w:vAlign w:val="center"/>
            <w:hideMark/>
          </w:tcPr>
          <w:p w14:paraId="69938B29"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34%</w:t>
            </w:r>
          </w:p>
        </w:tc>
        <w:tc>
          <w:tcPr>
            <w:tcW w:w="0" w:type="dxa"/>
            <w:tcBorders>
              <w:top w:val="nil"/>
              <w:left w:val="nil"/>
              <w:bottom w:val="nil"/>
              <w:right w:val="nil"/>
            </w:tcBorders>
            <w:shd w:val="clear" w:color="auto" w:fill="auto"/>
            <w:hideMark/>
          </w:tcPr>
          <w:p w14:paraId="5C4EA0A6"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34%</w:t>
            </w:r>
          </w:p>
        </w:tc>
      </w:tr>
      <w:tr w:rsidR="00182FC3" w14:paraId="00A4AB5E"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9B9D287" w14:textId="77777777" w:rsidR="00182FC3" w:rsidRDefault="00182FC3">
            <w:pPr>
              <w:pStyle w:val="08-Tabelageral"/>
              <w:ind w:left="113"/>
              <w:jc w:val="left"/>
              <w:rPr>
                <w:rFonts w:cs="Arial"/>
                <w:b w:val="0"/>
                <w:snapToGrid w:val="0"/>
                <w:color w:val="000000"/>
                <w:lang w:eastAsia="en-US"/>
              </w:rPr>
            </w:pPr>
            <w:r>
              <w:rPr>
                <w:b w:val="0"/>
                <w:color w:val="000000"/>
                <w:lang w:eastAsia="en-US"/>
              </w:rPr>
              <w:t>Masculino</w:t>
            </w:r>
          </w:p>
        </w:tc>
        <w:tc>
          <w:tcPr>
            <w:tcW w:w="0" w:type="dxa"/>
            <w:tcBorders>
              <w:top w:val="nil"/>
              <w:left w:val="nil"/>
              <w:bottom w:val="nil"/>
              <w:right w:val="nil"/>
            </w:tcBorders>
            <w:shd w:val="clear" w:color="auto" w:fill="auto"/>
            <w:vAlign w:val="center"/>
            <w:hideMark/>
          </w:tcPr>
          <w:p w14:paraId="68CE8EC2"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FF0000"/>
                <w:lang w:eastAsia="en-US"/>
              </w:rPr>
            </w:pPr>
            <w:r>
              <w:rPr>
                <w:lang w:eastAsia="en-US"/>
              </w:rPr>
              <w:t>67%</w:t>
            </w:r>
          </w:p>
        </w:tc>
        <w:tc>
          <w:tcPr>
            <w:tcW w:w="0" w:type="dxa"/>
            <w:tcBorders>
              <w:top w:val="nil"/>
              <w:left w:val="nil"/>
              <w:bottom w:val="nil"/>
              <w:right w:val="nil"/>
            </w:tcBorders>
            <w:shd w:val="clear" w:color="auto" w:fill="auto"/>
            <w:vAlign w:val="center"/>
            <w:hideMark/>
          </w:tcPr>
          <w:p w14:paraId="5747A348"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66%</w:t>
            </w:r>
          </w:p>
        </w:tc>
        <w:tc>
          <w:tcPr>
            <w:tcW w:w="0" w:type="dxa"/>
            <w:tcBorders>
              <w:top w:val="nil"/>
              <w:left w:val="nil"/>
              <w:bottom w:val="nil"/>
              <w:right w:val="nil"/>
            </w:tcBorders>
            <w:shd w:val="clear" w:color="auto" w:fill="auto"/>
            <w:hideMark/>
          </w:tcPr>
          <w:p w14:paraId="724FF631"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66%</w:t>
            </w:r>
          </w:p>
        </w:tc>
      </w:tr>
      <w:tr w:rsidR="00182FC3" w14:paraId="272C33DC"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84EE879" w14:textId="77777777" w:rsidR="00182FC3" w:rsidRDefault="00182FC3">
            <w:pPr>
              <w:pStyle w:val="08-Tabelageral"/>
              <w:jc w:val="left"/>
              <w:rPr>
                <w:rFonts w:cs="Arial"/>
                <w:snapToGrid w:val="0"/>
                <w:color w:val="000000"/>
                <w:lang w:eastAsia="en-US"/>
              </w:rPr>
            </w:pPr>
            <w:r>
              <w:rPr>
                <w:color w:val="000000"/>
                <w:lang w:eastAsia="en-US"/>
              </w:rPr>
              <w:t>Grau de instrução dos colaboradores</w:t>
            </w:r>
          </w:p>
        </w:tc>
        <w:tc>
          <w:tcPr>
            <w:tcW w:w="0" w:type="dxa"/>
            <w:tcBorders>
              <w:top w:val="nil"/>
              <w:left w:val="nil"/>
              <w:bottom w:val="nil"/>
              <w:right w:val="nil"/>
            </w:tcBorders>
            <w:shd w:val="clear" w:color="auto" w:fill="auto"/>
            <w:vAlign w:val="center"/>
          </w:tcPr>
          <w:p w14:paraId="1639540F"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p>
        </w:tc>
        <w:tc>
          <w:tcPr>
            <w:tcW w:w="0" w:type="dxa"/>
            <w:tcBorders>
              <w:top w:val="nil"/>
              <w:left w:val="nil"/>
              <w:bottom w:val="nil"/>
              <w:right w:val="nil"/>
            </w:tcBorders>
            <w:shd w:val="clear" w:color="auto" w:fill="auto"/>
            <w:vAlign w:val="center"/>
          </w:tcPr>
          <w:p w14:paraId="305A8A2F"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p>
        </w:tc>
        <w:tc>
          <w:tcPr>
            <w:tcW w:w="0" w:type="dxa"/>
            <w:tcBorders>
              <w:top w:val="nil"/>
              <w:left w:val="nil"/>
              <w:bottom w:val="nil"/>
              <w:right w:val="nil"/>
            </w:tcBorders>
            <w:shd w:val="clear" w:color="auto" w:fill="auto"/>
          </w:tcPr>
          <w:p w14:paraId="1C73F289"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p>
        </w:tc>
      </w:tr>
      <w:tr w:rsidR="00182FC3" w14:paraId="024BAB17"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65CE3A57" w14:textId="77777777" w:rsidR="00182FC3" w:rsidRDefault="00182FC3">
            <w:pPr>
              <w:pStyle w:val="08-Tabelageral"/>
              <w:ind w:left="113"/>
              <w:jc w:val="left"/>
              <w:rPr>
                <w:rFonts w:cs="Arial"/>
                <w:b w:val="0"/>
                <w:snapToGrid w:val="0"/>
                <w:color w:val="000000"/>
                <w:lang w:eastAsia="en-US"/>
              </w:rPr>
            </w:pPr>
            <w:r>
              <w:rPr>
                <w:b w:val="0"/>
                <w:color w:val="000000"/>
                <w:lang w:eastAsia="en-US"/>
              </w:rPr>
              <w:t>Pós-graduação</w:t>
            </w:r>
          </w:p>
        </w:tc>
        <w:tc>
          <w:tcPr>
            <w:tcW w:w="0" w:type="dxa"/>
            <w:tcBorders>
              <w:top w:val="nil"/>
              <w:left w:val="nil"/>
              <w:bottom w:val="nil"/>
              <w:right w:val="nil"/>
            </w:tcBorders>
            <w:shd w:val="clear" w:color="auto" w:fill="auto"/>
            <w:vAlign w:val="center"/>
            <w:hideMark/>
          </w:tcPr>
          <w:p w14:paraId="33A0F705"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FF0000"/>
                <w:lang w:eastAsia="en-US"/>
              </w:rPr>
            </w:pPr>
            <w:r>
              <w:rPr>
                <w:lang w:eastAsia="en-US"/>
              </w:rPr>
              <w:t>82%</w:t>
            </w:r>
          </w:p>
        </w:tc>
        <w:tc>
          <w:tcPr>
            <w:tcW w:w="0" w:type="dxa"/>
            <w:tcBorders>
              <w:top w:val="nil"/>
              <w:left w:val="nil"/>
              <w:bottom w:val="nil"/>
              <w:right w:val="nil"/>
            </w:tcBorders>
            <w:shd w:val="clear" w:color="auto" w:fill="auto"/>
            <w:vAlign w:val="center"/>
            <w:hideMark/>
          </w:tcPr>
          <w:p w14:paraId="4131455F"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80%</w:t>
            </w:r>
          </w:p>
        </w:tc>
        <w:tc>
          <w:tcPr>
            <w:tcW w:w="0" w:type="dxa"/>
            <w:tcBorders>
              <w:top w:val="nil"/>
              <w:left w:val="nil"/>
              <w:bottom w:val="nil"/>
              <w:right w:val="nil"/>
            </w:tcBorders>
            <w:shd w:val="clear" w:color="auto" w:fill="auto"/>
            <w:hideMark/>
          </w:tcPr>
          <w:p w14:paraId="1A3F1D17"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67%</w:t>
            </w:r>
          </w:p>
        </w:tc>
      </w:tr>
      <w:tr w:rsidR="00182FC3" w14:paraId="160F274F" w14:textId="77777777" w:rsidTr="003E5CAD">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2BEF3985" w14:textId="77777777" w:rsidR="00182FC3" w:rsidRDefault="00182FC3">
            <w:pPr>
              <w:pStyle w:val="08-Tabelageral"/>
              <w:ind w:left="113"/>
              <w:jc w:val="left"/>
              <w:rPr>
                <w:rFonts w:cs="Arial"/>
                <w:b w:val="0"/>
                <w:snapToGrid w:val="0"/>
                <w:color w:val="000000"/>
                <w:lang w:eastAsia="en-US"/>
              </w:rPr>
            </w:pPr>
            <w:r>
              <w:rPr>
                <w:b w:val="0"/>
                <w:color w:val="000000"/>
                <w:lang w:eastAsia="en-US"/>
              </w:rPr>
              <w:t>Graduação</w:t>
            </w:r>
          </w:p>
        </w:tc>
        <w:tc>
          <w:tcPr>
            <w:tcW w:w="0" w:type="dxa"/>
            <w:tcBorders>
              <w:top w:val="nil"/>
              <w:left w:val="nil"/>
              <w:bottom w:val="nil"/>
              <w:right w:val="nil"/>
            </w:tcBorders>
            <w:shd w:val="clear" w:color="auto" w:fill="auto"/>
            <w:vAlign w:val="center"/>
            <w:hideMark/>
          </w:tcPr>
          <w:p w14:paraId="137E6496"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15%</w:t>
            </w:r>
          </w:p>
        </w:tc>
        <w:tc>
          <w:tcPr>
            <w:tcW w:w="0" w:type="dxa"/>
            <w:tcBorders>
              <w:top w:val="nil"/>
              <w:left w:val="nil"/>
              <w:bottom w:val="nil"/>
              <w:right w:val="nil"/>
            </w:tcBorders>
            <w:shd w:val="clear" w:color="auto" w:fill="auto"/>
            <w:vAlign w:val="center"/>
            <w:hideMark/>
          </w:tcPr>
          <w:p w14:paraId="72E57A9F"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13%</w:t>
            </w:r>
          </w:p>
        </w:tc>
        <w:tc>
          <w:tcPr>
            <w:tcW w:w="0" w:type="dxa"/>
            <w:tcBorders>
              <w:top w:val="nil"/>
              <w:left w:val="nil"/>
              <w:bottom w:val="nil"/>
              <w:right w:val="nil"/>
            </w:tcBorders>
            <w:shd w:val="clear" w:color="auto" w:fill="auto"/>
            <w:hideMark/>
          </w:tcPr>
          <w:p w14:paraId="689E2570"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29%</w:t>
            </w:r>
          </w:p>
        </w:tc>
      </w:tr>
      <w:tr w:rsidR="00182FC3" w14:paraId="11DF2C4A" w14:textId="77777777" w:rsidTr="003E5CAD">
        <w:trPr>
          <w:trHeight w:hRule="exact" w:val="284"/>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5E63D192" w14:textId="77777777" w:rsidR="00182FC3" w:rsidRDefault="00182FC3">
            <w:pPr>
              <w:pStyle w:val="08-Tabelageral"/>
              <w:ind w:left="113"/>
              <w:jc w:val="left"/>
              <w:rPr>
                <w:rFonts w:cs="Arial"/>
                <w:b w:val="0"/>
                <w:snapToGrid w:val="0"/>
                <w:color w:val="000000"/>
                <w:vertAlign w:val="superscript"/>
                <w:lang w:eastAsia="en-US"/>
              </w:rPr>
            </w:pPr>
            <w:r>
              <w:rPr>
                <w:b w:val="0"/>
                <w:color w:val="000000"/>
                <w:lang w:eastAsia="en-US"/>
              </w:rPr>
              <w:t>Ensino médio</w:t>
            </w:r>
          </w:p>
        </w:tc>
        <w:tc>
          <w:tcPr>
            <w:tcW w:w="0" w:type="dxa"/>
            <w:tcBorders>
              <w:top w:val="nil"/>
              <w:left w:val="nil"/>
              <w:bottom w:val="nil"/>
              <w:right w:val="nil"/>
            </w:tcBorders>
            <w:shd w:val="clear" w:color="auto" w:fill="auto"/>
            <w:vAlign w:val="center"/>
            <w:hideMark/>
          </w:tcPr>
          <w:p w14:paraId="366BC002"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FF0000"/>
                <w:lang w:eastAsia="en-US"/>
              </w:rPr>
            </w:pPr>
            <w:r>
              <w:rPr>
                <w:lang w:eastAsia="en-US"/>
              </w:rPr>
              <w:t>2%</w:t>
            </w:r>
          </w:p>
        </w:tc>
        <w:tc>
          <w:tcPr>
            <w:tcW w:w="0" w:type="dxa"/>
            <w:tcBorders>
              <w:top w:val="nil"/>
              <w:left w:val="nil"/>
              <w:bottom w:val="nil"/>
              <w:right w:val="nil"/>
            </w:tcBorders>
            <w:shd w:val="clear" w:color="auto" w:fill="auto"/>
            <w:vAlign w:val="center"/>
            <w:hideMark/>
          </w:tcPr>
          <w:p w14:paraId="5EB1CAC4"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5%</w:t>
            </w:r>
          </w:p>
        </w:tc>
        <w:tc>
          <w:tcPr>
            <w:tcW w:w="0" w:type="dxa"/>
            <w:tcBorders>
              <w:top w:val="nil"/>
              <w:left w:val="nil"/>
              <w:bottom w:val="nil"/>
              <w:right w:val="nil"/>
            </w:tcBorders>
            <w:shd w:val="clear" w:color="auto" w:fill="auto"/>
            <w:hideMark/>
          </w:tcPr>
          <w:p w14:paraId="65BCAA53"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182FC3" w14:paraId="3E773BD4"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39B2C935" w14:textId="77777777" w:rsidR="00182FC3" w:rsidRDefault="00182FC3">
            <w:pPr>
              <w:pStyle w:val="08-Tabelageral"/>
              <w:ind w:left="113"/>
              <w:jc w:val="left"/>
              <w:rPr>
                <w:rFonts w:cs="Arial"/>
                <w:b w:val="0"/>
                <w:snapToGrid w:val="0"/>
                <w:color w:val="000000"/>
                <w:lang w:eastAsia="en-US"/>
              </w:rPr>
            </w:pPr>
            <w:r>
              <w:rPr>
                <w:b w:val="0"/>
                <w:color w:val="000000"/>
                <w:lang w:eastAsia="en-US"/>
              </w:rPr>
              <w:t>Outros</w:t>
            </w:r>
          </w:p>
        </w:tc>
        <w:tc>
          <w:tcPr>
            <w:tcW w:w="0" w:type="dxa"/>
            <w:tcBorders>
              <w:top w:val="nil"/>
              <w:left w:val="nil"/>
              <w:bottom w:val="nil"/>
              <w:right w:val="nil"/>
            </w:tcBorders>
            <w:shd w:val="clear" w:color="auto" w:fill="auto"/>
            <w:vAlign w:val="center"/>
            <w:hideMark/>
          </w:tcPr>
          <w:p w14:paraId="1ADDC42F"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r>
              <w:rPr>
                <w:color w:val="auto"/>
                <w:lang w:eastAsia="en-US"/>
              </w:rPr>
              <w:t>1%</w:t>
            </w:r>
          </w:p>
        </w:tc>
        <w:tc>
          <w:tcPr>
            <w:tcW w:w="0" w:type="dxa"/>
            <w:tcBorders>
              <w:top w:val="nil"/>
              <w:left w:val="nil"/>
              <w:bottom w:val="nil"/>
              <w:right w:val="nil"/>
            </w:tcBorders>
            <w:shd w:val="clear" w:color="auto" w:fill="auto"/>
            <w:vAlign w:val="center"/>
            <w:hideMark/>
          </w:tcPr>
          <w:p w14:paraId="48BBEEF4"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r>
              <w:rPr>
                <w:color w:val="auto"/>
                <w:lang w:eastAsia="en-US"/>
              </w:rPr>
              <w:t>2%</w:t>
            </w:r>
          </w:p>
        </w:tc>
        <w:tc>
          <w:tcPr>
            <w:tcW w:w="0" w:type="dxa"/>
            <w:tcBorders>
              <w:top w:val="nil"/>
              <w:left w:val="nil"/>
              <w:bottom w:val="nil"/>
              <w:right w:val="nil"/>
            </w:tcBorders>
            <w:shd w:val="clear" w:color="auto" w:fill="auto"/>
            <w:hideMark/>
          </w:tcPr>
          <w:p w14:paraId="6CCAE31A"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0%</w:t>
            </w:r>
          </w:p>
        </w:tc>
      </w:tr>
      <w:tr w:rsidR="00182FC3" w14:paraId="20650109"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7F3F16B1" w14:textId="77777777" w:rsidR="00182FC3" w:rsidRDefault="00182FC3">
            <w:pPr>
              <w:pStyle w:val="08-Tabelageral"/>
              <w:jc w:val="left"/>
              <w:rPr>
                <w:rFonts w:cs="Arial"/>
                <w:snapToGrid w:val="0"/>
                <w:color w:val="000000"/>
                <w:lang w:eastAsia="en-US"/>
              </w:rPr>
            </w:pPr>
            <w:r>
              <w:rPr>
                <w:color w:val="000000"/>
                <w:lang w:eastAsia="en-US"/>
              </w:rPr>
              <w:t>Faixa de Idade</w:t>
            </w:r>
          </w:p>
        </w:tc>
        <w:tc>
          <w:tcPr>
            <w:tcW w:w="0" w:type="dxa"/>
            <w:tcBorders>
              <w:top w:val="nil"/>
              <w:left w:val="nil"/>
              <w:bottom w:val="nil"/>
              <w:right w:val="nil"/>
            </w:tcBorders>
            <w:shd w:val="clear" w:color="auto" w:fill="auto"/>
            <w:vAlign w:val="center"/>
          </w:tcPr>
          <w:p w14:paraId="32568CF9"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FF0000"/>
                <w:lang w:eastAsia="en-US"/>
              </w:rPr>
            </w:pPr>
          </w:p>
        </w:tc>
        <w:tc>
          <w:tcPr>
            <w:tcW w:w="0" w:type="dxa"/>
            <w:tcBorders>
              <w:top w:val="nil"/>
              <w:left w:val="nil"/>
              <w:bottom w:val="nil"/>
              <w:right w:val="nil"/>
            </w:tcBorders>
            <w:shd w:val="clear" w:color="auto" w:fill="auto"/>
            <w:vAlign w:val="center"/>
          </w:tcPr>
          <w:p w14:paraId="3D6AEBEC"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p>
        </w:tc>
        <w:tc>
          <w:tcPr>
            <w:tcW w:w="0" w:type="dxa"/>
            <w:tcBorders>
              <w:top w:val="nil"/>
              <w:left w:val="nil"/>
              <w:bottom w:val="nil"/>
              <w:right w:val="nil"/>
            </w:tcBorders>
            <w:shd w:val="clear" w:color="auto" w:fill="auto"/>
          </w:tcPr>
          <w:p w14:paraId="49E990CE"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lang w:eastAsia="en-US"/>
              </w:rPr>
            </w:pPr>
          </w:p>
        </w:tc>
      </w:tr>
      <w:tr w:rsidR="00182FC3" w14:paraId="071B60B6"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5DE573B6" w14:textId="77777777" w:rsidR="00182FC3" w:rsidRDefault="00182FC3">
            <w:pPr>
              <w:pStyle w:val="08-Tabelageral"/>
              <w:ind w:left="113"/>
              <w:jc w:val="left"/>
              <w:rPr>
                <w:rFonts w:cs="Arial"/>
                <w:b w:val="0"/>
                <w:snapToGrid w:val="0"/>
                <w:color w:val="000000"/>
                <w:vertAlign w:val="superscript"/>
                <w:lang w:eastAsia="en-US"/>
              </w:rPr>
            </w:pPr>
            <w:r>
              <w:rPr>
                <w:b w:val="0"/>
                <w:color w:val="000000"/>
                <w:lang w:eastAsia="en-US"/>
              </w:rPr>
              <w:t>Abaixo de 30 anos</w:t>
            </w:r>
          </w:p>
        </w:tc>
        <w:tc>
          <w:tcPr>
            <w:tcW w:w="0" w:type="dxa"/>
            <w:tcBorders>
              <w:top w:val="nil"/>
              <w:left w:val="nil"/>
              <w:bottom w:val="nil"/>
              <w:right w:val="nil"/>
            </w:tcBorders>
            <w:shd w:val="clear" w:color="auto" w:fill="auto"/>
            <w:vAlign w:val="center"/>
            <w:hideMark/>
          </w:tcPr>
          <w:p w14:paraId="4694E4DC"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4%</w:t>
            </w:r>
          </w:p>
        </w:tc>
        <w:tc>
          <w:tcPr>
            <w:tcW w:w="0" w:type="dxa"/>
            <w:tcBorders>
              <w:top w:val="nil"/>
              <w:left w:val="nil"/>
              <w:bottom w:val="nil"/>
              <w:right w:val="nil"/>
            </w:tcBorders>
            <w:shd w:val="clear" w:color="auto" w:fill="auto"/>
            <w:vAlign w:val="center"/>
            <w:hideMark/>
          </w:tcPr>
          <w:p w14:paraId="591C9A4C"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4%</w:t>
            </w:r>
          </w:p>
        </w:tc>
        <w:tc>
          <w:tcPr>
            <w:tcW w:w="0" w:type="dxa"/>
            <w:tcBorders>
              <w:top w:val="nil"/>
              <w:left w:val="nil"/>
              <w:bottom w:val="nil"/>
              <w:right w:val="nil"/>
            </w:tcBorders>
            <w:shd w:val="clear" w:color="auto" w:fill="auto"/>
            <w:hideMark/>
          </w:tcPr>
          <w:p w14:paraId="39582F4D"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17%</w:t>
            </w:r>
          </w:p>
        </w:tc>
      </w:tr>
      <w:tr w:rsidR="00182FC3" w14:paraId="40929A2B" w14:textId="77777777" w:rsidTr="003E5CAD">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4059E163" w14:textId="77777777" w:rsidR="00182FC3" w:rsidRDefault="00182FC3">
            <w:pPr>
              <w:pStyle w:val="08-Tabelageral"/>
              <w:ind w:left="113"/>
              <w:jc w:val="left"/>
              <w:rPr>
                <w:rFonts w:cs="Arial"/>
                <w:b w:val="0"/>
                <w:snapToGrid w:val="0"/>
                <w:color w:val="000000"/>
                <w:lang w:eastAsia="en-US"/>
              </w:rPr>
            </w:pPr>
            <w:r>
              <w:rPr>
                <w:b w:val="0"/>
                <w:color w:val="000000"/>
                <w:lang w:eastAsia="en-US"/>
              </w:rPr>
              <w:t>Entre 30 e 50 anos</w:t>
            </w:r>
          </w:p>
        </w:tc>
        <w:tc>
          <w:tcPr>
            <w:tcW w:w="0" w:type="dxa"/>
            <w:tcBorders>
              <w:top w:val="nil"/>
              <w:left w:val="nil"/>
              <w:bottom w:val="nil"/>
              <w:right w:val="nil"/>
            </w:tcBorders>
            <w:shd w:val="clear" w:color="auto" w:fill="auto"/>
            <w:vAlign w:val="center"/>
            <w:hideMark/>
          </w:tcPr>
          <w:p w14:paraId="53286071"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FF0000"/>
                <w:lang w:eastAsia="en-US"/>
              </w:rPr>
            </w:pPr>
            <w:r>
              <w:rPr>
                <w:lang w:eastAsia="en-US"/>
              </w:rPr>
              <w:t>76%</w:t>
            </w:r>
          </w:p>
        </w:tc>
        <w:tc>
          <w:tcPr>
            <w:tcW w:w="0" w:type="dxa"/>
            <w:tcBorders>
              <w:top w:val="nil"/>
              <w:left w:val="nil"/>
              <w:bottom w:val="nil"/>
              <w:right w:val="nil"/>
            </w:tcBorders>
            <w:shd w:val="clear" w:color="auto" w:fill="auto"/>
            <w:vAlign w:val="center"/>
            <w:hideMark/>
          </w:tcPr>
          <w:p w14:paraId="4F08A1D9"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r>
              <w:rPr>
                <w:lang w:eastAsia="en-US"/>
              </w:rPr>
              <w:t>75%</w:t>
            </w:r>
          </w:p>
        </w:tc>
        <w:tc>
          <w:tcPr>
            <w:tcW w:w="0" w:type="dxa"/>
            <w:tcBorders>
              <w:top w:val="nil"/>
              <w:left w:val="nil"/>
              <w:bottom w:val="nil"/>
              <w:right w:val="nil"/>
            </w:tcBorders>
            <w:shd w:val="clear" w:color="auto" w:fill="auto"/>
            <w:hideMark/>
          </w:tcPr>
          <w:p w14:paraId="1935D0A9" w14:textId="77777777" w:rsidR="00182FC3"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75%</w:t>
            </w:r>
          </w:p>
        </w:tc>
      </w:tr>
      <w:tr w:rsidR="00182FC3" w14:paraId="6802E569" w14:textId="77777777" w:rsidTr="003E5CAD">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hideMark/>
          </w:tcPr>
          <w:p w14:paraId="533134FE" w14:textId="77777777" w:rsidR="00182FC3" w:rsidRDefault="00182FC3">
            <w:pPr>
              <w:pStyle w:val="08-Tabelageral"/>
              <w:ind w:left="113"/>
              <w:jc w:val="left"/>
              <w:rPr>
                <w:rFonts w:cs="Arial"/>
                <w:b w:val="0"/>
                <w:snapToGrid w:val="0"/>
                <w:color w:val="000000"/>
                <w:lang w:eastAsia="en-US"/>
              </w:rPr>
            </w:pPr>
            <w:r>
              <w:rPr>
                <w:b w:val="0"/>
                <w:color w:val="000000"/>
                <w:lang w:eastAsia="en-US"/>
              </w:rPr>
              <w:t>Acima de 50 anos</w:t>
            </w:r>
          </w:p>
        </w:tc>
        <w:tc>
          <w:tcPr>
            <w:tcW w:w="0" w:type="dxa"/>
            <w:tcBorders>
              <w:top w:val="nil"/>
              <w:left w:val="nil"/>
              <w:bottom w:val="single" w:sz="2" w:space="0" w:color="1F4E79" w:themeColor="accent1" w:themeShade="80"/>
              <w:right w:val="nil"/>
            </w:tcBorders>
            <w:shd w:val="clear" w:color="auto" w:fill="auto"/>
            <w:vAlign w:val="center"/>
            <w:hideMark/>
          </w:tcPr>
          <w:p w14:paraId="21CAD828"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20%</w:t>
            </w:r>
          </w:p>
        </w:tc>
        <w:tc>
          <w:tcPr>
            <w:tcW w:w="0" w:type="dxa"/>
            <w:tcBorders>
              <w:top w:val="nil"/>
              <w:left w:val="nil"/>
              <w:bottom w:val="single" w:sz="2" w:space="0" w:color="1F4E79" w:themeColor="accent1" w:themeShade="80"/>
              <w:right w:val="nil"/>
            </w:tcBorders>
            <w:shd w:val="clear" w:color="auto" w:fill="auto"/>
            <w:vAlign w:val="center"/>
            <w:hideMark/>
          </w:tcPr>
          <w:p w14:paraId="7DD32EE0"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21%</w:t>
            </w:r>
          </w:p>
        </w:tc>
        <w:tc>
          <w:tcPr>
            <w:tcW w:w="0" w:type="dxa"/>
            <w:tcBorders>
              <w:top w:val="nil"/>
              <w:left w:val="nil"/>
              <w:bottom w:val="single" w:sz="2" w:space="0" w:color="1F4E79" w:themeColor="accent1" w:themeShade="80"/>
              <w:right w:val="nil"/>
            </w:tcBorders>
            <w:shd w:val="clear" w:color="auto" w:fill="auto"/>
            <w:hideMark/>
          </w:tcPr>
          <w:p w14:paraId="29BA37FE" w14:textId="77777777" w:rsidR="00182FC3"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8%</w:t>
            </w:r>
          </w:p>
        </w:tc>
      </w:tr>
    </w:tbl>
    <w:p w14:paraId="5227DAB0" w14:textId="77777777" w:rsidR="00182FC3" w:rsidRDefault="00182FC3" w:rsidP="00182FC3">
      <w:pPr>
        <w:pStyle w:val="07-Legenda"/>
        <w:numPr>
          <w:ilvl w:val="0"/>
          <w:numId w:val="41"/>
        </w:numPr>
        <w:ind w:left="0" w:firstLine="0"/>
        <w:rPr>
          <w:color w:val="000000"/>
        </w:rPr>
      </w:pPr>
      <w:r>
        <w:rPr>
          <w:color w:val="000000"/>
        </w:rPr>
        <w:t>Celetistas e Estatutários</w:t>
      </w:r>
    </w:p>
    <w:p w14:paraId="5DFD8134" w14:textId="77777777" w:rsidR="00182FC3" w:rsidRDefault="00182FC3" w:rsidP="00182FC3">
      <w:pPr>
        <w:pStyle w:val="07-Legenda"/>
        <w:numPr>
          <w:ilvl w:val="0"/>
          <w:numId w:val="41"/>
        </w:numPr>
        <w:ind w:left="0" w:firstLine="0"/>
        <w:rPr>
          <w:color w:val="000000"/>
        </w:rPr>
      </w:pPr>
      <w:r>
        <w:rPr>
          <w:color w:val="000000"/>
        </w:rPr>
        <w:t>Os percentuais referentes à sexo, grau de instrução e faixa de idade, foram calculados com base no número total de colaboradores (funcionários, contratados, estagiários e conselheiros).</w:t>
      </w:r>
    </w:p>
    <w:p w14:paraId="61529DFA" w14:textId="77777777" w:rsidR="00182FC3" w:rsidRDefault="00182FC3" w:rsidP="00EF771D">
      <w:pPr>
        <w:spacing w:line="254" w:lineRule="auto"/>
        <w:rPr>
          <w:rFonts w:cs="Arial"/>
          <w:color w:val="000000"/>
          <w:szCs w:val="18"/>
        </w:rPr>
      </w:pPr>
    </w:p>
    <w:p w14:paraId="398363DA" w14:textId="77777777" w:rsidR="00182FC3" w:rsidRPr="00783390" w:rsidRDefault="00182FC3" w:rsidP="004830F0">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Recrutamento e Seleção</w:t>
      </w:r>
    </w:p>
    <w:p w14:paraId="009A687B" w14:textId="77777777" w:rsidR="00182FC3" w:rsidRDefault="00182FC3" w:rsidP="00EF771D">
      <w:pPr>
        <w:tabs>
          <w:tab w:val="left" w:pos="1175"/>
        </w:tabs>
        <w:spacing w:before="120" w:after="120"/>
        <w:jc w:val="both"/>
        <w:rPr>
          <w:rFonts w:cs="Arial"/>
          <w:color w:val="000000"/>
          <w:szCs w:val="18"/>
        </w:rPr>
      </w:pPr>
      <w:r>
        <w:rPr>
          <w:rFonts w:cs="Arial"/>
          <w:color w:val="000000"/>
          <w:szCs w:val="18"/>
        </w:rPr>
        <w:t>Durante o ano de 2021, ingressaram na Companhia 11 (onze) funcionários advindos do Banco do Brasil. Internamente, houve 12 (doze) ascensões de funcionários. Todas estas movimentações ocorreram de acordo com as prerrogativas estabelecidas no Normativo Interno de Atração e Seleção.</w:t>
      </w:r>
    </w:p>
    <w:p w14:paraId="3EA6F8B2" w14:textId="77777777" w:rsidR="00182FC3" w:rsidRDefault="00182FC3" w:rsidP="00EF771D">
      <w:pPr>
        <w:spacing w:before="120" w:after="120"/>
        <w:jc w:val="both"/>
        <w:rPr>
          <w:rFonts w:cs="Arial"/>
          <w:iCs/>
          <w:color w:val="000000"/>
          <w:szCs w:val="18"/>
        </w:rPr>
      </w:pPr>
    </w:p>
    <w:p w14:paraId="269F9F7B" w14:textId="77777777" w:rsidR="00182FC3" w:rsidRPr="00783390" w:rsidRDefault="00182FC3" w:rsidP="004830F0">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Clima Organizacional</w:t>
      </w:r>
    </w:p>
    <w:p w14:paraId="54B5F651" w14:textId="77777777" w:rsidR="00182FC3" w:rsidRDefault="00182FC3" w:rsidP="00EF771D">
      <w:pPr>
        <w:spacing w:before="120" w:after="120"/>
        <w:jc w:val="both"/>
        <w:rPr>
          <w:rFonts w:cs="Arial"/>
          <w:color w:val="000000"/>
          <w:szCs w:val="18"/>
        </w:rPr>
      </w:pPr>
      <w:r>
        <w:rPr>
          <w:rFonts w:cs="Arial"/>
          <w:color w:val="000000"/>
          <w:szCs w:val="18"/>
        </w:rPr>
        <w:t>A BB Seguridade tem realizado, ao menos uma vez ao ano, pesquisas de clima e satisfação, a fim de diagnosticar os pontos a serem aprimorados e endereçá-los por meio de ações relacionadas às práticas de gestão de pessoas.</w:t>
      </w:r>
    </w:p>
    <w:p w14:paraId="63B769F3" w14:textId="77777777" w:rsidR="00182FC3" w:rsidRDefault="00182FC3" w:rsidP="00EF771D">
      <w:pPr>
        <w:spacing w:before="120" w:after="120"/>
        <w:jc w:val="both"/>
        <w:rPr>
          <w:rFonts w:cs="Arial"/>
          <w:color w:val="000000"/>
          <w:szCs w:val="18"/>
        </w:rPr>
      </w:pPr>
      <w:r>
        <w:rPr>
          <w:rFonts w:cs="Arial"/>
          <w:color w:val="000000"/>
          <w:szCs w:val="18"/>
        </w:rPr>
        <w:t>Em 2021, trimestralmente, foi disponibilizado o Pulso de Clima, o qual é composto pela pergunta do e-NPS (</w:t>
      </w:r>
      <w:r>
        <w:rPr>
          <w:rFonts w:cs="Arial"/>
          <w:i/>
          <w:color w:val="000000"/>
          <w:szCs w:val="18"/>
        </w:rPr>
        <w:t>Employee Net Promoter Score</w:t>
      </w:r>
      <w:r>
        <w:rPr>
          <w:rFonts w:cs="Arial"/>
          <w:color w:val="000000"/>
          <w:szCs w:val="18"/>
        </w:rPr>
        <w:t>) e por uma pergunta adicional relacionada a temas variados, que tem como principal objetivo identificar, no curto prazo, os possíveis fatores de eventual satisfação e/ou insatisfação dos funcionários.</w:t>
      </w:r>
    </w:p>
    <w:p w14:paraId="0E687808" w14:textId="77777777" w:rsidR="00182FC3" w:rsidRDefault="00182FC3" w:rsidP="00EF771D">
      <w:pPr>
        <w:spacing w:before="120" w:after="120"/>
        <w:jc w:val="both"/>
        <w:rPr>
          <w:rFonts w:cs="Arial"/>
          <w:color w:val="000000"/>
          <w:szCs w:val="18"/>
        </w:rPr>
      </w:pPr>
      <w:r>
        <w:rPr>
          <w:rFonts w:cs="Arial"/>
          <w:color w:val="000000"/>
          <w:szCs w:val="18"/>
        </w:rPr>
        <w:t>Com base no levantamento da percepção dos funcionários por meio desses instrumentos, a Companhia vem realizando ações para elevar o engajamento dos colaboradores e o clima organizacional da Companhia.</w:t>
      </w:r>
    </w:p>
    <w:p w14:paraId="58D17BD5" w14:textId="77777777" w:rsidR="00182FC3" w:rsidRDefault="00182FC3" w:rsidP="00EF771D">
      <w:pPr>
        <w:spacing w:before="120" w:after="120"/>
        <w:jc w:val="both"/>
      </w:pPr>
      <w:r>
        <w:rPr>
          <w:rFonts w:cs="Arial"/>
          <w:color w:val="000000"/>
          <w:szCs w:val="18"/>
        </w:rPr>
        <w:t>Em 2021, a rotatividade da empresa, considerando os colaboradores que retornam ao Banco do Brasil ou são cedidos a uma de nossas coligadas, foi de 6,58%, o que representa um decréscimo de 1,4 p.p. em relação a 2020.</w:t>
      </w:r>
    </w:p>
    <w:p w14:paraId="77888BAB" w14:textId="77777777" w:rsidR="00182FC3" w:rsidRDefault="00182FC3" w:rsidP="00C81A16">
      <w:pPr>
        <w:pStyle w:val="01-Textonormal"/>
      </w:pPr>
    </w:p>
    <w:p w14:paraId="4C631189" w14:textId="77777777" w:rsidR="00182FC3" w:rsidRDefault="00182FC3" w:rsidP="00F97A88">
      <w:pPr>
        <w:pStyle w:val="03-SubttulodeNota"/>
        <w:keepNext/>
        <w:keepLines/>
        <w:pageBreakBefore/>
        <w:spacing w:line="276" w:lineRule="auto"/>
        <w:rPr>
          <w:color w:val="1F4E79" w:themeColor="accent1" w:themeShade="80"/>
        </w:rPr>
      </w:pPr>
      <w:r>
        <w:rPr>
          <w:color w:val="1F4E79" w:themeColor="accent1" w:themeShade="80"/>
        </w:rPr>
        <w:lastRenderedPageBreak/>
        <w:t>Responsabilidade Social e Ambiental</w:t>
      </w:r>
    </w:p>
    <w:p w14:paraId="0FA49CB3" w14:textId="77777777" w:rsidR="00182FC3" w:rsidRPr="00CB4344" w:rsidRDefault="00182FC3" w:rsidP="00C81A16">
      <w:pPr>
        <w:spacing w:before="120" w:after="120"/>
        <w:jc w:val="both"/>
        <w:rPr>
          <w:rFonts w:eastAsia="Times New Roman" w:cs="Arial"/>
          <w:spacing w:val="-2"/>
          <w:szCs w:val="18"/>
          <w:lang w:eastAsia="pt-BR"/>
        </w:rPr>
      </w:pPr>
      <w:r>
        <w:rPr>
          <w:rFonts w:eastAsia="Times New Roman" w:cs="Arial"/>
          <w:spacing w:val="-2"/>
          <w:szCs w:val="18"/>
          <w:lang w:eastAsia="pt-BR"/>
        </w:rPr>
        <w:t>Abaixo as principais práticas de sustentabilidade adotadas pelas empresas investidas da BB Seguridade em 2021.</w:t>
      </w:r>
    </w:p>
    <w:p w14:paraId="391C3008" w14:textId="77777777" w:rsidR="00182FC3" w:rsidRPr="00783390" w:rsidRDefault="00182FC3" w:rsidP="000838E1">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Brasilseg</w:t>
      </w:r>
    </w:p>
    <w:p w14:paraId="096B74CE" w14:textId="77777777" w:rsidR="00182FC3" w:rsidRDefault="00182FC3" w:rsidP="00182FC3">
      <w:pPr>
        <w:pStyle w:val="05-Textonormal"/>
        <w:numPr>
          <w:ilvl w:val="0"/>
          <w:numId w:val="37"/>
        </w:numPr>
        <w:rPr>
          <w:rFonts w:cs="Arial"/>
          <w:b/>
        </w:rPr>
      </w:pPr>
      <w:r>
        <w:rPr>
          <w:rFonts w:cs="Arial"/>
          <w:b/>
        </w:rPr>
        <w:t xml:space="preserve">ISO 14001:2015: </w:t>
      </w:r>
      <w:r>
        <w:rPr>
          <w:rFonts w:cs="Arial"/>
          <w:bCs/>
        </w:rPr>
        <w:t>a Brasilseg é certificada na ISO 14001:2015, o que atesta o padrão internacional do Sistema de Gestão Ambiental (SGA) da empresa. Este sistema é baseado na análise dos aspectos e impactos ambientais significativos, diretos e indiretos, associados aos processos da sede da empresa. Cuidar do meio ambiente é uma prática diária na companhia, que determina metas e desafios em sua gestão sustentável, com impacto em toda a cadeia de valor.</w:t>
      </w:r>
    </w:p>
    <w:p w14:paraId="7A6CCAC4" w14:textId="77777777" w:rsidR="00182FC3" w:rsidRDefault="00182FC3" w:rsidP="00182FC3">
      <w:pPr>
        <w:pStyle w:val="05-Textonormal"/>
        <w:numPr>
          <w:ilvl w:val="0"/>
          <w:numId w:val="37"/>
        </w:numPr>
        <w:rPr>
          <w:rFonts w:cs="Arial"/>
          <w:bCs/>
        </w:rPr>
      </w:pPr>
      <w:r>
        <w:rPr>
          <w:rFonts w:cs="Arial"/>
          <w:b/>
          <w:bCs/>
        </w:rPr>
        <w:t>Pacto Global Rede Brasil:</w:t>
      </w:r>
      <w:r w:rsidRPr="005D1989">
        <w:rPr>
          <w:rFonts w:cs="Arial"/>
        </w:rPr>
        <w:t xml:space="preserve">  a</w:t>
      </w:r>
      <w:r>
        <w:rPr>
          <w:rFonts w:cs="Arial"/>
          <w:bCs/>
        </w:rPr>
        <w:t xml:space="preserve"> Brasilseg tornou-se, em 2019, signatária do Pacto Global visando contribuir para a construção de um mercado global mais inclusivo e igualitário. </w:t>
      </w:r>
    </w:p>
    <w:p w14:paraId="3AABA96E" w14:textId="77777777" w:rsidR="00182FC3" w:rsidRDefault="00182FC3" w:rsidP="00182FC3">
      <w:pPr>
        <w:pStyle w:val="05-Textonormal"/>
        <w:numPr>
          <w:ilvl w:val="0"/>
          <w:numId w:val="37"/>
        </w:numPr>
        <w:rPr>
          <w:rFonts w:cs="Arial"/>
          <w:bCs/>
        </w:rPr>
      </w:pPr>
      <w:r>
        <w:rPr>
          <w:rFonts w:cs="Arial"/>
          <w:b/>
          <w:bCs/>
        </w:rPr>
        <w:t xml:space="preserve">Programa Brasileiro GHG Protocol: </w:t>
      </w:r>
      <w:r>
        <w:rPr>
          <w:rFonts w:cs="Arial"/>
        </w:rPr>
        <w:t>a companhia</w:t>
      </w:r>
      <w:r>
        <w:rPr>
          <w:rFonts w:cs="Arial"/>
          <w:bCs/>
        </w:rPr>
        <w:t xml:space="preserve"> mensura as emissões de gases do efeito estufa da sede administrativa e de Franca por meio da Ferramenta de Gestão de Carbono </w:t>
      </w:r>
      <w:r w:rsidRPr="005D1989">
        <w:rPr>
          <w:rFonts w:cs="Arial"/>
          <w:bCs/>
          <w:i/>
          <w:iCs/>
        </w:rPr>
        <w:t>GHG Protocol</w:t>
      </w:r>
      <w:r>
        <w:rPr>
          <w:rFonts w:cs="Arial"/>
          <w:bCs/>
        </w:rPr>
        <w:t xml:space="preserve"> para compensar as emissões. O processo abrange todos os colaboradores e no cálculo de emissões considera o consumo de energia, resíduos gerados, deslocamento dos colaboradores até a empresa e deslocamento de viagens a negócio. Em 2021, foram compensadas </w:t>
      </w:r>
      <w:r w:rsidRPr="009F6EC6">
        <w:rPr>
          <w:rFonts w:cs="Arial"/>
          <w:bCs/>
        </w:rPr>
        <w:t>531 to</w:t>
      </w:r>
      <w:r>
        <w:rPr>
          <w:rFonts w:cs="Arial"/>
          <w:bCs/>
        </w:rPr>
        <w:t>neladas de CO2 equivalente por meio do cancelamento voluntário de créditos de carbono no âmbito do Mecanismo de Desenvolvimento Limpo (MDL).</w:t>
      </w:r>
    </w:p>
    <w:p w14:paraId="668FADE9" w14:textId="77777777" w:rsidR="00182FC3" w:rsidRDefault="00182FC3" w:rsidP="00182FC3">
      <w:pPr>
        <w:pStyle w:val="PargrafodaLista"/>
        <w:numPr>
          <w:ilvl w:val="0"/>
          <w:numId w:val="37"/>
        </w:numPr>
        <w:spacing w:before="120" w:after="120"/>
        <w:jc w:val="both"/>
        <w:rPr>
          <w:rFonts w:ascii="Arial" w:eastAsia="Times New Roman" w:hAnsi="Arial" w:cs="Arial"/>
          <w:bCs/>
          <w:spacing w:val="-2"/>
          <w:sz w:val="18"/>
          <w:szCs w:val="18"/>
          <w:lang w:eastAsia="pt-BR"/>
        </w:rPr>
      </w:pPr>
      <w:r>
        <w:rPr>
          <w:rFonts w:ascii="Arial" w:eastAsia="Times New Roman" w:hAnsi="Arial" w:cs="Arial"/>
          <w:b/>
          <w:bCs/>
          <w:spacing w:val="-2"/>
          <w:sz w:val="18"/>
          <w:szCs w:val="18"/>
          <w:lang w:eastAsia="pt-BR"/>
        </w:rPr>
        <w:t xml:space="preserve">Objetivos de Desenvolvimento Sustentável – ODS: </w:t>
      </w:r>
      <w:r>
        <w:rPr>
          <w:rFonts w:ascii="Arial" w:eastAsia="Times New Roman" w:hAnsi="Arial" w:cs="Arial"/>
          <w:bCs/>
          <w:spacing w:val="-2"/>
          <w:sz w:val="18"/>
          <w:szCs w:val="18"/>
          <w:lang w:eastAsia="pt-BR"/>
        </w:rPr>
        <w:t xml:space="preserve">a Brasilseg atua de maneira alinhada aos ODS por meio de um conjunto de compromissos, programas e metas em áreas como diversidade, inclusão, relacionamento com clientes e conformidade. Adicionalmente, promove o engajamento dos funcionários com a causa por meio de ações educacionais no âmbito da própria empresa. </w:t>
      </w:r>
    </w:p>
    <w:p w14:paraId="310FB264" w14:textId="77777777" w:rsidR="00182FC3" w:rsidRDefault="00182FC3" w:rsidP="00182FC3">
      <w:pPr>
        <w:pStyle w:val="05-Textonormal"/>
        <w:numPr>
          <w:ilvl w:val="0"/>
          <w:numId w:val="37"/>
        </w:numPr>
        <w:rPr>
          <w:rFonts w:cs="Arial"/>
          <w:bCs/>
        </w:rPr>
      </w:pPr>
      <w:r>
        <w:rPr>
          <w:rFonts w:cs="Arial"/>
          <w:b/>
        </w:rPr>
        <w:t xml:space="preserve">Princípios para Sustentabilidade em Seguros (PSI): </w:t>
      </w:r>
      <w:r>
        <w:rPr>
          <w:rFonts w:cs="Arial"/>
          <w:bCs/>
        </w:rPr>
        <w:t>desde 2019, a companhia se tornou formalmente signatária do PSI e vem desenvolvendo ações, projetos e investimentos para atendê-los.</w:t>
      </w:r>
    </w:p>
    <w:p w14:paraId="423B6BA3" w14:textId="77777777" w:rsidR="00182FC3" w:rsidRDefault="00182FC3" w:rsidP="00182FC3">
      <w:pPr>
        <w:pStyle w:val="05-Textonormal"/>
        <w:numPr>
          <w:ilvl w:val="0"/>
          <w:numId w:val="37"/>
        </w:numPr>
        <w:rPr>
          <w:rFonts w:cs="Arial"/>
          <w:bCs/>
        </w:rPr>
      </w:pPr>
      <w:r>
        <w:rPr>
          <w:rFonts w:cs="Arial"/>
          <w:b/>
        </w:rPr>
        <w:t>Projetos Incentivados</w:t>
      </w:r>
      <w:r>
        <w:rPr>
          <w:rFonts w:cs="Arial"/>
          <w:bCs/>
        </w:rPr>
        <w:t xml:space="preserve">: </w:t>
      </w:r>
      <w:r>
        <w:t xml:space="preserve">em 2021, foram </w:t>
      </w:r>
      <w:r w:rsidRPr="009F6EC6">
        <w:t>realizados 20</w:t>
      </w:r>
      <w:r>
        <w:t xml:space="preserve"> projetos socioculturais por meio da Lei de Incentivo à Cultura, da Lei de Incentivo ao Esporte, do Fundo para a Infância e Adolescência e do Fundo do </w:t>
      </w:r>
      <w:r w:rsidRPr="00180E1E">
        <w:t>Idoso, com</w:t>
      </w:r>
      <w:r>
        <w:t xml:space="preserve"> mais de </w:t>
      </w:r>
      <w:r w:rsidRPr="009F6EC6">
        <w:t>64.857</w:t>
      </w:r>
      <w:r>
        <w:t xml:space="preserve"> mil pessoas atendidas.</w:t>
      </w:r>
    </w:p>
    <w:p w14:paraId="7C9D26BA" w14:textId="28E1A5FD" w:rsidR="00182FC3" w:rsidRPr="009F6EC6" w:rsidRDefault="00182FC3" w:rsidP="00C81A16">
      <w:pPr>
        <w:pStyle w:val="05-Textonormal"/>
        <w:rPr>
          <w:rFonts w:cs="Arial"/>
          <w:bCs/>
          <w:color w:val="FF0000"/>
        </w:rPr>
      </w:pPr>
      <w:r w:rsidRPr="009F6EC6">
        <w:rPr>
          <w:rFonts w:cs="Arial"/>
          <w:bCs/>
        </w:rPr>
        <w:t xml:space="preserve">Comprometida com os princípios da prestação de contas e maior transparência em relação às práticas Ambientais, Sociais e de Governança, a Brasilseg passou a publicar, a partir de 2019, seu Relatório de Sustentabilidade seguindo as diretrizes da Global Reporting Iniciative (GRI), disponibilizado no site da companhia </w:t>
      </w:r>
      <w:r w:rsidRPr="00571767">
        <w:rPr>
          <w:rFonts w:cs="Arial"/>
          <w:bCs/>
        </w:rPr>
        <w:t>https://www.bbseguros.com.br/seguradora/seguros/quem-somos/sustentabilidade</w:t>
      </w:r>
      <w:r w:rsidRPr="009F6EC6">
        <w:t>.</w:t>
      </w:r>
    </w:p>
    <w:p w14:paraId="33E39798" w14:textId="77777777" w:rsidR="00182FC3" w:rsidRPr="00985AC5" w:rsidRDefault="00182FC3" w:rsidP="00C81A16">
      <w:pPr>
        <w:spacing w:line="256" w:lineRule="auto"/>
        <w:rPr>
          <w:rFonts w:eastAsia="Times New Roman" w:cs="Arial"/>
          <w:bCs/>
          <w:spacing w:val="-2"/>
          <w:szCs w:val="18"/>
          <w:highlight w:val="yellow"/>
          <w:lang w:eastAsia="pt-BR"/>
        </w:rPr>
      </w:pPr>
    </w:p>
    <w:p w14:paraId="3D3B7CF5" w14:textId="77777777" w:rsidR="00182FC3" w:rsidRPr="00783390" w:rsidRDefault="00182FC3" w:rsidP="000838E1">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Brasilprev</w:t>
      </w:r>
    </w:p>
    <w:p w14:paraId="2E359B92" w14:textId="77777777" w:rsidR="00182FC3" w:rsidRPr="00D12410" w:rsidRDefault="00182FC3" w:rsidP="00182FC3">
      <w:pPr>
        <w:pStyle w:val="05-Textonormal"/>
        <w:numPr>
          <w:ilvl w:val="0"/>
          <w:numId w:val="37"/>
        </w:numPr>
        <w:ind w:left="714" w:hanging="357"/>
        <w:rPr>
          <w:rFonts w:cs="Arial"/>
        </w:rPr>
      </w:pPr>
      <w:r w:rsidRPr="00D12410">
        <w:rPr>
          <w:rFonts w:cs="Arial"/>
          <w:b/>
        </w:rPr>
        <w:t>Princípios para o Investimento Responsável (PRI):</w:t>
      </w:r>
      <w:r w:rsidRPr="00D12410">
        <w:rPr>
          <w:rFonts w:cs="Arial"/>
        </w:rPr>
        <w:t xml:space="preserve"> a Brasilprev integra e subscreve compromissos e acordos voluntários com instituições e organizações com as quais compartilha princípios e valores a fim de exercer seu papel de agente transformador na sociedade. Dentre eles estão os Princípios para o Investimento Responsável (PRI), desde 2017. O PRI é reconhecido por estabelecer os padrões globais relacionados a investimentos responsáveis, incentivando os investidores a incorporar os aspectos ambientais, sociais e de governança (ASG) em seus processos de investimento.</w:t>
      </w:r>
    </w:p>
    <w:p w14:paraId="599DFE57" w14:textId="77777777" w:rsidR="00182FC3" w:rsidRDefault="00182FC3" w:rsidP="00182FC3">
      <w:pPr>
        <w:numPr>
          <w:ilvl w:val="0"/>
          <w:numId w:val="37"/>
        </w:numPr>
        <w:spacing w:before="120" w:after="120" w:line="276" w:lineRule="auto"/>
        <w:jc w:val="both"/>
        <w:rPr>
          <w:rFonts w:eastAsia="Times New Roman" w:cs="Arial"/>
          <w:spacing w:val="-2"/>
          <w:szCs w:val="18"/>
          <w:lang w:eastAsia="pt-BR"/>
        </w:rPr>
      </w:pPr>
      <w:r w:rsidRPr="00B2703A">
        <w:rPr>
          <w:rFonts w:eastAsia="Times New Roman" w:cs="Arial"/>
          <w:b/>
          <w:bCs/>
          <w:spacing w:val="-2"/>
          <w:szCs w:val="18"/>
          <w:lang w:eastAsia="pt-BR"/>
        </w:rPr>
        <w:t>Ampliação das Estratégias de Investimentos ASG:</w:t>
      </w:r>
      <w:r w:rsidRPr="00B2703A">
        <w:rPr>
          <w:rFonts w:eastAsia="Times New Roman" w:cs="Arial"/>
          <w:spacing w:val="-2"/>
          <w:szCs w:val="18"/>
          <w:lang w:eastAsia="pt-BR"/>
        </w:rPr>
        <w:t xml:space="preserve"> a Brasilprev lançou em fevereiro de 2019 o fundo Brasilprev TOP ASG, com alocação em ETFs (Fundo de Índice) ASG no exterior. Até </w:t>
      </w:r>
      <w:r w:rsidRPr="00801D7D">
        <w:rPr>
          <w:rFonts w:eastAsia="Times New Roman" w:cs="Arial"/>
          <w:spacing w:val="-2"/>
          <w:szCs w:val="18"/>
          <w:lang w:eastAsia="pt-BR"/>
        </w:rPr>
        <w:t>dezembro/2021</w:t>
      </w:r>
      <w:r w:rsidRPr="00B2703A">
        <w:rPr>
          <w:rFonts w:eastAsia="Times New Roman" w:cs="Arial"/>
          <w:spacing w:val="-2"/>
          <w:szCs w:val="18"/>
          <w:lang w:eastAsia="pt-BR"/>
        </w:rPr>
        <w:t xml:space="preserve"> o fundo possuía patrimônio de R$</w:t>
      </w:r>
      <w:r>
        <w:rPr>
          <w:rFonts w:eastAsia="Times New Roman" w:cs="Arial"/>
          <w:spacing w:val="-2"/>
          <w:szCs w:val="18"/>
          <w:lang w:eastAsia="pt-BR"/>
        </w:rPr>
        <w:t xml:space="preserve"> 757,0</w:t>
      </w:r>
      <w:r w:rsidRPr="00B2703A">
        <w:rPr>
          <w:rFonts w:eastAsia="Times New Roman" w:cs="Arial"/>
          <w:spacing w:val="-2"/>
          <w:szCs w:val="18"/>
          <w:lang w:eastAsia="pt-BR"/>
        </w:rPr>
        <w:t xml:space="preserve"> milhões e rentabilidade </w:t>
      </w:r>
      <w:r>
        <w:rPr>
          <w:rFonts w:eastAsia="Times New Roman" w:cs="Arial"/>
          <w:spacing w:val="-2"/>
          <w:szCs w:val="18"/>
          <w:lang w:eastAsia="pt-BR"/>
        </w:rPr>
        <w:t xml:space="preserve">acumulada no ano </w:t>
      </w:r>
      <w:r w:rsidRPr="00801D7D">
        <w:rPr>
          <w:rFonts w:eastAsia="Times New Roman" w:cs="Arial"/>
          <w:spacing w:val="-2"/>
          <w:szCs w:val="18"/>
          <w:lang w:eastAsia="pt-BR"/>
        </w:rPr>
        <w:t>de 8,7% (vs. 4,4% do CDI).</w:t>
      </w:r>
      <w:r w:rsidRPr="00B2703A">
        <w:rPr>
          <w:rFonts w:eastAsia="Times New Roman" w:cs="Arial"/>
          <w:spacing w:val="-2"/>
          <w:szCs w:val="18"/>
          <w:lang w:eastAsia="pt-BR"/>
        </w:rPr>
        <w:t xml:space="preserve"> </w:t>
      </w:r>
    </w:p>
    <w:p w14:paraId="1D332254" w14:textId="77777777" w:rsidR="00182FC3" w:rsidRPr="002A12F7" w:rsidRDefault="00182FC3" w:rsidP="003252A8">
      <w:pPr>
        <w:spacing w:before="120" w:after="120" w:line="276" w:lineRule="auto"/>
        <w:ind w:left="720"/>
        <w:jc w:val="both"/>
        <w:rPr>
          <w:rFonts w:eastAsia="Times New Roman" w:cs="Arial"/>
          <w:spacing w:val="-2"/>
          <w:szCs w:val="18"/>
          <w:lang w:eastAsia="pt-BR"/>
        </w:rPr>
      </w:pPr>
      <w:r w:rsidRPr="00D7329A">
        <w:rPr>
          <w:rFonts w:eastAsia="Times New Roman" w:cs="Arial"/>
          <w:spacing w:val="-2"/>
          <w:szCs w:val="18"/>
          <w:lang w:eastAsia="pt-BR"/>
        </w:rPr>
        <w:t xml:space="preserve">Em dezembro/2020, a estratégia ASG deu origem a dois novos produtos destinados aos clientes </w:t>
      </w:r>
      <w:r w:rsidRPr="005D1989">
        <w:rPr>
          <w:rFonts w:eastAsia="Times New Roman" w:cs="Arial"/>
          <w:i/>
          <w:iCs/>
          <w:spacing w:val="-2"/>
          <w:szCs w:val="18"/>
          <w:lang w:eastAsia="pt-BR"/>
        </w:rPr>
        <w:t>private</w:t>
      </w:r>
      <w:r w:rsidRPr="00D7329A">
        <w:rPr>
          <w:rFonts w:eastAsia="Times New Roman" w:cs="Arial"/>
          <w:spacing w:val="-2"/>
          <w:szCs w:val="18"/>
          <w:lang w:eastAsia="pt-BR"/>
        </w:rPr>
        <w:t>, que além dos ETFs no exterior também investem em ações brasileiras que sigam boas práticas ASG. O Brasilprev Private ASG FIC Multimercado encerrou 2021 com patrimônio de R$125,3 milhões e rentabilidade de -10,6%, enquanto o Brasilprev Top ASG Brasil FI Ações acumulou no ano patrimônio de R$108,4 milhões e rentabilidade de -10,6% (vs. -11.9% do Ibovespa).</w:t>
      </w:r>
    </w:p>
    <w:p w14:paraId="4DB8B85F" w14:textId="491E6975" w:rsidR="00182FC3" w:rsidRPr="002A12F7" w:rsidRDefault="00182FC3" w:rsidP="00182FC3">
      <w:pPr>
        <w:numPr>
          <w:ilvl w:val="0"/>
          <w:numId w:val="37"/>
        </w:numPr>
        <w:spacing w:before="120" w:after="120" w:line="276" w:lineRule="auto"/>
        <w:jc w:val="both"/>
        <w:rPr>
          <w:rFonts w:eastAsia="Times New Roman" w:cs="Arial"/>
          <w:spacing w:val="-2"/>
          <w:szCs w:val="18"/>
          <w:lang w:eastAsia="pt-BR"/>
        </w:rPr>
      </w:pPr>
      <w:r w:rsidRPr="002A12F7">
        <w:rPr>
          <w:rFonts w:eastAsia="Times New Roman" w:cs="Arial"/>
          <w:b/>
          <w:bCs/>
          <w:spacing w:val="-2"/>
          <w:szCs w:val="18"/>
          <w:lang w:eastAsia="pt-BR"/>
        </w:rPr>
        <w:t>Declaração sobre Títulos Verdes:</w:t>
      </w:r>
      <w:r w:rsidRPr="002A12F7">
        <w:rPr>
          <w:rFonts w:eastAsia="Times New Roman" w:cs="Arial"/>
          <w:spacing w:val="-2"/>
          <w:szCs w:val="18"/>
          <w:lang w:eastAsia="pt-BR"/>
        </w:rPr>
        <w:t xml:space="preserve"> a Brasilprev é signatária desde 2017, juntamente com outros investidores</w:t>
      </w:r>
      <w:r>
        <w:rPr>
          <w:rFonts w:eastAsia="Times New Roman" w:cs="Arial"/>
          <w:spacing w:val="-2"/>
          <w:szCs w:val="18"/>
          <w:lang w:eastAsia="pt-BR"/>
        </w:rPr>
        <w:t>,</w:t>
      </w:r>
      <w:r w:rsidRPr="002A12F7">
        <w:rPr>
          <w:rFonts w:eastAsia="Times New Roman" w:cs="Arial"/>
          <w:spacing w:val="-2"/>
          <w:szCs w:val="18"/>
          <w:lang w:eastAsia="pt-BR"/>
        </w:rPr>
        <w:t xml:space="preserve"> representando cerca de R$ 1,8 trilhão em ativos sob gestão. Na declaração, os signatários se comprometem a dialogar com entidades, governamentais ou não, para estimular o desenvolvimento de um mercado brasileiro de títulos verdes robusto e que contribua verdadeiramente para </w:t>
      </w:r>
      <w:r>
        <w:rPr>
          <w:rFonts w:eastAsia="Times New Roman" w:cs="Arial"/>
          <w:spacing w:val="-2"/>
          <w:szCs w:val="18"/>
          <w:lang w:eastAsia="pt-BR"/>
        </w:rPr>
        <w:t>tratar</w:t>
      </w:r>
      <w:r w:rsidRPr="002A12F7">
        <w:rPr>
          <w:rFonts w:eastAsia="Times New Roman" w:cs="Arial"/>
          <w:spacing w:val="-2"/>
          <w:szCs w:val="18"/>
          <w:lang w:eastAsia="pt-BR"/>
        </w:rPr>
        <w:t xml:space="preserve"> as mudanças climáticas.</w:t>
      </w:r>
      <w:r>
        <w:rPr>
          <w:rFonts w:eastAsia="Times New Roman" w:cs="Arial"/>
          <w:spacing w:val="-2"/>
          <w:szCs w:val="18"/>
          <w:lang w:eastAsia="pt-BR"/>
        </w:rPr>
        <w:t xml:space="preserve"> </w:t>
      </w:r>
      <w:r w:rsidRPr="002A12F7">
        <w:rPr>
          <w:rFonts w:eastAsia="Times New Roman" w:cs="Arial"/>
          <w:spacing w:val="-2"/>
          <w:szCs w:val="18"/>
          <w:lang w:eastAsia="pt-BR"/>
        </w:rPr>
        <w:t xml:space="preserve">(Fonte: </w:t>
      </w:r>
      <w:r w:rsidRPr="00571767">
        <w:rPr>
          <w:rFonts w:eastAsia="Times New Roman" w:cs="Arial"/>
          <w:spacing w:val="-2"/>
          <w:szCs w:val="18"/>
          <w:lang w:eastAsia="pt-BR"/>
        </w:rPr>
        <w:t>https://www.climatebonds.net/market/country/brasil/declaracao-de-investidores</w:t>
      </w:r>
      <w:r>
        <w:rPr>
          <w:rFonts w:eastAsia="Times New Roman" w:cs="Arial"/>
          <w:spacing w:val="-2"/>
          <w:szCs w:val="18"/>
          <w:lang w:eastAsia="pt-BR"/>
        </w:rPr>
        <w:t xml:space="preserve">) </w:t>
      </w:r>
    </w:p>
    <w:p w14:paraId="4285F5C5" w14:textId="77777777" w:rsidR="00182FC3" w:rsidRPr="00D12410" w:rsidRDefault="00182FC3" w:rsidP="00182FC3">
      <w:pPr>
        <w:numPr>
          <w:ilvl w:val="0"/>
          <w:numId w:val="37"/>
        </w:numPr>
        <w:spacing w:before="120" w:after="120" w:line="276" w:lineRule="auto"/>
        <w:jc w:val="both"/>
        <w:rPr>
          <w:rFonts w:eastAsia="Times New Roman" w:cs="Arial"/>
          <w:spacing w:val="-2"/>
          <w:szCs w:val="18"/>
          <w:lang w:eastAsia="pt-BR"/>
        </w:rPr>
      </w:pPr>
      <w:r w:rsidRPr="00D12410">
        <w:rPr>
          <w:rFonts w:eastAsia="Times New Roman" w:cs="Arial"/>
          <w:b/>
          <w:bCs/>
          <w:i/>
          <w:iCs/>
          <w:spacing w:val="-2"/>
          <w:szCs w:val="18"/>
          <w:lang w:eastAsia="pt-BR"/>
        </w:rPr>
        <w:t>Carbon Disclosure Project</w:t>
      </w:r>
      <w:r w:rsidRPr="00D12410">
        <w:rPr>
          <w:rFonts w:eastAsia="Times New Roman" w:cs="Arial"/>
          <w:b/>
          <w:bCs/>
          <w:spacing w:val="-2"/>
          <w:szCs w:val="18"/>
          <w:lang w:eastAsia="pt-BR"/>
        </w:rPr>
        <w:t xml:space="preserve"> (CDP):</w:t>
      </w:r>
      <w:r w:rsidRPr="00D12410">
        <w:rPr>
          <w:rFonts w:eastAsia="Times New Roman" w:cs="Arial"/>
          <w:spacing w:val="-2"/>
          <w:szCs w:val="18"/>
          <w:lang w:eastAsia="pt-BR"/>
        </w:rPr>
        <w:t xml:space="preserve"> a Brasilprev participa do CDP como investidora signatária, tendo acesso a sua base de dados global com informações sobre o compromisso das empresas, sejam potenciais ou já investidas, em relação a emissões de carbono e ações de sustentabilidade.</w:t>
      </w:r>
    </w:p>
    <w:p w14:paraId="28325791" w14:textId="77777777" w:rsidR="00182FC3" w:rsidRPr="002E7E5B" w:rsidRDefault="00182FC3" w:rsidP="00182FC3">
      <w:pPr>
        <w:numPr>
          <w:ilvl w:val="0"/>
          <w:numId w:val="37"/>
        </w:numPr>
        <w:spacing w:before="120" w:after="120" w:line="276" w:lineRule="auto"/>
        <w:ind w:left="714" w:hanging="357"/>
        <w:jc w:val="both"/>
        <w:rPr>
          <w:rFonts w:eastAsia="Times New Roman" w:cs="Arial"/>
          <w:spacing w:val="-2"/>
          <w:szCs w:val="18"/>
          <w:lang w:eastAsia="pt-BR"/>
        </w:rPr>
      </w:pPr>
      <w:r w:rsidRPr="002E7E5B">
        <w:rPr>
          <w:rFonts w:eastAsia="Times New Roman" w:cs="Arial"/>
          <w:b/>
          <w:spacing w:val="-2"/>
          <w:szCs w:val="18"/>
          <w:lang w:eastAsia="pt-BR"/>
        </w:rPr>
        <w:lastRenderedPageBreak/>
        <w:t xml:space="preserve">Projetos incentivados: </w:t>
      </w:r>
      <w:r w:rsidRPr="002E7E5B">
        <w:rPr>
          <w:rFonts w:eastAsia="Times New Roman" w:cs="Arial"/>
          <w:spacing w:val="-2"/>
          <w:szCs w:val="18"/>
          <w:lang w:eastAsia="pt-BR"/>
        </w:rPr>
        <w:t xml:space="preserve">em 2021, foram apoiados </w:t>
      </w:r>
      <w:r>
        <w:rPr>
          <w:rFonts w:eastAsia="Times New Roman" w:cs="Arial"/>
          <w:spacing w:val="-2"/>
          <w:szCs w:val="18"/>
          <w:lang w:eastAsia="pt-BR"/>
        </w:rPr>
        <w:t>9</w:t>
      </w:r>
      <w:r w:rsidRPr="002E7E5B">
        <w:rPr>
          <w:rFonts w:eastAsia="Times New Roman" w:cs="Arial"/>
          <w:spacing w:val="-2"/>
          <w:szCs w:val="18"/>
          <w:lang w:eastAsia="pt-BR"/>
        </w:rPr>
        <w:t xml:space="preserve"> projetos sociais por meio de Leis de Incentivo (Idoso e Fumcad </w:t>
      </w:r>
      <w:r>
        <w:rPr>
          <w:rFonts w:eastAsia="Times New Roman" w:cs="Arial"/>
          <w:spacing w:val="-2"/>
          <w:szCs w:val="18"/>
          <w:lang w:eastAsia="pt-BR"/>
        </w:rPr>
        <w:t xml:space="preserve">Pronas </w:t>
      </w:r>
      <w:r w:rsidRPr="002E7E5B">
        <w:rPr>
          <w:rFonts w:eastAsia="Times New Roman" w:cs="Arial"/>
          <w:spacing w:val="-2"/>
          <w:szCs w:val="18"/>
          <w:lang w:eastAsia="pt-BR"/>
        </w:rPr>
        <w:t xml:space="preserve">e Pronon), beneficiando </w:t>
      </w:r>
      <w:r w:rsidRPr="00D7329A">
        <w:rPr>
          <w:rFonts w:eastAsia="Times New Roman" w:cs="Arial"/>
          <w:spacing w:val="-2"/>
          <w:szCs w:val="18"/>
          <w:lang w:eastAsia="pt-BR"/>
        </w:rPr>
        <w:t>mais de 85,6 mil brasileiros.</w:t>
      </w:r>
      <w:r w:rsidRPr="002E7E5B">
        <w:rPr>
          <w:rFonts w:eastAsia="Times New Roman" w:cs="Arial"/>
          <w:spacing w:val="-2"/>
          <w:szCs w:val="18"/>
          <w:lang w:eastAsia="pt-BR"/>
        </w:rPr>
        <w:t xml:space="preserve"> </w:t>
      </w:r>
    </w:p>
    <w:p w14:paraId="2E5616B7" w14:textId="36ABDB91" w:rsidR="00182FC3" w:rsidRDefault="00182FC3" w:rsidP="003252A8">
      <w:pPr>
        <w:pStyle w:val="05-Textonormal"/>
        <w:spacing w:after="0" w:line="240" w:lineRule="auto"/>
        <w:rPr>
          <w:rFonts w:cs="Arial"/>
        </w:rPr>
      </w:pPr>
      <w:r w:rsidRPr="00D12410">
        <w:rPr>
          <w:rFonts w:cs="Arial"/>
        </w:rPr>
        <w:t>Informações relacionadas ao tema estão disponibilizadas no site da companhia (</w:t>
      </w:r>
      <w:r w:rsidRPr="00571767">
        <w:rPr>
          <w:rFonts w:cs="Arial"/>
        </w:rPr>
        <w:t>https://www1.brasilprev.com.br/quem-somos.html</w:t>
      </w:r>
      <w:r w:rsidRPr="00D12410">
        <w:rPr>
          <w:rFonts w:cs="Arial"/>
        </w:rPr>
        <w:t>).</w:t>
      </w:r>
    </w:p>
    <w:p w14:paraId="37B2376F" w14:textId="77777777" w:rsidR="00182FC3" w:rsidRPr="00985AC5" w:rsidRDefault="00182FC3" w:rsidP="00C81A16">
      <w:pPr>
        <w:pStyle w:val="05-Textonormal"/>
        <w:spacing w:after="0" w:line="240" w:lineRule="auto"/>
        <w:rPr>
          <w:rFonts w:cs="Arial"/>
          <w:highlight w:val="yellow"/>
        </w:rPr>
      </w:pPr>
    </w:p>
    <w:p w14:paraId="4B0565B4" w14:textId="77777777" w:rsidR="00182FC3" w:rsidRPr="00783390" w:rsidRDefault="00182FC3" w:rsidP="000838E1">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Brasilcap</w:t>
      </w:r>
    </w:p>
    <w:p w14:paraId="291B9610" w14:textId="77777777" w:rsidR="00182FC3" w:rsidRPr="00DA7665" w:rsidRDefault="00182FC3" w:rsidP="00182FC3">
      <w:pPr>
        <w:pStyle w:val="05-Textonormal"/>
        <w:numPr>
          <w:ilvl w:val="0"/>
          <w:numId w:val="36"/>
        </w:numPr>
        <w:spacing w:after="0" w:line="240" w:lineRule="auto"/>
        <w:ind w:left="709"/>
        <w:rPr>
          <w:bCs/>
        </w:rPr>
      </w:pPr>
      <w:r w:rsidRPr="00DA7665">
        <w:rPr>
          <w:b/>
        </w:rPr>
        <w:t xml:space="preserve">Princípios para Sustentabilidade em Seguros (PSI): </w:t>
      </w:r>
      <w:r>
        <w:rPr>
          <w:bCs/>
        </w:rPr>
        <w:t>a</w:t>
      </w:r>
      <w:r w:rsidRPr="00DA7665">
        <w:rPr>
          <w:bCs/>
        </w:rPr>
        <w:t xml:space="preserve"> Brasilcap foi a </w:t>
      </w:r>
      <w:r w:rsidRPr="00DA7665">
        <w:rPr>
          <w:rFonts w:cs="Arial"/>
        </w:rPr>
        <w:t xml:space="preserve">primeira empresa de capitalização a se tornar signatária dos </w:t>
      </w:r>
      <w:r>
        <w:t>Princípios para Sustentabilidade em Seguros (PSI), compromisso</w:t>
      </w:r>
      <w:r w:rsidRPr="00DA7665">
        <w:rPr>
          <w:rFonts w:cs="Arial"/>
        </w:rPr>
        <w:t xml:space="preserve"> do qual faz parte desde 2015.</w:t>
      </w:r>
      <w:r>
        <w:rPr>
          <w:rFonts w:cs="Arial"/>
        </w:rPr>
        <w:t xml:space="preserve"> </w:t>
      </w:r>
      <w:r w:rsidRPr="00DA7665">
        <w:rPr>
          <w:bCs/>
        </w:rPr>
        <w:t xml:space="preserve">A adesão reforça o compromisso da </w:t>
      </w:r>
      <w:r>
        <w:rPr>
          <w:bCs/>
        </w:rPr>
        <w:t>c</w:t>
      </w:r>
      <w:r w:rsidRPr="00DA7665">
        <w:rPr>
          <w:bCs/>
        </w:rPr>
        <w:t xml:space="preserve">ompanhia em ser uma importante voz na busca por uma sociedade mais consciente e justa, além de contribuir para evolução contínua nos quesitos ASG, mitigando riscos e conferindo transparência na prestação de contas para todos os públicos de relacionamento. </w:t>
      </w:r>
    </w:p>
    <w:p w14:paraId="2258BE54" w14:textId="77777777" w:rsidR="00182FC3" w:rsidRDefault="00182FC3" w:rsidP="00182FC3">
      <w:pPr>
        <w:pStyle w:val="05-Textonormal"/>
        <w:numPr>
          <w:ilvl w:val="0"/>
          <w:numId w:val="36"/>
        </w:numPr>
        <w:rPr>
          <w:rFonts w:cs="Arial"/>
        </w:rPr>
      </w:pPr>
      <w:r>
        <w:rPr>
          <w:rFonts w:cs="Arial"/>
          <w:b/>
        </w:rPr>
        <w:t>Instituto Ethos:</w:t>
      </w:r>
      <w:r>
        <w:rPr>
          <w:rFonts w:cs="Arial"/>
        </w:rPr>
        <w:t xml:space="preserve"> a Brasilcap é associada ao Instituto Ethos com direito a participar dos fóruns relacionados às questões ASG e utilizar a Ferramenta Ethos – que possibilita a gestão de indicadores e monitoramento da evolução ASG e do índice geral de sustentabilidade da empresa.</w:t>
      </w:r>
    </w:p>
    <w:p w14:paraId="418A602D" w14:textId="77777777" w:rsidR="00182FC3" w:rsidRDefault="00182FC3" w:rsidP="00182FC3">
      <w:pPr>
        <w:pStyle w:val="05-Textonormal"/>
        <w:numPr>
          <w:ilvl w:val="0"/>
          <w:numId w:val="36"/>
        </w:numPr>
        <w:rPr>
          <w:rFonts w:cs="Arial"/>
          <w:bCs/>
        </w:rPr>
      </w:pPr>
      <w:r>
        <w:rPr>
          <w:b/>
          <w:bCs/>
        </w:rPr>
        <w:t>Ações contra a Covid-19:</w:t>
      </w:r>
      <w:r>
        <w:rPr>
          <w:rFonts w:cs="Arial"/>
        </w:rPr>
        <w:t xml:space="preserve"> a Brasilcap ampliou sua atuação em responsabilidade social em resposta à crise sanitária deflagrada pela Covid-19, tendo apoiado, dentre outras, as ações “Adote um Leito UTI – Na Luta Contra o Coronavírus”</w:t>
      </w:r>
      <w:r>
        <w:rPr>
          <w:rFonts w:cs="Arial"/>
          <w:bCs/>
        </w:rPr>
        <w:t>, com a doação de recursos que contribuíram para a aquisição de respiradores, incubadoras, cama elétrica para UTI, cardioversor, monitor cardíaco, insumos hospitalares como EPI’s (máscaras, aventais e instrumentos cirúrgicos), bem como nos gastos com serviços de médicos, enfermeiros e assistentes. Outro destaque foi para o Programa Brasilcap Solidário, que completou 10 anos de história, reafirmando o viés solidário e transformador presente na trajetória da Companhia. Neste sentido, a parceria entre a Brasilcap e o Instituto da Criança viabilizou o apoio ao projeto Educação + Digital, visando minimizar o impacto econômico e social oriundos da pandemia na vida de jovens em situação de vulnerabilidade social, que dependiam de conexão digital para estudar. Todas as doações da Brasilcap - com a participação de colaboradores voluntários - foram destinadas ao custeio de internet de 2GB durante 12 meses para alunos e professores da rede pública de ensino no Rio de Janeiro, para uso em tablets doados anteriormente pelo projeto Educação + Digital.</w:t>
      </w:r>
    </w:p>
    <w:p w14:paraId="74987902" w14:textId="77777777" w:rsidR="00182FC3" w:rsidRDefault="00182FC3" w:rsidP="00313C3B">
      <w:pPr>
        <w:pStyle w:val="05-Textonormal"/>
        <w:ind w:left="360"/>
        <w:rPr>
          <w:rFonts w:cs="Arial"/>
          <w:bCs/>
        </w:rPr>
      </w:pPr>
    </w:p>
    <w:p w14:paraId="186739B1" w14:textId="77777777" w:rsidR="00182FC3" w:rsidRDefault="00182FC3" w:rsidP="00313C3B">
      <w:pPr>
        <w:pStyle w:val="05-Textonormal"/>
        <w:spacing w:after="0" w:line="240" w:lineRule="auto"/>
        <w:rPr>
          <w:rFonts w:cs="Arial"/>
        </w:rPr>
      </w:pPr>
      <w:r>
        <w:rPr>
          <w:rFonts w:cs="Arial"/>
        </w:rPr>
        <w:t>Mais informações relacionadas ao tema estão disponibilizadas no site da companhia (https://www.brasilcap.com.br/brasilcap/brasilcap/responsabilidade-socioambiental/responsabilidade-socioambiental.html).</w:t>
      </w:r>
    </w:p>
    <w:p w14:paraId="4B1CE76F" w14:textId="77777777" w:rsidR="00182FC3" w:rsidRDefault="00182FC3" w:rsidP="00C81A16">
      <w:pPr>
        <w:pStyle w:val="05-Textonormal"/>
        <w:ind w:left="720"/>
      </w:pPr>
    </w:p>
    <w:p w14:paraId="2EE766A4" w14:textId="77777777" w:rsidR="00182FC3" w:rsidRDefault="00182FC3" w:rsidP="00182FC3">
      <w:pPr>
        <w:pStyle w:val="01-TtulodeNota"/>
        <w:numPr>
          <w:ilvl w:val="0"/>
          <w:numId w:val="40"/>
        </w:numPr>
        <w:ind w:left="357" w:hanging="357"/>
        <w:rPr>
          <w:color w:val="1F4E79" w:themeColor="accent1" w:themeShade="80"/>
        </w:rPr>
      </w:pPr>
      <w:r>
        <w:rPr>
          <w:color w:val="1F4E79" w:themeColor="accent1" w:themeShade="80"/>
        </w:rPr>
        <w:t>PRINCIPAIS RECONHECIMENTOS</w:t>
      </w:r>
    </w:p>
    <w:p w14:paraId="7E5968D5" w14:textId="77777777" w:rsidR="00182FC3" w:rsidRPr="00CB4344" w:rsidRDefault="00182FC3" w:rsidP="00C81A16">
      <w:pPr>
        <w:pStyle w:val="PargrafodaLista"/>
        <w:spacing w:before="120" w:after="120"/>
        <w:ind w:left="0"/>
        <w:jc w:val="both"/>
        <w:rPr>
          <w:rFonts w:ascii="Arial" w:hAnsi="Arial" w:cs="Arial"/>
          <w:sz w:val="18"/>
          <w:szCs w:val="18"/>
        </w:rPr>
      </w:pPr>
      <w:r w:rsidRPr="00CB4344">
        <w:rPr>
          <w:rFonts w:ascii="Arial" w:hAnsi="Arial" w:cs="Arial"/>
          <w:sz w:val="18"/>
          <w:szCs w:val="18"/>
        </w:rPr>
        <w:t>Abaixo, os principais prêmios e reconhecimentos recebidos em 2021 pelas empresas que fazem parte do Grupo BB Seguridade:</w:t>
      </w:r>
    </w:p>
    <w:p w14:paraId="4717A99E" w14:textId="77777777" w:rsidR="00182FC3" w:rsidRPr="00985AC5" w:rsidRDefault="00182FC3" w:rsidP="00C81A16">
      <w:pPr>
        <w:pStyle w:val="PargrafodaLista"/>
        <w:spacing w:before="120" w:after="120"/>
        <w:ind w:left="0"/>
        <w:jc w:val="both"/>
        <w:rPr>
          <w:rFonts w:ascii="Arial" w:eastAsia="Times New Roman" w:hAnsi="Arial" w:cs="Arial"/>
          <w:b/>
          <w:sz w:val="18"/>
          <w:szCs w:val="18"/>
          <w:highlight w:val="yellow"/>
          <w:lang w:eastAsia="pt-BR"/>
        </w:rPr>
      </w:pPr>
    </w:p>
    <w:p w14:paraId="71D2DE26" w14:textId="77777777" w:rsidR="00182FC3" w:rsidRPr="00783390" w:rsidRDefault="00182FC3" w:rsidP="000838E1">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Brasilseg</w:t>
      </w:r>
    </w:p>
    <w:p w14:paraId="41A14A25" w14:textId="77777777" w:rsidR="00182FC3" w:rsidRPr="00985AC5" w:rsidRDefault="00182FC3" w:rsidP="00C81A16">
      <w:pPr>
        <w:pStyle w:val="PargrafodaLista"/>
        <w:spacing w:before="120" w:after="120"/>
        <w:ind w:left="360"/>
        <w:jc w:val="both"/>
        <w:rPr>
          <w:rFonts w:ascii="Arial" w:eastAsia="Times New Roman" w:hAnsi="Arial" w:cs="Arial"/>
          <w:b/>
          <w:sz w:val="18"/>
          <w:szCs w:val="18"/>
          <w:highlight w:val="yellow"/>
          <w:lang w:eastAsia="pt-BR"/>
        </w:rPr>
      </w:pPr>
    </w:p>
    <w:p w14:paraId="63A64E79" w14:textId="77777777" w:rsidR="00182FC3" w:rsidRPr="00323AEB" w:rsidRDefault="00182FC3" w:rsidP="00182FC3">
      <w:pPr>
        <w:pStyle w:val="PargrafodaLista"/>
        <w:numPr>
          <w:ilvl w:val="0"/>
          <w:numId w:val="39"/>
        </w:numPr>
        <w:spacing w:after="0"/>
        <w:ind w:left="714" w:hanging="357"/>
        <w:jc w:val="both"/>
        <w:rPr>
          <w:rFonts w:ascii="Arial" w:hAnsi="Arial" w:cs="Arial"/>
          <w:b/>
          <w:bCs/>
          <w:sz w:val="18"/>
          <w:szCs w:val="18"/>
        </w:rPr>
      </w:pPr>
      <w:r w:rsidRPr="00323AEB">
        <w:rPr>
          <w:rFonts w:cs="Arial"/>
          <w:b/>
          <w:bCs/>
          <w:szCs w:val="18"/>
        </w:rPr>
        <w:t xml:space="preserve">Ranking 100 Open Corps 2021: </w:t>
      </w:r>
      <w:r>
        <w:rPr>
          <w:rFonts w:ascii="Arial" w:hAnsi="Arial" w:cs="Arial"/>
          <w:sz w:val="18"/>
          <w:szCs w:val="18"/>
        </w:rPr>
        <w:t>u</w:t>
      </w:r>
      <w:r w:rsidRPr="00323AEB">
        <w:rPr>
          <w:rFonts w:ascii="Arial" w:hAnsi="Arial" w:cs="Arial"/>
          <w:sz w:val="18"/>
          <w:szCs w:val="18"/>
        </w:rPr>
        <w:t xml:space="preserve">ma das corporações líderes em inovação aberta com startups pelo Ranking 100 Open Corps 2021, ficando no TOP 3 entre as seguradoras. O ranking reconhece as empresas que mais fazem </w:t>
      </w:r>
      <w:r w:rsidRPr="00F86F99">
        <w:rPr>
          <w:rFonts w:ascii="Arial" w:hAnsi="Arial" w:cs="Arial"/>
          <w:i/>
          <w:iCs/>
          <w:sz w:val="18"/>
          <w:szCs w:val="18"/>
        </w:rPr>
        <w:t>open innovation</w:t>
      </w:r>
      <w:r w:rsidRPr="00323AEB">
        <w:rPr>
          <w:rFonts w:ascii="Arial" w:hAnsi="Arial" w:cs="Arial"/>
          <w:sz w:val="18"/>
          <w:szCs w:val="18"/>
        </w:rPr>
        <w:t xml:space="preserve"> com </w:t>
      </w:r>
      <w:r w:rsidRPr="005D1989">
        <w:rPr>
          <w:rFonts w:ascii="Arial" w:hAnsi="Arial" w:cs="Arial"/>
          <w:i/>
          <w:iCs/>
          <w:sz w:val="18"/>
          <w:szCs w:val="18"/>
        </w:rPr>
        <w:t>startups</w:t>
      </w:r>
      <w:r w:rsidRPr="00323AEB">
        <w:rPr>
          <w:rFonts w:ascii="Arial" w:hAnsi="Arial" w:cs="Arial"/>
          <w:sz w:val="18"/>
          <w:szCs w:val="18"/>
        </w:rPr>
        <w:t xml:space="preserve"> no Brasil, a fim de promover negócios e conexões. A companhia foi premiada por conta do Impulso Open, programa da Brasilseg que busca parcerias inovadoras capazes de transformar o mercado de seguros, simplificar processos e alcançar a excelência no relacionamento com o cliente.</w:t>
      </w:r>
    </w:p>
    <w:p w14:paraId="7E1D5A69" w14:textId="77777777" w:rsidR="00182FC3" w:rsidRPr="00323AEB" w:rsidRDefault="00182FC3" w:rsidP="00F86F99">
      <w:pPr>
        <w:pStyle w:val="PargrafodaLista"/>
        <w:rPr>
          <w:rFonts w:ascii="Arial" w:hAnsi="Arial" w:cs="Arial"/>
          <w:b/>
          <w:bCs/>
          <w:sz w:val="18"/>
          <w:szCs w:val="18"/>
        </w:rPr>
      </w:pPr>
    </w:p>
    <w:p w14:paraId="472261E9" w14:textId="77777777" w:rsidR="00182FC3" w:rsidRPr="00323AEB" w:rsidRDefault="00182FC3" w:rsidP="00182FC3">
      <w:pPr>
        <w:pStyle w:val="PargrafodaLista"/>
        <w:numPr>
          <w:ilvl w:val="0"/>
          <w:numId w:val="39"/>
        </w:numPr>
        <w:spacing w:after="0"/>
        <w:ind w:left="714" w:hanging="357"/>
        <w:jc w:val="both"/>
        <w:rPr>
          <w:rFonts w:ascii="Arial" w:hAnsi="Arial" w:cs="Arial"/>
          <w:b/>
          <w:bCs/>
          <w:sz w:val="18"/>
          <w:szCs w:val="18"/>
        </w:rPr>
      </w:pPr>
      <w:r w:rsidRPr="00323AEB">
        <w:rPr>
          <w:rFonts w:ascii="Arial" w:hAnsi="Arial" w:cs="Arial"/>
          <w:b/>
          <w:bCs/>
          <w:sz w:val="18"/>
          <w:szCs w:val="18"/>
        </w:rPr>
        <w:t>Prêmio Clientes S/A</w:t>
      </w:r>
      <w:r>
        <w:rPr>
          <w:rFonts w:ascii="Arial" w:hAnsi="Arial" w:cs="Arial"/>
          <w:b/>
          <w:bCs/>
          <w:sz w:val="18"/>
          <w:szCs w:val="18"/>
        </w:rPr>
        <w:t xml:space="preserve">: </w:t>
      </w:r>
      <w:r>
        <w:rPr>
          <w:rFonts w:ascii="Arial" w:hAnsi="Arial" w:cs="Arial"/>
          <w:sz w:val="18"/>
          <w:szCs w:val="18"/>
        </w:rPr>
        <w:t>o</w:t>
      </w:r>
      <w:r w:rsidRPr="00323AEB">
        <w:rPr>
          <w:rFonts w:ascii="Arial" w:hAnsi="Arial" w:cs="Arial"/>
          <w:sz w:val="18"/>
          <w:szCs w:val="18"/>
        </w:rPr>
        <w:t xml:space="preserve"> </w:t>
      </w:r>
      <w:r w:rsidRPr="00F86F99">
        <w:rPr>
          <w:rFonts w:ascii="Arial" w:hAnsi="Arial" w:cs="Arial"/>
          <w:i/>
          <w:iCs/>
          <w:sz w:val="18"/>
          <w:szCs w:val="18"/>
        </w:rPr>
        <w:t>case</w:t>
      </w:r>
      <w:r w:rsidRPr="00323AEB">
        <w:rPr>
          <w:rFonts w:ascii="Arial" w:hAnsi="Arial" w:cs="Arial"/>
          <w:sz w:val="18"/>
          <w:szCs w:val="18"/>
        </w:rPr>
        <w:t xml:space="preserve"> Programa Voz do Cliente, </w:t>
      </w:r>
      <w:r>
        <w:rPr>
          <w:rFonts w:ascii="Arial" w:hAnsi="Arial" w:cs="Arial"/>
          <w:sz w:val="18"/>
          <w:szCs w:val="18"/>
        </w:rPr>
        <w:t>ganhou n</w:t>
      </w:r>
      <w:r w:rsidRPr="00323AEB">
        <w:rPr>
          <w:rFonts w:ascii="Arial" w:hAnsi="Arial" w:cs="Arial"/>
          <w:sz w:val="18"/>
          <w:szCs w:val="18"/>
        </w:rPr>
        <w:t>a categoria Líder em Projeto de Gestão de Clientes/CRM/CX/CS/CSM do Prêmio Clientes S/A, ocupando a 3ª posição do prêmio, que identifica e dá projeção às melhores práticas nas relações com o cliente no Brasil.</w:t>
      </w:r>
    </w:p>
    <w:p w14:paraId="0D12F38D" w14:textId="77777777" w:rsidR="00182FC3" w:rsidRPr="00323AEB" w:rsidRDefault="00182FC3" w:rsidP="00F86F99">
      <w:pPr>
        <w:pStyle w:val="PargrafodaLista"/>
        <w:rPr>
          <w:rFonts w:ascii="Arial" w:hAnsi="Arial" w:cs="Arial"/>
          <w:b/>
          <w:bCs/>
          <w:sz w:val="18"/>
          <w:szCs w:val="18"/>
        </w:rPr>
      </w:pPr>
    </w:p>
    <w:p w14:paraId="2B161BC6" w14:textId="77777777" w:rsidR="00182FC3" w:rsidRPr="00B726D8" w:rsidRDefault="00182FC3" w:rsidP="00182FC3">
      <w:pPr>
        <w:pStyle w:val="PargrafodaLista"/>
        <w:numPr>
          <w:ilvl w:val="0"/>
          <w:numId w:val="39"/>
        </w:numPr>
        <w:spacing w:after="0"/>
        <w:ind w:left="714" w:hanging="357"/>
        <w:jc w:val="both"/>
        <w:rPr>
          <w:rFonts w:ascii="Arial" w:hAnsi="Arial" w:cs="Arial"/>
          <w:sz w:val="18"/>
          <w:szCs w:val="18"/>
        </w:rPr>
      </w:pPr>
      <w:r w:rsidRPr="00B726D8">
        <w:rPr>
          <w:rFonts w:ascii="Arial" w:hAnsi="Arial" w:cs="Arial"/>
          <w:b/>
          <w:sz w:val="18"/>
          <w:szCs w:val="18"/>
        </w:rPr>
        <w:t>Ranking Inovação Brasil - Valor Econômico:</w:t>
      </w:r>
      <w:r>
        <w:rPr>
          <w:rFonts w:ascii="Arial" w:hAnsi="Arial" w:cs="Arial"/>
          <w:sz w:val="18"/>
          <w:szCs w:val="18"/>
        </w:rPr>
        <w:t xml:space="preserve"> a Brasilseg foi </w:t>
      </w:r>
      <w:r w:rsidRPr="00B726D8">
        <w:rPr>
          <w:rFonts w:ascii="Arial" w:hAnsi="Arial" w:cs="Arial"/>
          <w:sz w:val="18"/>
          <w:szCs w:val="18"/>
        </w:rPr>
        <w:t xml:space="preserve">uma das quatro seguradoras mais inovadoras do país pelo ranking Inovação Brasil, do Valor Econômico, o mais importante veículo de economia, finanças e negócios do Brasil. No ranking geral, </w:t>
      </w:r>
      <w:r>
        <w:rPr>
          <w:rFonts w:ascii="Arial" w:hAnsi="Arial" w:cs="Arial"/>
          <w:sz w:val="18"/>
          <w:szCs w:val="18"/>
        </w:rPr>
        <w:t>a companhia figurou</w:t>
      </w:r>
      <w:r w:rsidRPr="00B726D8">
        <w:rPr>
          <w:rFonts w:ascii="Arial" w:hAnsi="Arial" w:cs="Arial"/>
          <w:sz w:val="18"/>
          <w:szCs w:val="18"/>
        </w:rPr>
        <w:t xml:space="preserve"> entre as 100 empresas do país que mais investem e apoiam a inovação.</w:t>
      </w:r>
    </w:p>
    <w:p w14:paraId="0A345393" w14:textId="77777777" w:rsidR="00182FC3" w:rsidRPr="00323AEB" w:rsidRDefault="00182FC3" w:rsidP="00F86F99">
      <w:pPr>
        <w:pStyle w:val="PargrafodaLista"/>
        <w:rPr>
          <w:rFonts w:ascii="Arial" w:hAnsi="Arial" w:cs="Arial"/>
          <w:sz w:val="18"/>
          <w:szCs w:val="18"/>
        </w:rPr>
      </w:pPr>
    </w:p>
    <w:p w14:paraId="1476DD4F" w14:textId="77777777" w:rsidR="00182FC3" w:rsidRPr="00783390" w:rsidRDefault="00182FC3" w:rsidP="00F97A88">
      <w:pPr>
        <w:pStyle w:val="03-SubttulodeNota"/>
        <w:keepNext/>
        <w:keepLines/>
        <w:pageBreakBefore/>
        <w:spacing w:line="276" w:lineRule="auto"/>
        <w:rPr>
          <w:b w:val="0"/>
          <w:bCs/>
          <w:color w:val="000000" w:themeColor="text1"/>
          <w:sz w:val="18"/>
          <w:szCs w:val="18"/>
          <w:u w:val="single"/>
        </w:rPr>
      </w:pPr>
      <w:r w:rsidRPr="00783390">
        <w:rPr>
          <w:b w:val="0"/>
          <w:bCs/>
          <w:color w:val="000000" w:themeColor="text1"/>
          <w:sz w:val="18"/>
          <w:szCs w:val="18"/>
          <w:u w:val="single"/>
        </w:rPr>
        <w:lastRenderedPageBreak/>
        <w:t>Brasilprev</w:t>
      </w:r>
    </w:p>
    <w:p w14:paraId="2F14EE4D" w14:textId="77777777" w:rsidR="00182FC3" w:rsidRDefault="00182FC3" w:rsidP="00F86F99">
      <w:pPr>
        <w:spacing w:after="0"/>
        <w:jc w:val="both"/>
        <w:rPr>
          <w:rFonts w:eastAsia="Times New Roman" w:cs="Times New Roman"/>
          <w:b/>
          <w:color w:val="1F4E79" w:themeColor="accent1" w:themeShade="80"/>
          <w:spacing w:val="-2"/>
          <w:sz w:val="20"/>
          <w:szCs w:val="20"/>
          <w:lang w:eastAsia="pt-BR"/>
        </w:rPr>
      </w:pPr>
    </w:p>
    <w:p w14:paraId="5106C834" w14:textId="77777777" w:rsidR="00182FC3" w:rsidRPr="00B62F9D" w:rsidRDefault="00182FC3" w:rsidP="00182FC3">
      <w:pPr>
        <w:pStyle w:val="PargrafodaLista"/>
        <w:numPr>
          <w:ilvl w:val="0"/>
          <w:numId w:val="42"/>
        </w:numPr>
        <w:jc w:val="both"/>
        <w:rPr>
          <w:rFonts w:ascii="Arial" w:hAnsi="Arial" w:cs="Arial"/>
          <w:sz w:val="18"/>
          <w:szCs w:val="18"/>
        </w:rPr>
      </w:pPr>
      <w:r w:rsidRPr="00B62F9D">
        <w:rPr>
          <w:rFonts w:ascii="Arial" w:hAnsi="Arial" w:cs="Arial"/>
          <w:b/>
          <w:bCs/>
          <w:sz w:val="18"/>
          <w:szCs w:val="18"/>
        </w:rPr>
        <w:t>Guia de Previdência Valor/FGV 2021:</w:t>
      </w:r>
      <w:r w:rsidRPr="00B62F9D">
        <w:rPr>
          <w:rFonts w:ascii="Arial" w:hAnsi="Arial" w:cs="Arial"/>
          <w:sz w:val="18"/>
          <w:szCs w:val="18"/>
        </w:rPr>
        <w:t xml:space="preserve"> </w:t>
      </w:r>
      <w:r>
        <w:rPr>
          <w:rFonts w:ascii="Arial" w:hAnsi="Arial" w:cs="Arial"/>
          <w:sz w:val="18"/>
          <w:szCs w:val="18"/>
        </w:rPr>
        <w:t>a</w:t>
      </w:r>
      <w:r w:rsidRPr="00B62F9D">
        <w:rPr>
          <w:rFonts w:ascii="Arial" w:hAnsi="Arial" w:cs="Arial"/>
          <w:sz w:val="18"/>
          <w:szCs w:val="18"/>
        </w:rPr>
        <w:t xml:space="preserve"> Brasilprev foi reconhecida como a melhor empresa do setor em 4 categorias na edição especial do Guia de Previdência Valor/FGV 2021.  O estudo é realizado pelo jornal Valor Econômico em parceria com a Fundação Getúlio Vargas (FGV). (nov/2021). Abaixo todas as categorias:</w:t>
      </w:r>
    </w:p>
    <w:p w14:paraId="0C3B50A1" w14:textId="77777777" w:rsidR="00182FC3" w:rsidRPr="00B62F9D" w:rsidRDefault="00182FC3" w:rsidP="00182FC3">
      <w:pPr>
        <w:pStyle w:val="PargrafodaLista"/>
        <w:numPr>
          <w:ilvl w:val="1"/>
          <w:numId w:val="42"/>
        </w:numPr>
        <w:jc w:val="both"/>
        <w:rPr>
          <w:rFonts w:ascii="Arial" w:hAnsi="Arial" w:cs="Arial"/>
          <w:sz w:val="18"/>
          <w:szCs w:val="18"/>
        </w:rPr>
      </w:pPr>
      <w:r w:rsidRPr="00B62F9D">
        <w:rPr>
          <w:rFonts w:ascii="Arial" w:hAnsi="Arial" w:cs="Arial"/>
          <w:sz w:val="18"/>
          <w:szCs w:val="18"/>
        </w:rPr>
        <w:t>Melhor Gestora no período de 5 anos</w:t>
      </w:r>
    </w:p>
    <w:p w14:paraId="5A90ECE1" w14:textId="77777777" w:rsidR="00182FC3" w:rsidRPr="00B62F9D" w:rsidRDefault="00182FC3" w:rsidP="00182FC3">
      <w:pPr>
        <w:pStyle w:val="PargrafodaLista"/>
        <w:numPr>
          <w:ilvl w:val="1"/>
          <w:numId w:val="42"/>
        </w:numPr>
        <w:jc w:val="both"/>
        <w:rPr>
          <w:rFonts w:ascii="Arial" w:hAnsi="Arial" w:cs="Arial"/>
          <w:sz w:val="18"/>
          <w:szCs w:val="18"/>
        </w:rPr>
      </w:pPr>
      <w:r w:rsidRPr="00B62F9D">
        <w:rPr>
          <w:rFonts w:ascii="Arial" w:hAnsi="Arial" w:cs="Arial"/>
          <w:sz w:val="18"/>
          <w:szCs w:val="18"/>
        </w:rPr>
        <w:t>Melhor Gestora no período de 7 anos</w:t>
      </w:r>
    </w:p>
    <w:p w14:paraId="04DC5D04" w14:textId="77777777" w:rsidR="00182FC3" w:rsidRPr="00B62F9D" w:rsidRDefault="00182FC3" w:rsidP="00182FC3">
      <w:pPr>
        <w:pStyle w:val="PargrafodaLista"/>
        <w:numPr>
          <w:ilvl w:val="1"/>
          <w:numId w:val="42"/>
        </w:numPr>
        <w:jc w:val="both"/>
        <w:rPr>
          <w:rFonts w:ascii="Arial" w:hAnsi="Arial" w:cs="Arial"/>
          <w:sz w:val="18"/>
          <w:szCs w:val="18"/>
        </w:rPr>
      </w:pPr>
      <w:r w:rsidRPr="00B62F9D">
        <w:rPr>
          <w:rFonts w:ascii="Arial" w:hAnsi="Arial" w:cs="Arial"/>
          <w:sz w:val="18"/>
          <w:szCs w:val="18"/>
        </w:rPr>
        <w:t>Melhor Gestora Previdência Data-Alvo</w:t>
      </w:r>
    </w:p>
    <w:p w14:paraId="14E91DCD" w14:textId="77777777" w:rsidR="00182FC3" w:rsidRPr="00B62F9D" w:rsidRDefault="00182FC3" w:rsidP="00182FC3">
      <w:pPr>
        <w:pStyle w:val="PargrafodaLista"/>
        <w:numPr>
          <w:ilvl w:val="1"/>
          <w:numId w:val="42"/>
        </w:numPr>
        <w:jc w:val="both"/>
        <w:rPr>
          <w:rFonts w:ascii="Arial" w:hAnsi="Arial" w:cs="Arial"/>
          <w:sz w:val="18"/>
          <w:szCs w:val="18"/>
        </w:rPr>
      </w:pPr>
      <w:r w:rsidRPr="00B62F9D">
        <w:rPr>
          <w:rFonts w:ascii="Arial" w:hAnsi="Arial" w:cs="Arial"/>
          <w:sz w:val="18"/>
          <w:szCs w:val="18"/>
        </w:rPr>
        <w:t>Previdência Balanceados de 15-30</w:t>
      </w:r>
    </w:p>
    <w:p w14:paraId="4E28EF8E" w14:textId="77777777" w:rsidR="00182FC3" w:rsidRPr="00B62F9D" w:rsidRDefault="00182FC3" w:rsidP="00F86F99">
      <w:pPr>
        <w:pStyle w:val="PargrafodaLista"/>
        <w:ind w:left="1692"/>
        <w:jc w:val="both"/>
        <w:rPr>
          <w:rFonts w:ascii="Arial" w:hAnsi="Arial" w:cs="Arial"/>
          <w:sz w:val="18"/>
          <w:szCs w:val="18"/>
        </w:rPr>
      </w:pPr>
    </w:p>
    <w:p w14:paraId="137AE944" w14:textId="77777777" w:rsidR="00182FC3" w:rsidRPr="00B62F9D" w:rsidRDefault="00182FC3" w:rsidP="00182FC3">
      <w:pPr>
        <w:pStyle w:val="PargrafodaLista"/>
        <w:numPr>
          <w:ilvl w:val="0"/>
          <w:numId w:val="42"/>
        </w:numPr>
        <w:jc w:val="both"/>
        <w:rPr>
          <w:rFonts w:ascii="Arial" w:hAnsi="Arial" w:cs="Arial"/>
          <w:sz w:val="18"/>
          <w:szCs w:val="18"/>
        </w:rPr>
      </w:pPr>
      <w:r w:rsidRPr="00B62F9D">
        <w:rPr>
          <w:rFonts w:ascii="Arial" w:hAnsi="Arial" w:cs="Arial"/>
          <w:b/>
          <w:bCs/>
          <w:sz w:val="18"/>
          <w:szCs w:val="18"/>
        </w:rPr>
        <w:t>Empresas Mais do Estadão:</w:t>
      </w:r>
      <w:r w:rsidRPr="00B62F9D">
        <w:rPr>
          <w:rFonts w:ascii="Arial" w:hAnsi="Arial" w:cs="Arial"/>
          <w:sz w:val="18"/>
          <w:szCs w:val="18"/>
        </w:rPr>
        <w:t xml:space="preserve"> </w:t>
      </w:r>
      <w:r>
        <w:rPr>
          <w:rFonts w:ascii="Arial" w:hAnsi="Arial" w:cs="Arial"/>
          <w:sz w:val="18"/>
          <w:szCs w:val="18"/>
        </w:rPr>
        <w:t>p</w:t>
      </w:r>
      <w:r w:rsidRPr="00B62F9D">
        <w:rPr>
          <w:rFonts w:ascii="Arial" w:hAnsi="Arial" w:cs="Arial"/>
          <w:sz w:val="18"/>
          <w:szCs w:val="18"/>
        </w:rPr>
        <w:t xml:space="preserve">elo segundo ano consecutivo a Brasilprev foi a primeira colocada do segmento de </w:t>
      </w:r>
      <w:r>
        <w:rPr>
          <w:rFonts w:ascii="Arial" w:hAnsi="Arial" w:cs="Arial"/>
          <w:sz w:val="18"/>
          <w:szCs w:val="18"/>
        </w:rPr>
        <w:t>s</w:t>
      </w:r>
      <w:r w:rsidRPr="00B62F9D">
        <w:rPr>
          <w:rFonts w:ascii="Arial" w:hAnsi="Arial" w:cs="Arial"/>
          <w:sz w:val="18"/>
          <w:szCs w:val="18"/>
        </w:rPr>
        <w:t xml:space="preserve">eguradoras do </w:t>
      </w:r>
      <w:r>
        <w:rPr>
          <w:rFonts w:ascii="Arial" w:hAnsi="Arial" w:cs="Arial"/>
          <w:sz w:val="18"/>
          <w:szCs w:val="18"/>
        </w:rPr>
        <w:t>“</w:t>
      </w:r>
      <w:r w:rsidRPr="00B62F9D">
        <w:rPr>
          <w:rFonts w:ascii="Arial" w:hAnsi="Arial" w:cs="Arial"/>
          <w:sz w:val="18"/>
          <w:szCs w:val="18"/>
        </w:rPr>
        <w:t>Empresas Mais do Estadão</w:t>
      </w:r>
      <w:r>
        <w:rPr>
          <w:rFonts w:ascii="Arial" w:hAnsi="Arial" w:cs="Arial"/>
          <w:sz w:val="18"/>
          <w:szCs w:val="18"/>
        </w:rPr>
        <w:t>”</w:t>
      </w:r>
      <w:r w:rsidRPr="00B62F9D">
        <w:rPr>
          <w:rFonts w:ascii="Arial" w:hAnsi="Arial" w:cs="Arial"/>
          <w:sz w:val="18"/>
          <w:szCs w:val="18"/>
        </w:rPr>
        <w:t xml:space="preserve">, premiação que avalia os critérios econômicos e a atuação de cada empresa nas áreas de Governança Corporativa e Inovação, apontando as empresas com melhor gestão e resultados do </w:t>
      </w:r>
      <w:r>
        <w:rPr>
          <w:rFonts w:ascii="Arial" w:hAnsi="Arial" w:cs="Arial"/>
          <w:sz w:val="18"/>
          <w:szCs w:val="18"/>
        </w:rPr>
        <w:t>p</w:t>
      </w:r>
      <w:r w:rsidRPr="00B62F9D">
        <w:rPr>
          <w:rFonts w:ascii="Arial" w:hAnsi="Arial" w:cs="Arial"/>
          <w:sz w:val="18"/>
          <w:szCs w:val="18"/>
        </w:rPr>
        <w:t>aís. O ranking é criado pelo Estadão e conta com os parceiros Fia e Austin Rating. (nov/2021).</w:t>
      </w:r>
    </w:p>
    <w:p w14:paraId="372A4DBF" w14:textId="77777777" w:rsidR="00182FC3" w:rsidRPr="00783390" w:rsidRDefault="00182FC3" w:rsidP="000838E1">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Brasilcap</w:t>
      </w:r>
    </w:p>
    <w:p w14:paraId="6CF57B84" w14:textId="77777777" w:rsidR="00182FC3" w:rsidRPr="00985AC5" w:rsidRDefault="00182FC3" w:rsidP="00C81A16">
      <w:pPr>
        <w:pStyle w:val="PargrafodaLista"/>
        <w:spacing w:after="0" w:line="240" w:lineRule="auto"/>
        <w:jc w:val="both"/>
        <w:rPr>
          <w:rFonts w:ascii="Arial" w:hAnsi="Arial" w:cs="Arial"/>
          <w:b/>
          <w:bCs/>
          <w:sz w:val="18"/>
          <w:szCs w:val="18"/>
          <w:highlight w:val="yellow"/>
        </w:rPr>
      </w:pPr>
    </w:p>
    <w:p w14:paraId="20905CB5" w14:textId="77777777" w:rsidR="00182FC3" w:rsidRDefault="00182FC3" w:rsidP="00182FC3">
      <w:pPr>
        <w:pStyle w:val="PargrafodaLista"/>
        <w:numPr>
          <w:ilvl w:val="0"/>
          <w:numId w:val="39"/>
        </w:numPr>
        <w:spacing w:after="0"/>
        <w:ind w:left="714" w:hanging="357"/>
        <w:jc w:val="both"/>
        <w:rPr>
          <w:rFonts w:ascii="Arial" w:hAnsi="Arial" w:cs="Arial"/>
          <w:sz w:val="18"/>
          <w:szCs w:val="18"/>
        </w:rPr>
      </w:pPr>
      <w:r>
        <w:rPr>
          <w:rFonts w:ascii="Arial" w:hAnsi="Arial" w:cs="Arial"/>
          <w:b/>
          <w:bCs/>
          <w:sz w:val="18"/>
          <w:szCs w:val="18"/>
        </w:rPr>
        <w:t>Certificado de Empresa Cidadã:</w:t>
      </w:r>
      <w:r>
        <w:rPr>
          <w:rFonts w:ascii="Arial" w:hAnsi="Arial" w:cs="Arial"/>
          <w:sz w:val="18"/>
          <w:szCs w:val="18"/>
        </w:rPr>
        <w:t xml:space="preserve"> pelo décimo primeiro ano consecutivo, a Brasilcap conquistou o Certificado de Empresa Cidadã. Em sua 19ª edição, a iniciativa do Conselho Regional de Contabilidade do Rio de Janeiro (CRCRJ) visa incentivar a excelência na qualidade das informações contábeis e socioambientais, publicadas nos relatórios anuais de empresas de todos os portes e segmentos do país; </w:t>
      </w:r>
    </w:p>
    <w:p w14:paraId="5D415901" w14:textId="77777777" w:rsidR="00182FC3" w:rsidRDefault="00182FC3" w:rsidP="00F86F99">
      <w:pPr>
        <w:spacing w:after="0"/>
        <w:ind w:left="714" w:hanging="357"/>
        <w:jc w:val="both"/>
        <w:rPr>
          <w:rFonts w:cs="Arial"/>
          <w:b/>
          <w:bCs/>
          <w:szCs w:val="18"/>
        </w:rPr>
      </w:pPr>
    </w:p>
    <w:p w14:paraId="2F005F9E" w14:textId="77777777" w:rsidR="00182FC3" w:rsidRDefault="00182FC3" w:rsidP="00182FC3">
      <w:pPr>
        <w:pStyle w:val="PargrafodaLista"/>
        <w:numPr>
          <w:ilvl w:val="0"/>
          <w:numId w:val="39"/>
        </w:numPr>
        <w:spacing w:after="0"/>
        <w:ind w:left="709" w:hanging="357"/>
        <w:jc w:val="both"/>
        <w:rPr>
          <w:rFonts w:ascii="Arial" w:hAnsi="Arial" w:cs="Arial"/>
          <w:sz w:val="18"/>
          <w:szCs w:val="18"/>
        </w:rPr>
      </w:pPr>
      <w:r>
        <w:rPr>
          <w:rFonts w:ascii="Arial" w:hAnsi="Arial" w:cs="Arial"/>
          <w:b/>
          <w:bCs/>
          <w:sz w:val="18"/>
          <w:szCs w:val="18"/>
        </w:rPr>
        <w:t xml:space="preserve">Prêmio Consumidor Moderno: </w:t>
      </w:r>
      <w:r>
        <w:rPr>
          <w:rFonts w:ascii="Arial" w:hAnsi="Arial" w:cs="Arial"/>
          <w:sz w:val="18"/>
          <w:szCs w:val="18"/>
        </w:rPr>
        <w:t>a Brasilcap foi a vencedora, pelo segundo ano consecutivo, da 22ª edição do "</w:t>
      </w:r>
      <w:r>
        <w:rPr>
          <w:rFonts w:ascii="Tahoma" w:hAnsi="Tahoma" w:cs="Tahoma"/>
          <w:sz w:val="18"/>
          <w:szCs w:val="18"/>
        </w:rPr>
        <w:t>﻿﻿</w:t>
      </w:r>
      <w:r>
        <w:rPr>
          <w:rFonts w:ascii="Arial" w:hAnsi="Arial" w:cs="Arial"/>
          <w:sz w:val="18"/>
          <w:szCs w:val="18"/>
        </w:rPr>
        <w:t>Prêmio Consumidor Moderno de Excelência em Serviços ao Cliente"</w:t>
      </w:r>
      <w:r>
        <w:rPr>
          <w:rFonts w:ascii="Tahoma" w:hAnsi="Tahoma" w:cs="Tahoma"/>
          <w:sz w:val="18"/>
          <w:szCs w:val="18"/>
        </w:rPr>
        <w:t>﻿</w:t>
      </w:r>
      <w:r>
        <w:rPr>
          <w:rFonts w:ascii="Arial" w:hAnsi="Arial" w:cs="Arial"/>
          <w:sz w:val="18"/>
          <w:szCs w:val="18"/>
        </w:rPr>
        <w:t>, no segmento Previdência e Capitalização. O Prêmio é uma iniciativa da Revista Consumidor Moderno, em parceria com o Centro de Inteligência Padrão (CIP) e com a OnYou. O processo de análise envolveu três fases, com abordagens distintas, que garantiram a avaliação de diferentes aspectos do atendimento prestado pela Companhia. Este prêmio é referendado como o "</w:t>
      </w:r>
      <w:r>
        <w:rPr>
          <w:rFonts w:ascii="Tahoma" w:hAnsi="Tahoma" w:cs="Tahoma"/>
          <w:sz w:val="18"/>
          <w:szCs w:val="18"/>
        </w:rPr>
        <w:t>﻿</w:t>
      </w:r>
      <w:r>
        <w:rPr>
          <w:rFonts w:ascii="Arial" w:hAnsi="Arial" w:cs="Arial"/>
          <w:sz w:val="18"/>
          <w:szCs w:val="18"/>
        </w:rPr>
        <w:t>Oscar"</w:t>
      </w:r>
      <w:r>
        <w:rPr>
          <w:rFonts w:ascii="Tahoma" w:hAnsi="Tahoma" w:cs="Tahoma"/>
          <w:sz w:val="18"/>
          <w:szCs w:val="18"/>
        </w:rPr>
        <w:t>﻿</w:t>
      </w:r>
      <w:r>
        <w:rPr>
          <w:rFonts w:ascii="Arial" w:hAnsi="Arial" w:cs="Arial"/>
          <w:sz w:val="18"/>
          <w:szCs w:val="18"/>
        </w:rPr>
        <w:t> brasileiro para a excelência corporativa na gestão de clientes e consumidores.</w:t>
      </w:r>
    </w:p>
    <w:p w14:paraId="3C610B96" w14:textId="77777777" w:rsidR="00182FC3" w:rsidRDefault="00182FC3" w:rsidP="00F86F99">
      <w:pPr>
        <w:pStyle w:val="PargrafodaLista"/>
        <w:rPr>
          <w:rFonts w:ascii="Arial" w:hAnsi="Arial" w:cs="Arial"/>
          <w:sz w:val="18"/>
          <w:szCs w:val="18"/>
        </w:rPr>
      </w:pPr>
    </w:p>
    <w:p w14:paraId="72065580" w14:textId="77777777" w:rsidR="00182FC3" w:rsidRDefault="00182FC3" w:rsidP="00182FC3">
      <w:pPr>
        <w:pStyle w:val="PargrafodaLista"/>
        <w:numPr>
          <w:ilvl w:val="0"/>
          <w:numId w:val="39"/>
        </w:numPr>
        <w:spacing w:after="150"/>
        <w:ind w:left="714" w:hanging="357"/>
        <w:jc w:val="both"/>
        <w:rPr>
          <w:rFonts w:ascii="Arial" w:hAnsi="Arial" w:cs="Arial"/>
          <w:sz w:val="18"/>
          <w:szCs w:val="18"/>
        </w:rPr>
      </w:pPr>
      <w:r>
        <w:rPr>
          <w:rFonts w:ascii="Arial" w:hAnsi="Arial" w:cs="Arial"/>
          <w:b/>
          <w:bCs/>
          <w:sz w:val="18"/>
          <w:szCs w:val="18"/>
        </w:rPr>
        <w:t xml:space="preserve">Empresas Mais: </w:t>
      </w:r>
      <w:r>
        <w:rPr>
          <w:rFonts w:ascii="Arial" w:hAnsi="Arial" w:cs="Arial"/>
          <w:sz w:val="18"/>
          <w:szCs w:val="18"/>
        </w:rPr>
        <w:t>a Brasilcap ficou entre as três melhores na categoria “Serviços Financeiros – Capitalização” do prêmio Empresas Mais, realizado pelo jornal O Estado de São Paulo. O prêmio tem como objetivo valorizar as melhores práticas de inovação e governança. Este é o quinto ano consecutivo que a Brasilcap recebe esta premiação.</w:t>
      </w:r>
    </w:p>
    <w:p w14:paraId="780B11CC" w14:textId="77777777" w:rsidR="00182FC3" w:rsidRDefault="00182FC3">
      <w:pPr>
        <w:rPr>
          <w:rFonts w:cs="Arial"/>
          <w:sz w:val="22"/>
        </w:rPr>
      </w:pPr>
      <w:r>
        <w:rPr>
          <w:rFonts w:cs="Arial"/>
          <w:sz w:val="22"/>
        </w:rPr>
        <w:br w:type="page"/>
      </w:r>
    </w:p>
    <w:p w14:paraId="5BB6BA84" w14:textId="77777777" w:rsidR="00182FC3" w:rsidRDefault="00182FC3" w:rsidP="00182FC3">
      <w:pPr>
        <w:pStyle w:val="01-TtulodeNota"/>
        <w:numPr>
          <w:ilvl w:val="0"/>
          <w:numId w:val="40"/>
        </w:numPr>
        <w:ind w:left="357" w:hanging="357"/>
        <w:rPr>
          <w:color w:val="1F4E79" w:themeColor="accent1" w:themeShade="80"/>
        </w:rPr>
      </w:pPr>
      <w:r>
        <w:rPr>
          <w:color w:val="1F4E79" w:themeColor="accent1" w:themeShade="80"/>
        </w:rPr>
        <w:lastRenderedPageBreak/>
        <w:t>INFORMAÇÕES LEGAIS</w:t>
      </w:r>
    </w:p>
    <w:p w14:paraId="0C1E3A17" w14:textId="77777777" w:rsidR="00182FC3" w:rsidRDefault="00182FC3" w:rsidP="00C81A16">
      <w:pPr>
        <w:pStyle w:val="01-Textonormal"/>
      </w:pPr>
    </w:p>
    <w:p w14:paraId="7EA7398D" w14:textId="77777777" w:rsidR="00182FC3" w:rsidRPr="00DB0FF9" w:rsidRDefault="00182FC3" w:rsidP="00C81A16">
      <w:pPr>
        <w:pStyle w:val="05-Textonormal"/>
        <w:rPr>
          <w:rFonts w:cs="Arial"/>
        </w:rPr>
      </w:pPr>
      <w:r w:rsidRPr="00DB0FF9">
        <w:rPr>
          <w:rFonts w:cs="Arial"/>
        </w:rPr>
        <w:t>No encerramento do exercício de 2021, a BB Seguridade não registrou endividamento financeiro em suas demonstrações financeiras. A fonte de obtenção de recursos era constituída por capital próprio</w:t>
      </w:r>
      <w:r>
        <w:rPr>
          <w:rFonts w:cs="Arial"/>
        </w:rPr>
        <w:t>.</w:t>
      </w:r>
    </w:p>
    <w:p w14:paraId="7057D513" w14:textId="77777777" w:rsidR="00182FC3" w:rsidRPr="00DB0FF9" w:rsidRDefault="00182FC3" w:rsidP="00C81A16">
      <w:pPr>
        <w:pStyle w:val="05-Textonormal"/>
        <w:rPr>
          <w:rFonts w:cs="Arial"/>
        </w:rPr>
      </w:pPr>
      <w:r w:rsidRPr="00DB0FF9">
        <w:rPr>
          <w:rFonts w:cs="Arial"/>
        </w:rPr>
        <w:t>Os investimentos de suas companhias investidas seguirão seu fluxo normal de execução, de acordo com planos individuais estruturados por cada empresa.</w:t>
      </w:r>
    </w:p>
    <w:p w14:paraId="749627AB" w14:textId="77777777" w:rsidR="00182FC3" w:rsidRPr="00DB0FF9" w:rsidRDefault="00182FC3" w:rsidP="00C81A16">
      <w:pPr>
        <w:pStyle w:val="05-Textonormal"/>
        <w:rPr>
          <w:rFonts w:cs="Arial"/>
        </w:rPr>
      </w:pPr>
      <w:r w:rsidRPr="00DB0FF9">
        <w:rPr>
          <w:rFonts w:cs="Arial"/>
        </w:rPr>
        <w:t>Em consonância com a Instrução CVM nº 381/03, informamos que durante o exercício de 2021 a BB Seguridade utilizou os serviços de auditoria independente da Deloitte Touche Tohmatsu Auditores Independentes (“Deloitte”), por meio de contrato firmado pelo seu controlador, o Banco do Brasil S.A.</w:t>
      </w:r>
    </w:p>
    <w:p w14:paraId="3F7CCF5F" w14:textId="77777777" w:rsidR="00182FC3" w:rsidRPr="00DB0FF9" w:rsidRDefault="00182FC3" w:rsidP="00C81A16">
      <w:pPr>
        <w:pStyle w:val="05-Textonormal"/>
        <w:rPr>
          <w:rFonts w:cs="Arial"/>
        </w:rPr>
      </w:pPr>
      <w:r w:rsidRPr="00DB0FF9">
        <w:rPr>
          <w:rFonts w:cs="Arial"/>
        </w:rPr>
        <w:t xml:space="preserve">Ainda, a BB Seguridade e suas subsidiárias informam que a Deloitte Touche Tohmatsu Auditores Independente não prestou, em 2021, serviços que pudessem afetar sua independência em relação aos trabalhos de auditoria, comprovada por meio de Carta de Independência apresentada à BB Seguridade. </w:t>
      </w:r>
    </w:p>
    <w:p w14:paraId="322C39EB" w14:textId="77777777" w:rsidR="00182FC3" w:rsidRPr="00DB0FF9" w:rsidRDefault="00182FC3" w:rsidP="00C81A16">
      <w:pPr>
        <w:pStyle w:val="05-Textonormal"/>
        <w:rPr>
          <w:rFonts w:cs="Arial"/>
        </w:rPr>
      </w:pPr>
      <w:r w:rsidRPr="00DB0FF9">
        <w:rPr>
          <w:rFonts w:cs="Arial"/>
        </w:rPr>
        <w:t>Na contratação de serviços não relacionados à auditoria externa, a BB Seguridade adota procedimentos que se fundamentam na legislação aplicável e nos princípios internacionalmente aceitos que preservam a independência do auditor. Esses princípios consistem em: (i) o auditor não deve auditar o seu próprio trabalho; e (ii) o auditor não deve atuar gerencialmente perante seu cliente, nem tampouco promover os interesses dele.</w:t>
      </w:r>
    </w:p>
    <w:p w14:paraId="65B6AE02" w14:textId="77777777" w:rsidR="00182FC3" w:rsidRPr="00DB0FF9" w:rsidRDefault="00182FC3" w:rsidP="00C81A16">
      <w:pPr>
        <w:pStyle w:val="05-Textonormal"/>
        <w:rPr>
          <w:rFonts w:cs="Arial"/>
        </w:rPr>
      </w:pPr>
      <w:r w:rsidRPr="00DB0FF9">
        <w:rPr>
          <w:rFonts w:cs="Arial"/>
        </w:rPr>
        <w:t>A tabela abaixo apresenta a relação de contratos de prestação de serviços que estiveram vigentes durante o ano de 2021 entre a Deloitte e as empresas investidas e controladora da BB Seguridade:</w:t>
      </w:r>
    </w:p>
    <w:tbl>
      <w:tblPr>
        <w:tblStyle w:val="TabeladeLista6Colorida-nfase5"/>
        <w:tblW w:w="9638" w:type="dxa"/>
        <w:shd w:val="clear" w:color="auto" w:fill="FFFFFF" w:themeFill="background1"/>
        <w:tblLook w:val="04A0" w:firstRow="1" w:lastRow="0" w:firstColumn="1" w:lastColumn="0" w:noHBand="0" w:noVBand="1"/>
      </w:tblPr>
      <w:tblGrid>
        <w:gridCol w:w="1954"/>
        <w:gridCol w:w="1700"/>
        <w:gridCol w:w="1700"/>
        <w:gridCol w:w="2176"/>
        <w:gridCol w:w="2108"/>
      </w:tblGrid>
      <w:tr w:rsidR="00182FC3" w:rsidRPr="000A0843" w14:paraId="56D19216" w14:textId="77777777" w:rsidTr="00103B58">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2" w:space="0" w:color="1F4E79" w:themeColor="accent1" w:themeShade="80"/>
              <w:left w:val="nil"/>
              <w:bottom w:val="single" w:sz="2" w:space="0" w:color="8EAADB" w:themeColor="accent5" w:themeTint="99"/>
              <w:right w:val="nil"/>
            </w:tcBorders>
            <w:shd w:val="clear" w:color="auto" w:fill="FFFFFF" w:themeFill="background1"/>
            <w:vAlign w:val="center"/>
            <w:hideMark/>
          </w:tcPr>
          <w:p w14:paraId="2C3E6110" w14:textId="77777777" w:rsidR="00182FC3" w:rsidRPr="00DE647D" w:rsidRDefault="00182FC3">
            <w:pPr>
              <w:pStyle w:val="08-Tabelageral"/>
              <w:jc w:val="center"/>
              <w:rPr>
                <w:rFonts w:cs="Arial"/>
                <w:szCs w:val="14"/>
                <w:lang w:eastAsia="en-US"/>
              </w:rPr>
            </w:pPr>
            <w:r w:rsidRPr="00DE647D">
              <w:rPr>
                <w:rFonts w:cs="Arial"/>
                <w:bCs w:val="0"/>
                <w:szCs w:val="14"/>
                <w:lang w:eastAsia="en-US"/>
              </w:rPr>
              <w:t>Contratante</w:t>
            </w:r>
          </w:p>
        </w:tc>
        <w:tc>
          <w:tcPr>
            <w:tcW w:w="0" w:type="dxa"/>
            <w:gridSpan w:val="2"/>
            <w:tcBorders>
              <w:top w:val="single" w:sz="2" w:space="0" w:color="1F4E79" w:themeColor="accent1" w:themeShade="80"/>
              <w:left w:val="nil"/>
              <w:bottom w:val="nil"/>
              <w:right w:val="nil"/>
            </w:tcBorders>
            <w:shd w:val="clear" w:color="auto" w:fill="FFFFFF" w:themeFill="background1"/>
            <w:vAlign w:val="center"/>
            <w:hideMark/>
          </w:tcPr>
          <w:p w14:paraId="701E7096" w14:textId="77777777" w:rsidR="00182FC3" w:rsidRPr="00DE647D" w:rsidRDefault="00182FC3">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Datas do Contrato</w:t>
            </w:r>
          </w:p>
        </w:tc>
        <w:tc>
          <w:tcPr>
            <w:tcW w:w="0" w:type="dxa"/>
            <w:vMerge w:val="restart"/>
            <w:tcBorders>
              <w:top w:val="single" w:sz="2" w:space="0" w:color="1F4E79" w:themeColor="accent1" w:themeShade="80"/>
              <w:left w:val="nil"/>
              <w:bottom w:val="single" w:sz="2" w:space="0" w:color="8EAADB" w:themeColor="accent5" w:themeTint="99"/>
              <w:right w:val="nil"/>
            </w:tcBorders>
            <w:shd w:val="clear" w:color="auto" w:fill="FFFFFF" w:themeFill="background1"/>
            <w:vAlign w:val="center"/>
            <w:hideMark/>
          </w:tcPr>
          <w:p w14:paraId="5AD21929" w14:textId="77777777" w:rsidR="00182FC3" w:rsidRPr="00DE647D" w:rsidRDefault="00182FC3">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Natureza do Serviço</w:t>
            </w:r>
          </w:p>
        </w:tc>
        <w:tc>
          <w:tcPr>
            <w:tcW w:w="0" w:type="dxa"/>
            <w:vMerge w:val="restart"/>
            <w:tcBorders>
              <w:top w:val="single" w:sz="2" w:space="0" w:color="1F4E79" w:themeColor="accent1" w:themeShade="80"/>
              <w:left w:val="nil"/>
              <w:bottom w:val="single" w:sz="2" w:space="0" w:color="8EAADB" w:themeColor="accent5" w:themeTint="99"/>
              <w:right w:val="nil"/>
            </w:tcBorders>
            <w:shd w:val="clear" w:color="auto" w:fill="FFFFFF" w:themeFill="background1"/>
            <w:vAlign w:val="center"/>
            <w:hideMark/>
          </w:tcPr>
          <w:p w14:paraId="491C1EAC" w14:textId="77777777" w:rsidR="00182FC3" w:rsidRPr="00DE647D" w:rsidRDefault="00182FC3">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Valor total dos honorários (R$)</w:t>
            </w:r>
          </w:p>
        </w:tc>
      </w:tr>
      <w:tr w:rsidR="00182FC3" w:rsidRPr="000A0843" w14:paraId="4C456E9A" w14:textId="77777777" w:rsidTr="00103B58">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8EAADB" w:themeColor="accent5" w:themeTint="99"/>
              <w:left w:val="nil"/>
              <w:bottom w:val="single" w:sz="2" w:space="0" w:color="1F4E79" w:themeColor="accent1" w:themeShade="80"/>
              <w:right w:val="nil"/>
            </w:tcBorders>
            <w:shd w:val="clear" w:color="auto" w:fill="FFFFFF" w:themeFill="background1"/>
            <w:vAlign w:val="center"/>
            <w:hideMark/>
          </w:tcPr>
          <w:p w14:paraId="40DE3B85" w14:textId="77777777" w:rsidR="00182FC3" w:rsidRPr="00DE647D" w:rsidRDefault="00182FC3">
            <w:pPr>
              <w:rPr>
                <w:rFonts w:eastAsia="Times New Roman" w:cs="Arial"/>
                <w:spacing w:val="-2"/>
                <w:sz w:val="14"/>
                <w:szCs w:val="14"/>
              </w:rPr>
            </w:pPr>
          </w:p>
        </w:tc>
        <w:tc>
          <w:tcPr>
            <w:tcW w:w="0" w:type="dxa"/>
            <w:tcBorders>
              <w:top w:val="nil"/>
              <w:left w:val="nil"/>
              <w:bottom w:val="single" w:sz="2" w:space="0" w:color="1F4E79" w:themeColor="accent1" w:themeShade="80"/>
              <w:right w:val="nil"/>
            </w:tcBorders>
            <w:shd w:val="clear" w:color="auto" w:fill="FFFFFF" w:themeFill="background1"/>
            <w:hideMark/>
          </w:tcPr>
          <w:p w14:paraId="289E3BE1"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DE647D">
              <w:rPr>
                <w:rFonts w:cs="Arial"/>
                <w:b/>
                <w:szCs w:val="14"/>
                <w:lang w:eastAsia="en-US"/>
              </w:rPr>
              <w:t>Início</w:t>
            </w:r>
          </w:p>
        </w:tc>
        <w:tc>
          <w:tcPr>
            <w:tcW w:w="0" w:type="dxa"/>
            <w:tcBorders>
              <w:top w:val="nil"/>
              <w:left w:val="nil"/>
              <w:bottom w:val="single" w:sz="2" w:space="0" w:color="1F4E79" w:themeColor="accent1" w:themeShade="80"/>
              <w:right w:val="nil"/>
            </w:tcBorders>
            <w:shd w:val="clear" w:color="auto" w:fill="FFFFFF" w:themeFill="background1"/>
            <w:hideMark/>
          </w:tcPr>
          <w:p w14:paraId="596BE30E" w14:textId="77777777" w:rsidR="00182FC3" w:rsidRPr="00DE647D" w:rsidRDefault="00182FC3">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DE647D">
              <w:rPr>
                <w:rFonts w:cs="Arial"/>
                <w:b/>
                <w:szCs w:val="14"/>
                <w:lang w:eastAsia="en-US"/>
              </w:rPr>
              <w:t>Fim</w:t>
            </w: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FFFFFF" w:themeFill="background1"/>
            <w:vAlign w:val="center"/>
            <w:hideMark/>
          </w:tcPr>
          <w:p w14:paraId="1AF27265" w14:textId="77777777" w:rsidR="00182FC3" w:rsidRPr="00DE647D" w:rsidRDefault="00182FC3">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FFFFFF" w:themeFill="background1"/>
            <w:vAlign w:val="center"/>
            <w:hideMark/>
          </w:tcPr>
          <w:p w14:paraId="621B4C27" w14:textId="77777777" w:rsidR="00182FC3" w:rsidRPr="00DE647D" w:rsidRDefault="00182FC3">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p>
        </w:tc>
      </w:tr>
      <w:tr w:rsidR="003E5CAD" w:rsidRPr="000A0843" w14:paraId="34BB21E0" w14:textId="77777777" w:rsidTr="003E5CAD">
        <w:trPr>
          <w:trHeight w:hRule="exact" w:val="976"/>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1F4E79" w:themeColor="accent1" w:themeShade="80"/>
              <w:left w:val="nil"/>
              <w:bottom w:val="nil"/>
              <w:right w:val="nil"/>
            </w:tcBorders>
            <w:shd w:val="clear" w:color="auto" w:fill="FFFFFF" w:themeFill="background1"/>
            <w:vAlign w:val="center"/>
            <w:hideMark/>
          </w:tcPr>
          <w:p w14:paraId="1EB0DC25" w14:textId="77777777" w:rsidR="00182FC3" w:rsidRPr="00DE647D" w:rsidRDefault="00182FC3">
            <w:pPr>
              <w:pStyle w:val="08-Tabelageral"/>
              <w:jc w:val="left"/>
              <w:rPr>
                <w:rFonts w:cs="Arial"/>
                <w:b w:val="0"/>
                <w:snapToGrid w:val="0"/>
                <w:szCs w:val="14"/>
                <w:lang w:eastAsia="en-US"/>
              </w:rPr>
            </w:pPr>
            <w:r w:rsidRPr="00DE647D">
              <w:rPr>
                <w:rFonts w:cs="Arial"/>
                <w:b w:val="0"/>
                <w:szCs w:val="14"/>
                <w:lang w:eastAsia="en-US"/>
              </w:rPr>
              <w:t>Banco do Brasil S.A.</w:t>
            </w:r>
          </w:p>
        </w:tc>
        <w:tc>
          <w:tcPr>
            <w:tcW w:w="0" w:type="dxa"/>
            <w:tcBorders>
              <w:top w:val="single" w:sz="2" w:space="0" w:color="1F4E79" w:themeColor="accent1" w:themeShade="80"/>
              <w:left w:val="nil"/>
              <w:bottom w:val="nil"/>
              <w:right w:val="nil"/>
            </w:tcBorders>
            <w:shd w:val="clear" w:color="auto" w:fill="FFFFFF" w:themeFill="background1"/>
            <w:vAlign w:val="center"/>
            <w:hideMark/>
          </w:tcPr>
          <w:p w14:paraId="01FA34E3" w14:textId="77777777" w:rsidR="00182FC3" w:rsidRPr="00DE647D"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22/03/2019</w:t>
            </w:r>
          </w:p>
        </w:tc>
        <w:tc>
          <w:tcPr>
            <w:tcW w:w="0" w:type="dxa"/>
            <w:tcBorders>
              <w:top w:val="single" w:sz="2" w:space="0" w:color="1F4E79" w:themeColor="accent1" w:themeShade="80"/>
              <w:left w:val="nil"/>
              <w:bottom w:val="nil"/>
              <w:right w:val="nil"/>
            </w:tcBorders>
            <w:shd w:val="clear" w:color="auto" w:fill="FFFFFF" w:themeFill="background1"/>
            <w:vAlign w:val="center"/>
            <w:hideMark/>
          </w:tcPr>
          <w:p w14:paraId="76CB99D7" w14:textId="77777777" w:rsidR="00182FC3" w:rsidRPr="00DE647D"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22/03/2022</w:t>
            </w:r>
          </w:p>
        </w:tc>
        <w:tc>
          <w:tcPr>
            <w:tcW w:w="0" w:type="dxa"/>
            <w:tcBorders>
              <w:top w:val="single" w:sz="2" w:space="0" w:color="1F4E79" w:themeColor="accent1" w:themeShade="80"/>
              <w:left w:val="nil"/>
              <w:bottom w:val="nil"/>
              <w:right w:val="nil"/>
            </w:tcBorders>
            <w:shd w:val="clear" w:color="auto" w:fill="FFFFFF" w:themeFill="background1"/>
            <w:vAlign w:val="center"/>
            <w:hideMark/>
          </w:tcPr>
          <w:p w14:paraId="7BD9C1D8" w14:textId="77777777" w:rsidR="00182FC3" w:rsidRPr="00DE647D"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Serviços de auditoria contábil sobre as demonstrações contábeis do Conglomerado Banco do Brasil, elaboradas de acordo com as práticas contábeis adotadas no Brasil e com as normas internacionais de contabilidade (IFRS) e de outros serviços correlatos</w:t>
            </w:r>
          </w:p>
        </w:tc>
        <w:tc>
          <w:tcPr>
            <w:tcW w:w="0" w:type="dxa"/>
            <w:tcBorders>
              <w:top w:val="single" w:sz="2" w:space="0" w:color="1F4E79" w:themeColor="accent1" w:themeShade="80"/>
              <w:left w:val="nil"/>
              <w:bottom w:val="nil"/>
              <w:right w:val="nil"/>
            </w:tcBorders>
            <w:shd w:val="clear" w:color="auto" w:fill="FFFFFF" w:themeFill="background1"/>
            <w:vAlign w:val="center"/>
            <w:hideMark/>
          </w:tcPr>
          <w:p w14:paraId="6BEE6C3C" w14:textId="77777777" w:rsidR="00182FC3" w:rsidRPr="00DE647D" w:rsidRDefault="00182FC3">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DE647D">
              <w:rPr>
                <w:rFonts w:cs="Arial"/>
                <w:sz w:val="14"/>
                <w:szCs w:val="14"/>
              </w:rPr>
              <w:t>18.182.758,13</w:t>
            </w:r>
          </w:p>
        </w:tc>
      </w:tr>
      <w:tr w:rsidR="00182FC3" w:rsidRPr="00DE647D" w14:paraId="0B88437F" w14:textId="77777777" w:rsidTr="003E5CAD">
        <w:trPr>
          <w:cnfStyle w:val="000000100000" w:firstRow="0" w:lastRow="0" w:firstColumn="0" w:lastColumn="0" w:oddVBand="0" w:evenVBand="0" w:oddHBand="1" w:evenHBand="0" w:firstRowFirstColumn="0" w:firstRowLastColumn="0" w:lastRowFirstColumn="0" w:lastRowLastColumn="0"/>
          <w:trHeight w:hRule="exact" w:val="456"/>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vAlign w:val="center"/>
            <w:hideMark/>
          </w:tcPr>
          <w:p w14:paraId="0A0F4D65" w14:textId="77777777" w:rsidR="00182FC3" w:rsidRPr="00DE647D" w:rsidRDefault="00182FC3">
            <w:pPr>
              <w:pStyle w:val="08-Tabelageral"/>
              <w:jc w:val="left"/>
              <w:rPr>
                <w:rFonts w:cs="Arial"/>
                <w:b w:val="0"/>
                <w:snapToGrid w:val="0"/>
                <w:szCs w:val="14"/>
                <w:lang w:eastAsia="en-US"/>
              </w:rPr>
            </w:pPr>
            <w:r w:rsidRPr="00DE647D">
              <w:rPr>
                <w:rFonts w:cs="Arial"/>
                <w:b w:val="0"/>
                <w:szCs w:val="14"/>
                <w:lang w:eastAsia="en-US"/>
              </w:rPr>
              <w:t>Brasilcap Capitalização S.A.</w:t>
            </w:r>
          </w:p>
        </w:tc>
        <w:tc>
          <w:tcPr>
            <w:tcW w:w="0" w:type="dxa"/>
            <w:tcBorders>
              <w:top w:val="nil"/>
              <w:left w:val="nil"/>
              <w:bottom w:val="nil"/>
              <w:right w:val="nil"/>
            </w:tcBorders>
            <w:shd w:val="clear" w:color="auto" w:fill="FFFFFF" w:themeFill="background1"/>
            <w:vAlign w:val="center"/>
            <w:hideMark/>
          </w:tcPr>
          <w:p w14:paraId="0818C5F4"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26/04/2021</w:t>
            </w:r>
          </w:p>
        </w:tc>
        <w:tc>
          <w:tcPr>
            <w:tcW w:w="0" w:type="dxa"/>
            <w:tcBorders>
              <w:top w:val="nil"/>
              <w:left w:val="nil"/>
              <w:bottom w:val="nil"/>
              <w:right w:val="nil"/>
            </w:tcBorders>
            <w:shd w:val="clear" w:color="auto" w:fill="FFFFFF" w:themeFill="background1"/>
            <w:vAlign w:val="center"/>
            <w:hideMark/>
          </w:tcPr>
          <w:p w14:paraId="396EE633"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25/04/2023</w:t>
            </w:r>
          </w:p>
        </w:tc>
        <w:tc>
          <w:tcPr>
            <w:tcW w:w="0" w:type="dxa"/>
            <w:tcBorders>
              <w:top w:val="nil"/>
              <w:left w:val="nil"/>
              <w:bottom w:val="nil"/>
              <w:right w:val="nil"/>
            </w:tcBorders>
            <w:shd w:val="clear" w:color="auto" w:fill="FFFFFF" w:themeFill="background1"/>
            <w:vAlign w:val="center"/>
            <w:hideMark/>
          </w:tcPr>
          <w:p w14:paraId="6E821415"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sidRPr="00DE647D">
              <w:rPr>
                <w:rFonts w:cs="Arial"/>
                <w:color w:val="000000"/>
                <w:szCs w:val="14"/>
                <w:lang w:eastAsia="en-US"/>
              </w:rPr>
              <w:t>Auditoria contábil sobre as demonstrações financeiras do exercício de 2021 e 2022</w:t>
            </w:r>
          </w:p>
        </w:tc>
        <w:tc>
          <w:tcPr>
            <w:tcW w:w="0" w:type="dxa"/>
            <w:tcBorders>
              <w:top w:val="nil"/>
              <w:left w:val="nil"/>
              <w:bottom w:val="nil"/>
              <w:right w:val="nil"/>
            </w:tcBorders>
            <w:shd w:val="clear" w:color="auto" w:fill="FFFFFF" w:themeFill="background1"/>
            <w:vAlign w:val="center"/>
            <w:hideMark/>
          </w:tcPr>
          <w:p w14:paraId="0F495681" w14:textId="77777777" w:rsidR="00182FC3" w:rsidRPr="00DE647D" w:rsidRDefault="00182FC3">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E647D">
              <w:rPr>
                <w:rFonts w:cs="Arial"/>
                <w:sz w:val="14"/>
                <w:szCs w:val="14"/>
              </w:rPr>
              <w:t>814.000,00</w:t>
            </w:r>
          </w:p>
        </w:tc>
      </w:tr>
      <w:tr w:rsidR="003E5CAD" w:rsidRPr="000A0843" w14:paraId="1F6710E0" w14:textId="77777777" w:rsidTr="003E5CAD">
        <w:trPr>
          <w:trHeight w:hRule="exact" w:val="68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vAlign w:val="center"/>
            <w:hideMark/>
          </w:tcPr>
          <w:p w14:paraId="05920E32" w14:textId="77777777" w:rsidR="00182FC3" w:rsidRPr="00B953D1" w:rsidRDefault="00182FC3">
            <w:pPr>
              <w:pStyle w:val="08-Tabelageral"/>
              <w:jc w:val="left"/>
              <w:rPr>
                <w:rFonts w:cs="Arial"/>
                <w:b w:val="0"/>
                <w:szCs w:val="14"/>
                <w:lang w:eastAsia="en-US"/>
              </w:rPr>
            </w:pPr>
            <w:r w:rsidRPr="00B953D1">
              <w:rPr>
                <w:rFonts w:cs="Arial"/>
                <w:b w:val="0"/>
                <w:szCs w:val="14"/>
                <w:lang w:eastAsia="en-US"/>
              </w:rPr>
              <w:t>Brasilprev Seguros e Previdência S.A.</w:t>
            </w:r>
          </w:p>
        </w:tc>
        <w:tc>
          <w:tcPr>
            <w:tcW w:w="0" w:type="dxa"/>
            <w:tcBorders>
              <w:top w:val="nil"/>
              <w:left w:val="nil"/>
              <w:bottom w:val="nil"/>
              <w:right w:val="nil"/>
            </w:tcBorders>
            <w:shd w:val="clear" w:color="auto" w:fill="FFFFFF" w:themeFill="background1"/>
            <w:vAlign w:val="center"/>
            <w:hideMark/>
          </w:tcPr>
          <w:p w14:paraId="4F374A56" w14:textId="77777777" w:rsidR="00182FC3" w:rsidRPr="00B953D1"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953D1">
              <w:rPr>
                <w:rFonts w:cs="Arial"/>
                <w:szCs w:val="14"/>
                <w:lang w:eastAsia="en-US"/>
              </w:rPr>
              <w:t>01/03/2020</w:t>
            </w:r>
          </w:p>
        </w:tc>
        <w:tc>
          <w:tcPr>
            <w:tcW w:w="0" w:type="dxa"/>
            <w:tcBorders>
              <w:top w:val="nil"/>
              <w:left w:val="nil"/>
              <w:bottom w:val="nil"/>
              <w:right w:val="nil"/>
            </w:tcBorders>
            <w:shd w:val="clear" w:color="auto" w:fill="FFFFFF" w:themeFill="background1"/>
            <w:vAlign w:val="center"/>
            <w:hideMark/>
          </w:tcPr>
          <w:p w14:paraId="172BAB99" w14:textId="77777777" w:rsidR="00182FC3" w:rsidRPr="00B953D1"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953D1">
              <w:rPr>
                <w:rFonts w:cs="Arial"/>
                <w:szCs w:val="14"/>
                <w:lang w:eastAsia="en-US"/>
              </w:rPr>
              <w:t>30/04/2025</w:t>
            </w:r>
          </w:p>
        </w:tc>
        <w:tc>
          <w:tcPr>
            <w:tcW w:w="0" w:type="dxa"/>
            <w:tcBorders>
              <w:top w:val="nil"/>
              <w:left w:val="nil"/>
              <w:bottom w:val="nil"/>
              <w:right w:val="nil"/>
            </w:tcBorders>
            <w:shd w:val="clear" w:color="auto" w:fill="FFFFFF" w:themeFill="background1"/>
            <w:vAlign w:val="center"/>
            <w:hideMark/>
          </w:tcPr>
          <w:p w14:paraId="0162C4B5" w14:textId="77777777" w:rsidR="00182FC3" w:rsidRPr="00B953D1" w:rsidRDefault="00182FC3">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953D1">
              <w:rPr>
                <w:rFonts w:cs="Arial"/>
                <w:szCs w:val="14"/>
                <w:lang w:eastAsia="en-US"/>
              </w:rPr>
              <w:t>Contrato de auditoria contemplando a Auditoria Contábil e Atuarial para os semestres findos em 30/06/2020 à 31/12/2024</w:t>
            </w:r>
          </w:p>
        </w:tc>
        <w:tc>
          <w:tcPr>
            <w:tcW w:w="0" w:type="dxa"/>
            <w:tcBorders>
              <w:top w:val="nil"/>
              <w:left w:val="nil"/>
              <w:bottom w:val="nil"/>
              <w:right w:val="nil"/>
            </w:tcBorders>
            <w:shd w:val="clear" w:color="auto" w:fill="FFFFFF" w:themeFill="background1"/>
            <w:vAlign w:val="center"/>
            <w:hideMark/>
          </w:tcPr>
          <w:p w14:paraId="4521091A" w14:textId="77777777" w:rsidR="00182FC3" w:rsidRPr="00B953D1" w:rsidRDefault="00182FC3">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B953D1">
              <w:rPr>
                <w:rFonts w:cs="Arial"/>
                <w:sz w:val="14"/>
                <w:szCs w:val="14"/>
              </w:rPr>
              <w:t>827.637,23</w:t>
            </w:r>
          </w:p>
        </w:tc>
      </w:tr>
      <w:tr w:rsidR="003E5CAD" w:rsidRPr="000A0843" w14:paraId="5EE6611C" w14:textId="77777777" w:rsidTr="003E5C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FFFFFF" w:themeFill="background1"/>
            <w:vAlign w:val="center"/>
            <w:hideMark/>
          </w:tcPr>
          <w:p w14:paraId="4FFF2BEE" w14:textId="77777777" w:rsidR="00182FC3" w:rsidRPr="00DE647D" w:rsidRDefault="00182FC3">
            <w:pPr>
              <w:pStyle w:val="08-Tabelageral"/>
              <w:jc w:val="left"/>
              <w:rPr>
                <w:rFonts w:cs="Arial"/>
                <w:b w:val="0"/>
                <w:szCs w:val="14"/>
                <w:lang w:eastAsia="en-US"/>
              </w:rPr>
            </w:pPr>
            <w:r w:rsidRPr="00DE647D">
              <w:rPr>
                <w:rFonts w:cs="Arial"/>
                <w:b w:val="0"/>
                <w:szCs w:val="14"/>
                <w:lang w:eastAsia="en-US"/>
              </w:rPr>
              <w:t>Brasilseg Companhia de Seguros</w:t>
            </w:r>
          </w:p>
          <w:p w14:paraId="0B45190A" w14:textId="77777777" w:rsidR="00182FC3" w:rsidRPr="00DE647D" w:rsidRDefault="00182FC3">
            <w:pPr>
              <w:pStyle w:val="08-Tabelageral"/>
              <w:jc w:val="left"/>
              <w:rPr>
                <w:rFonts w:cs="Arial"/>
                <w:b w:val="0"/>
                <w:snapToGrid w:val="0"/>
                <w:szCs w:val="14"/>
                <w:lang w:eastAsia="en-US"/>
              </w:rPr>
            </w:pPr>
            <w:r w:rsidRPr="00DE647D">
              <w:rPr>
                <w:rFonts w:cs="Arial"/>
                <w:b w:val="0"/>
                <w:szCs w:val="14"/>
                <w:lang w:eastAsia="en-US"/>
              </w:rPr>
              <w:t>Aliança do Brasil Seguros S/A</w:t>
            </w:r>
          </w:p>
        </w:tc>
        <w:tc>
          <w:tcPr>
            <w:tcW w:w="0" w:type="dxa"/>
            <w:tcBorders>
              <w:top w:val="nil"/>
              <w:left w:val="nil"/>
              <w:bottom w:val="single" w:sz="2" w:space="0" w:color="1F4E79" w:themeColor="accent1" w:themeShade="80"/>
              <w:right w:val="nil"/>
            </w:tcBorders>
            <w:shd w:val="clear" w:color="auto" w:fill="FFFFFF" w:themeFill="background1"/>
            <w:vAlign w:val="center"/>
            <w:hideMark/>
          </w:tcPr>
          <w:p w14:paraId="74DE445C"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15/10/2021</w:t>
            </w:r>
          </w:p>
        </w:tc>
        <w:tc>
          <w:tcPr>
            <w:tcW w:w="0" w:type="dxa"/>
            <w:tcBorders>
              <w:top w:val="nil"/>
              <w:left w:val="nil"/>
              <w:bottom w:val="single" w:sz="2" w:space="0" w:color="1F4E79" w:themeColor="accent1" w:themeShade="80"/>
              <w:right w:val="nil"/>
            </w:tcBorders>
            <w:shd w:val="clear" w:color="auto" w:fill="FFFFFF" w:themeFill="background1"/>
            <w:vAlign w:val="center"/>
            <w:hideMark/>
          </w:tcPr>
          <w:p w14:paraId="0DF17250"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14/10/2022</w:t>
            </w:r>
          </w:p>
        </w:tc>
        <w:tc>
          <w:tcPr>
            <w:tcW w:w="0" w:type="dxa"/>
            <w:tcBorders>
              <w:top w:val="nil"/>
              <w:left w:val="nil"/>
              <w:bottom w:val="single" w:sz="2" w:space="0" w:color="1F4E79" w:themeColor="accent1" w:themeShade="80"/>
              <w:right w:val="nil"/>
            </w:tcBorders>
            <w:shd w:val="clear" w:color="auto" w:fill="FFFFFF" w:themeFill="background1"/>
            <w:vAlign w:val="center"/>
            <w:hideMark/>
          </w:tcPr>
          <w:p w14:paraId="02BB2854" w14:textId="77777777" w:rsidR="00182FC3" w:rsidRPr="00DE647D" w:rsidRDefault="00182FC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Auditoria Atuarial para o exercício social de 2021</w:t>
            </w:r>
          </w:p>
        </w:tc>
        <w:tc>
          <w:tcPr>
            <w:tcW w:w="0" w:type="dxa"/>
            <w:tcBorders>
              <w:top w:val="nil"/>
              <w:left w:val="nil"/>
              <w:bottom w:val="single" w:sz="2" w:space="0" w:color="1F4E79" w:themeColor="accent1" w:themeShade="80"/>
              <w:right w:val="nil"/>
            </w:tcBorders>
            <w:shd w:val="clear" w:color="auto" w:fill="FFFFFF" w:themeFill="background1"/>
            <w:vAlign w:val="center"/>
            <w:hideMark/>
          </w:tcPr>
          <w:p w14:paraId="6106DA02" w14:textId="77777777" w:rsidR="00182FC3" w:rsidRPr="00DE647D" w:rsidRDefault="00182FC3">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E647D">
              <w:rPr>
                <w:rFonts w:cs="Arial"/>
                <w:sz w:val="14"/>
                <w:szCs w:val="14"/>
              </w:rPr>
              <w:t>237.500,00</w:t>
            </w:r>
          </w:p>
        </w:tc>
      </w:tr>
    </w:tbl>
    <w:p w14:paraId="47284C9B" w14:textId="77777777" w:rsidR="00182FC3" w:rsidRPr="000A0843" w:rsidRDefault="00182FC3" w:rsidP="00C81A16">
      <w:pPr>
        <w:pStyle w:val="07-Legenda"/>
        <w:rPr>
          <w:rFonts w:cs="Arial"/>
          <w:color w:val="FF0000"/>
          <w:highlight w:val="yellow"/>
        </w:rPr>
      </w:pPr>
    </w:p>
    <w:p w14:paraId="700FC38D" w14:textId="77777777" w:rsidR="00182FC3" w:rsidRDefault="00182FC3" w:rsidP="00C81A16">
      <w:pPr>
        <w:pStyle w:val="05-Textonormal"/>
        <w:rPr>
          <w:rFonts w:cs="Arial"/>
        </w:rPr>
      </w:pPr>
      <w:r w:rsidRPr="00B953D1">
        <w:rPr>
          <w:rFonts w:cs="Arial"/>
        </w:rPr>
        <w:t>A BB Seguridade, seus acionistas, administradores e os membros do Conselho Fiscal se comprometem a resolver quaisquer disputas ou controvérsias relacionadas ao Regulamento de Listagem do Novo Mercado por meio da Câmara de Arbitragem do Mercado da B3 – Brasil, Bolsa, Balcão, conforme cláusula compromissória constante do Estatuto Social da BB Seguridade, artigo 5</w:t>
      </w:r>
      <w:r>
        <w:rPr>
          <w:rFonts w:cs="Arial"/>
        </w:rPr>
        <w:t>2</w:t>
      </w:r>
      <w:r w:rsidRPr="00B953D1">
        <w:rPr>
          <w:rFonts w:cs="Arial"/>
        </w:rPr>
        <w:t>.</w:t>
      </w:r>
    </w:p>
    <w:p w14:paraId="22C90A78" w14:textId="088D500D" w:rsidR="00182FC3" w:rsidRDefault="00182FC3" w:rsidP="00C81A16">
      <w:pPr>
        <w:rPr>
          <w:rFonts w:eastAsia="Times New Roman" w:cs="Arial"/>
          <w:szCs w:val="20"/>
          <w:lang w:eastAsia="pt-BR"/>
        </w:rPr>
      </w:pPr>
    </w:p>
    <w:p w14:paraId="15A360BB" w14:textId="77777777" w:rsidR="00182FC3" w:rsidRDefault="00182FC3" w:rsidP="00C81A16">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Agradecimentos</w:t>
      </w:r>
    </w:p>
    <w:p w14:paraId="37C2B62F" w14:textId="77777777" w:rsidR="00182FC3" w:rsidRDefault="00182FC3" w:rsidP="00C81A16">
      <w:pPr>
        <w:pStyle w:val="05-Textonormal"/>
        <w:rPr>
          <w:rFonts w:cs="Arial"/>
        </w:rPr>
      </w:pPr>
      <w:r w:rsidRPr="00DE647D">
        <w:rPr>
          <w:rFonts w:cs="Arial"/>
        </w:rPr>
        <w:t>Agradecemos a dedicação e o empenho de nossos funcionários e colaboradores e à rede de distribuição do Banco do Brasil e demais parceiros, fundamentais para a manutenção de um atendimento de qualidade aos clientes e da conformidade dos processos em um ano tão desafiador como o de 2021, além da confiança depositada por acionistas, clientes e sociedade em geral.</w:t>
      </w:r>
    </w:p>
    <w:p w14:paraId="43D3F128" w14:textId="77777777" w:rsidR="00182FC3" w:rsidRDefault="00182FC3" w:rsidP="00C81A16">
      <w:pPr>
        <w:pStyle w:val="05-Textonormal"/>
        <w:rPr>
          <w:rFonts w:cs="Arial"/>
        </w:rPr>
      </w:pPr>
    </w:p>
    <w:p w14:paraId="34D75B55" w14:textId="77777777" w:rsidR="00182FC3" w:rsidRDefault="00182FC3" w:rsidP="00C81A16">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Brasília, 2022</w:t>
      </w:r>
    </w:p>
    <w:p w14:paraId="44D79083" w14:textId="77777777" w:rsidR="00182FC3" w:rsidRDefault="00182FC3" w:rsidP="00C81A16">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p>
    <w:p w14:paraId="1CCFDA1E" w14:textId="77777777" w:rsidR="00182FC3" w:rsidRDefault="00182FC3" w:rsidP="00C81A16">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A Administração</w:t>
      </w:r>
    </w:p>
    <w:p w14:paraId="6CEF7348" w14:textId="77777777" w:rsidR="00182FC3" w:rsidRPr="00C81A16" w:rsidRDefault="00182FC3" w:rsidP="00C81A16"/>
    <w:p w14:paraId="5D03D80D" w14:textId="5BF65F57" w:rsidR="00A06521" w:rsidRPr="00AE28A4" w:rsidRDefault="00A06521" w:rsidP="00A06521">
      <w:pPr>
        <w:pStyle w:val="01-Textonormal"/>
      </w:pPr>
    </w:p>
    <w:p w14:paraId="20AEA937" w14:textId="4CFBA510" w:rsidR="00F03BE5" w:rsidRPr="00FC723F" w:rsidRDefault="00F03BE5" w:rsidP="00F03BE5">
      <w:pPr>
        <w:rPr>
          <w:rFonts w:cs="Arial"/>
          <w:lang w:eastAsia="pt-BR"/>
        </w:rPr>
        <w:sectPr w:rsidR="00F03BE5" w:rsidRPr="00FC723F" w:rsidSect="003712B8">
          <w:footerReference w:type="default" r:id="rId13"/>
          <w:pgSz w:w="11906" w:h="16838" w:code="9"/>
          <w:pgMar w:top="1134" w:right="1134" w:bottom="851" w:left="1134" w:header="851" w:footer="284" w:gutter="0"/>
          <w:pgNumType w:start="1"/>
          <w:cols w:space="708"/>
          <w:docGrid w:linePitch="360"/>
        </w:sectPr>
      </w:pPr>
    </w:p>
    <w:p w14:paraId="7CDDD62A" w14:textId="50E5EB92" w:rsidR="00375569" w:rsidRPr="00F97A88" w:rsidRDefault="00375569" w:rsidP="00F97A88">
      <w:pPr>
        <w:pStyle w:val="02-TtulodeNota"/>
        <w:rPr>
          <w:color w:val="1F4E79" w:themeColor="accent1" w:themeShade="80"/>
        </w:rPr>
      </w:pPr>
      <w:bookmarkStart w:id="10" w:name="OLE_LINK2"/>
      <w:bookmarkStart w:id="11" w:name="OLE_LINK1"/>
      <w:bookmarkStart w:id="12" w:name="_Toc94861052"/>
      <w:r w:rsidRPr="00F97A88">
        <w:rPr>
          <w:color w:val="1F4E79" w:themeColor="accent1" w:themeShade="80"/>
        </w:rPr>
        <w:lastRenderedPageBreak/>
        <w:t>DEMONSTRAÇÃO DO RESULTADO</w:t>
      </w:r>
      <w:bookmarkEnd w:id="12"/>
    </w:p>
    <w:p w14:paraId="656E039D" w14:textId="77777777" w:rsidR="00375569" w:rsidRPr="00050DC7" w:rsidRDefault="00375569" w:rsidP="00A87CF4">
      <w:pPr>
        <w:pStyle w:val="01-TtulodeNota"/>
        <w:spacing w:before="0" w:after="0"/>
        <w:ind w:right="-1"/>
        <w:jc w:val="right"/>
        <w:rPr>
          <w:sz w:val="14"/>
          <w:szCs w:val="14"/>
        </w:rPr>
      </w:pPr>
      <w:r w:rsidRPr="00050DC7">
        <w:rPr>
          <w:sz w:val="14"/>
          <w:szCs w:val="14"/>
        </w:rPr>
        <w:t>R$ mil (exceto lucro por ação)</w:t>
      </w:r>
    </w:p>
    <w:tbl>
      <w:tblPr>
        <w:tblStyle w:val="TabeladeLista6Colorida-nfase5"/>
        <w:tblW w:w="9640" w:type="dxa"/>
        <w:jc w:val="center"/>
        <w:tblLayout w:type="fixed"/>
        <w:tblLook w:val="04A0" w:firstRow="1" w:lastRow="0" w:firstColumn="1" w:lastColumn="0" w:noHBand="0" w:noVBand="1"/>
      </w:tblPr>
      <w:tblGrid>
        <w:gridCol w:w="3544"/>
        <w:gridCol w:w="709"/>
        <w:gridCol w:w="1274"/>
        <w:gridCol w:w="1275"/>
        <w:gridCol w:w="236"/>
        <w:gridCol w:w="1326"/>
        <w:gridCol w:w="1276"/>
      </w:tblGrid>
      <w:tr w:rsidR="00375569" w:rsidRPr="006A04A7" w14:paraId="23E9F585" w14:textId="77777777" w:rsidTr="006A04A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2" w:space="0" w:color="1F4E79" w:themeColor="accent1" w:themeShade="80"/>
              <w:bottom w:val="nil"/>
            </w:tcBorders>
            <w:shd w:val="clear" w:color="auto" w:fill="auto"/>
            <w:vAlign w:val="center"/>
          </w:tcPr>
          <w:p w14:paraId="488D8FB4" w14:textId="77777777" w:rsidR="00375569" w:rsidRPr="001D6BE8" w:rsidRDefault="00375569" w:rsidP="001D6BE8">
            <w:pPr>
              <w:jc w:val="center"/>
              <w:rPr>
                <w:rFonts w:cs="Arial"/>
                <w:b w:val="0"/>
                <w:szCs w:val="18"/>
              </w:rPr>
            </w:pPr>
            <w:bookmarkStart w:id="13" w:name="_Hlk75776893"/>
          </w:p>
        </w:tc>
        <w:tc>
          <w:tcPr>
            <w:tcW w:w="709" w:type="dxa"/>
            <w:tcBorders>
              <w:top w:val="single" w:sz="2" w:space="0" w:color="1F4E79" w:themeColor="accent1" w:themeShade="80"/>
              <w:bottom w:val="nil"/>
            </w:tcBorders>
            <w:shd w:val="clear" w:color="auto" w:fill="auto"/>
            <w:vAlign w:val="center"/>
          </w:tcPr>
          <w:p w14:paraId="79CEB4EB" w14:textId="77777777" w:rsidR="00375569" w:rsidRPr="001D6BE8" w:rsidRDefault="00375569" w:rsidP="001D6BE8">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549" w:type="dxa"/>
            <w:gridSpan w:val="2"/>
            <w:tcBorders>
              <w:top w:val="single" w:sz="2" w:space="0" w:color="1F4E79" w:themeColor="accent1" w:themeShade="80"/>
              <w:bottom w:val="single" w:sz="2" w:space="0" w:color="1F4E79" w:themeColor="accent1" w:themeShade="80"/>
            </w:tcBorders>
            <w:shd w:val="clear" w:color="auto" w:fill="auto"/>
            <w:vAlign w:val="center"/>
          </w:tcPr>
          <w:p w14:paraId="09FF94FC" w14:textId="77777777" w:rsidR="00375569" w:rsidRPr="006A04A7" w:rsidRDefault="00375569" w:rsidP="00EB5CAA">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6A04A7">
              <w:rPr>
                <w:rFonts w:cs="Arial"/>
                <w:sz w:val="14"/>
                <w:szCs w:val="18"/>
              </w:rPr>
              <w:t>Controlador</w:t>
            </w:r>
          </w:p>
        </w:tc>
        <w:tc>
          <w:tcPr>
            <w:tcW w:w="236" w:type="dxa"/>
            <w:tcBorders>
              <w:top w:val="single" w:sz="2" w:space="0" w:color="1F4E79" w:themeColor="accent1" w:themeShade="80"/>
              <w:bottom w:val="nil"/>
            </w:tcBorders>
            <w:shd w:val="clear" w:color="auto" w:fill="auto"/>
            <w:vAlign w:val="center"/>
          </w:tcPr>
          <w:p w14:paraId="2D033388" w14:textId="77777777" w:rsidR="00375569" w:rsidRPr="006A04A7" w:rsidRDefault="00375569" w:rsidP="008A4150">
            <w:pPr>
              <w:ind w:left="1025"/>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8"/>
              </w:rPr>
            </w:pPr>
          </w:p>
        </w:tc>
        <w:tc>
          <w:tcPr>
            <w:tcW w:w="2600" w:type="dxa"/>
            <w:gridSpan w:val="2"/>
            <w:tcBorders>
              <w:top w:val="single" w:sz="2" w:space="0" w:color="1F4E79" w:themeColor="accent1" w:themeShade="80"/>
              <w:bottom w:val="single" w:sz="2" w:space="0" w:color="1F4E79" w:themeColor="accent1" w:themeShade="80"/>
            </w:tcBorders>
            <w:shd w:val="clear" w:color="auto" w:fill="auto"/>
            <w:vAlign w:val="center"/>
          </w:tcPr>
          <w:p w14:paraId="6EDCB3C8" w14:textId="77777777" w:rsidR="00375569" w:rsidRPr="006A04A7" w:rsidRDefault="00375569" w:rsidP="00653C3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6A04A7">
              <w:rPr>
                <w:rFonts w:cs="Arial"/>
                <w:sz w:val="14"/>
                <w:szCs w:val="18"/>
              </w:rPr>
              <w:t>Consolidado</w:t>
            </w:r>
          </w:p>
        </w:tc>
      </w:tr>
      <w:tr w:rsidR="00375569" w:rsidRPr="006A04A7" w14:paraId="348E1AAF"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2" w:space="0" w:color="1F4E79" w:themeColor="accent1" w:themeShade="80"/>
            </w:tcBorders>
            <w:shd w:val="clear" w:color="auto" w:fill="auto"/>
            <w:vAlign w:val="center"/>
          </w:tcPr>
          <w:p w14:paraId="617CBE84" w14:textId="77777777" w:rsidR="00375569" w:rsidRPr="006A04A7" w:rsidRDefault="00375569" w:rsidP="00A55BAC">
            <w:pPr>
              <w:pStyle w:val="08-Tabelageral"/>
              <w:jc w:val="left"/>
              <w:rPr>
                <w:rFonts w:cs="Arial"/>
                <w:b w:val="0"/>
              </w:rPr>
            </w:pPr>
          </w:p>
        </w:tc>
        <w:tc>
          <w:tcPr>
            <w:tcW w:w="709" w:type="dxa"/>
            <w:tcBorders>
              <w:top w:val="nil"/>
              <w:bottom w:val="single" w:sz="2" w:space="0" w:color="1F4E79" w:themeColor="accent1" w:themeShade="80"/>
            </w:tcBorders>
            <w:shd w:val="clear" w:color="auto" w:fill="auto"/>
            <w:vAlign w:val="center"/>
          </w:tcPr>
          <w:p w14:paraId="09A5A792" w14:textId="77777777" w:rsidR="00375569" w:rsidRPr="006A04A7" w:rsidRDefault="00375569" w:rsidP="00A55BAC">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6A04A7">
              <w:rPr>
                <w:rFonts w:cs="Arial"/>
                <w:b/>
              </w:rPr>
              <w:t>Nota</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331A48CF" w14:textId="77777777" w:rsidR="00375569" w:rsidRPr="006A04A7" w:rsidRDefault="00375569" w:rsidP="00A55BA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6A04A7">
              <w:rPr>
                <w:b/>
              </w:rPr>
              <w:t>Exercício</w:t>
            </w:r>
            <w:r>
              <w:rPr>
                <w:b/>
              </w:rPr>
              <w:t xml:space="preserve"> </w:t>
            </w:r>
            <w:r w:rsidRPr="006A04A7">
              <w:rPr>
                <w:b/>
              </w:rPr>
              <w:t>2021</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1267EC97" w14:textId="77777777" w:rsidR="00375569" w:rsidRPr="006A04A7" w:rsidRDefault="00375569" w:rsidP="00A55BA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6A04A7">
              <w:rPr>
                <w:b/>
              </w:rPr>
              <w:t>Exercício</w:t>
            </w:r>
            <w:r>
              <w:rPr>
                <w:b/>
              </w:rPr>
              <w:t xml:space="preserve"> </w:t>
            </w:r>
            <w:r w:rsidRPr="006A04A7">
              <w:rPr>
                <w:b/>
              </w:rPr>
              <w:t>2020</w:t>
            </w:r>
          </w:p>
        </w:tc>
        <w:tc>
          <w:tcPr>
            <w:tcW w:w="236" w:type="dxa"/>
            <w:tcBorders>
              <w:top w:val="nil"/>
              <w:bottom w:val="single" w:sz="2" w:space="0" w:color="1F4E79" w:themeColor="accent1" w:themeShade="80"/>
            </w:tcBorders>
            <w:shd w:val="clear" w:color="auto" w:fill="auto"/>
            <w:vAlign w:val="center"/>
          </w:tcPr>
          <w:p w14:paraId="37EC29F5" w14:textId="77777777" w:rsidR="00375569" w:rsidRPr="006A04A7" w:rsidRDefault="00375569" w:rsidP="00A55BAC">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326" w:type="dxa"/>
            <w:tcBorders>
              <w:top w:val="single" w:sz="2" w:space="0" w:color="1F4E79" w:themeColor="accent1" w:themeShade="80"/>
              <w:bottom w:val="single" w:sz="2" w:space="0" w:color="1F4E79" w:themeColor="accent1" w:themeShade="80"/>
            </w:tcBorders>
            <w:shd w:val="clear" w:color="auto" w:fill="auto"/>
            <w:vAlign w:val="center"/>
          </w:tcPr>
          <w:p w14:paraId="7A127251" w14:textId="77777777" w:rsidR="00375569" w:rsidRPr="006A04A7" w:rsidRDefault="00375569" w:rsidP="00A55BA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6A04A7">
              <w:rPr>
                <w:b/>
              </w:rPr>
              <w:t>Exercício</w:t>
            </w:r>
            <w:r>
              <w:rPr>
                <w:b/>
              </w:rPr>
              <w:t xml:space="preserve"> </w:t>
            </w:r>
            <w:r w:rsidRPr="006A04A7">
              <w:rPr>
                <w:b/>
              </w:rPr>
              <w:t>2021</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0B89738" w14:textId="77777777" w:rsidR="00375569" w:rsidRPr="006A04A7" w:rsidRDefault="00375569" w:rsidP="00A55BA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6A04A7">
              <w:rPr>
                <w:b/>
              </w:rPr>
              <w:t>Exercício</w:t>
            </w:r>
            <w:r>
              <w:rPr>
                <w:b/>
              </w:rPr>
              <w:t xml:space="preserve"> </w:t>
            </w:r>
            <w:r w:rsidRPr="006A04A7">
              <w:rPr>
                <w:b/>
              </w:rPr>
              <w:t>2020</w:t>
            </w:r>
          </w:p>
        </w:tc>
      </w:tr>
      <w:tr w:rsidR="00375569" w:rsidRPr="006A04A7" w14:paraId="3A4136F1"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2" w:space="0" w:color="1F4E79" w:themeColor="accent1" w:themeShade="80"/>
              <w:bottom w:val="nil"/>
            </w:tcBorders>
            <w:shd w:val="clear" w:color="auto" w:fill="auto"/>
            <w:vAlign w:val="center"/>
          </w:tcPr>
          <w:p w14:paraId="4AA26F29" w14:textId="77777777" w:rsidR="00375569" w:rsidRPr="006A04A7" w:rsidRDefault="00375569" w:rsidP="00541D55">
            <w:pPr>
              <w:pStyle w:val="08-Tabelageral"/>
              <w:jc w:val="left"/>
              <w:rPr>
                <w:rFonts w:cs="Arial"/>
                <w:bCs w:val="0"/>
                <w:szCs w:val="14"/>
              </w:rPr>
            </w:pPr>
            <w:r w:rsidRPr="006A04A7">
              <w:rPr>
                <w:rFonts w:cs="Arial"/>
                <w:szCs w:val="14"/>
              </w:rPr>
              <w:t>Receitas Operacionais</w:t>
            </w:r>
          </w:p>
        </w:tc>
        <w:tc>
          <w:tcPr>
            <w:tcW w:w="709" w:type="dxa"/>
            <w:tcBorders>
              <w:top w:val="single" w:sz="2" w:space="0" w:color="1F4E79" w:themeColor="accent1" w:themeShade="80"/>
              <w:bottom w:val="nil"/>
            </w:tcBorders>
            <w:shd w:val="clear" w:color="auto" w:fill="auto"/>
            <w:vAlign w:val="center"/>
          </w:tcPr>
          <w:p w14:paraId="548F4B97"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4" w:type="dxa"/>
            <w:tcBorders>
              <w:top w:val="single" w:sz="2" w:space="0" w:color="1F4E79" w:themeColor="accent1" w:themeShade="80"/>
              <w:bottom w:val="nil"/>
            </w:tcBorders>
            <w:shd w:val="clear" w:color="auto" w:fill="auto"/>
            <w:vAlign w:val="center"/>
          </w:tcPr>
          <w:p w14:paraId="1853B594"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3.923.593</w:t>
            </w:r>
          </w:p>
        </w:tc>
        <w:tc>
          <w:tcPr>
            <w:tcW w:w="1275" w:type="dxa"/>
            <w:tcBorders>
              <w:top w:val="single" w:sz="2" w:space="0" w:color="8EAADB" w:themeColor="accent5" w:themeTint="99"/>
              <w:bottom w:val="nil"/>
            </w:tcBorders>
            <w:shd w:val="clear" w:color="auto" w:fill="auto"/>
            <w:vAlign w:val="center"/>
          </w:tcPr>
          <w:p w14:paraId="5E699A73"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3.833.384</w:t>
            </w:r>
          </w:p>
        </w:tc>
        <w:tc>
          <w:tcPr>
            <w:tcW w:w="236" w:type="dxa"/>
            <w:tcBorders>
              <w:top w:val="single" w:sz="2" w:space="0" w:color="1F4E79" w:themeColor="accent1" w:themeShade="80"/>
              <w:bottom w:val="nil"/>
            </w:tcBorders>
            <w:shd w:val="clear" w:color="auto" w:fill="auto"/>
            <w:vAlign w:val="center"/>
          </w:tcPr>
          <w:p w14:paraId="145703A6"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26" w:type="dxa"/>
            <w:tcBorders>
              <w:top w:val="single" w:sz="2" w:space="0" w:color="1F4E79" w:themeColor="accent1" w:themeShade="80"/>
              <w:bottom w:val="nil"/>
            </w:tcBorders>
            <w:shd w:val="clear" w:color="auto" w:fill="auto"/>
            <w:vAlign w:val="center"/>
          </w:tcPr>
          <w:p w14:paraId="6933B0E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5.325.941</w:t>
            </w:r>
          </w:p>
        </w:tc>
        <w:tc>
          <w:tcPr>
            <w:tcW w:w="1276" w:type="dxa"/>
            <w:tcBorders>
              <w:top w:val="single" w:sz="2" w:space="0" w:color="8EAADB" w:themeColor="accent5" w:themeTint="99"/>
              <w:bottom w:val="nil"/>
            </w:tcBorders>
            <w:shd w:val="clear" w:color="auto" w:fill="auto"/>
            <w:vAlign w:val="center"/>
          </w:tcPr>
          <w:p w14:paraId="7F1741B8"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5.131.769</w:t>
            </w:r>
          </w:p>
        </w:tc>
      </w:tr>
      <w:tr w:rsidR="00375569" w:rsidRPr="006A04A7" w14:paraId="45454E00"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72E58235" w14:textId="77777777" w:rsidR="00375569" w:rsidRPr="006A04A7" w:rsidRDefault="00375569" w:rsidP="00541D55">
            <w:pPr>
              <w:pStyle w:val="08-Tabelageral"/>
              <w:ind w:left="113"/>
              <w:jc w:val="left"/>
              <w:rPr>
                <w:rFonts w:cs="Arial"/>
                <w:b w:val="0"/>
                <w:szCs w:val="14"/>
              </w:rPr>
            </w:pPr>
            <w:r w:rsidRPr="006A04A7">
              <w:rPr>
                <w:rFonts w:cs="Arial"/>
                <w:b w:val="0"/>
                <w:szCs w:val="14"/>
              </w:rPr>
              <w:t>Resultado de investimentos em participações societárias</w:t>
            </w:r>
          </w:p>
        </w:tc>
        <w:tc>
          <w:tcPr>
            <w:tcW w:w="709" w:type="dxa"/>
            <w:tcBorders>
              <w:top w:val="nil"/>
              <w:bottom w:val="nil"/>
            </w:tcBorders>
            <w:shd w:val="clear" w:color="auto" w:fill="auto"/>
            <w:vAlign w:val="center"/>
          </w:tcPr>
          <w:p w14:paraId="69C1101B" w14:textId="77777777" w:rsidR="00375569" w:rsidRPr="006A04A7" w:rsidRDefault="00375569" w:rsidP="00541D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6A04A7">
              <w:rPr>
                <w:rFonts w:cs="Arial"/>
                <w:szCs w:val="14"/>
              </w:rPr>
              <w:t>[7.b]</w:t>
            </w:r>
          </w:p>
        </w:tc>
        <w:tc>
          <w:tcPr>
            <w:tcW w:w="1274" w:type="dxa"/>
            <w:tcBorders>
              <w:top w:val="nil"/>
              <w:bottom w:val="nil"/>
            </w:tcBorders>
            <w:shd w:val="clear" w:color="auto" w:fill="auto"/>
            <w:vAlign w:val="center"/>
          </w:tcPr>
          <w:p w14:paraId="2E93C88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3.923.593</w:t>
            </w:r>
          </w:p>
        </w:tc>
        <w:tc>
          <w:tcPr>
            <w:tcW w:w="1275" w:type="dxa"/>
            <w:tcBorders>
              <w:top w:val="nil"/>
              <w:bottom w:val="nil"/>
            </w:tcBorders>
            <w:shd w:val="clear" w:color="auto" w:fill="auto"/>
            <w:vAlign w:val="center"/>
          </w:tcPr>
          <w:p w14:paraId="7680D262"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3.833.384</w:t>
            </w:r>
          </w:p>
        </w:tc>
        <w:tc>
          <w:tcPr>
            <w:tcW w:w="236" w:type="dxa"/>
            <w:tcBorders>
              <w:top w:val="nil"/>
              <w:bottom w:val="nil"/>
            </w:tcBorders>
            <w:shd w:val="clear" w:color="auto" w:fill="auto"/>
            <w:vAlign w:val="center"/>
          </w:tcPr>
          <w:p w14:paraId="4713F6A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nil"/>
              <w:bottom w:val="nil"/>
            </w:tcBorders>
            <w:shd w:val="clear" w:color="auto" w:fill="auto"/>
            <w:vAlign w:val="center"/>
          </w:tcPr>
          <w:p w14:paraId="63EA6B03"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1.830.355</w:t>
            </w:r>
          </w:p>
        </w:tc>
        <w:tc>
          <w:tcPr>
            <w:tcW w:w="1276" w:type="dxa"/>
            <w:tcBorders>
              <w:top w:val="nil"/>
              <w:bottom w:val="nil"/>
            </w:tcBorders>
            <w:shd w:val="clear" w:color="auto" w:fill="auto"/>
            <w:vAlign w:val="center"/>
          </w:tcPr>
          <w:p w14:paraId="33184614"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1.880.490</w:t>
            </w:r>
          </w:p>
        </w:tc>
      </w:tr>
      <w:tr w:rsidR="00375569" w:rsidRPr="006A04A7" w14:paraId="3160D9CE"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ECE1C96" w14:textId="77777777" w:rsidR="00375569" w:rsidRPr="006A04A7" w:rsidRDefault="00375569" w:rsidP="00541D55">
            <w:pPr>
              <w:pStyle w:val="08-Tabelageral"/>
              <w:ind w:left="113"/>
              <w:jc w:val="left"/>
              <w:rPr>
                <w:rFonts w:cs="Arial"/>
                <w:b w:val="0"/>
                <w:szCs w:val="14"/>
              </w:rPr>
            </w:pPr>
            <w:r w:rsidRPr="006A04A7">
              <w:rPr>
                <w:rFonts w:cs="Arial"/>
                <w:b w:val="0"/>
                <w:szCs w:val="14"/>
              </w:rPr>
              <w:t>Receitas de comissões, líquidas</w:t>
            </w:r>
          </w:p>
        </w:tc>
        <w:tc>
          <w:tcPr>
            <w:tcW w:w="709" w:type="dxa"/>
            <w:tcBorders>
              <w:top w:val="nil"/>
              <w:bottom w:val="nil"/>
            </w:tcBorders>
            <w:shd w:val="clear" w:color="auto" w:fill="auto"/>
            <w:vAlign w:val="center"/>
          </w:tcPr>
          <w:p w14:paraId="142B5E04" w14:textId="77777777" w:rsidR="00375569" w:rsidRPr="006A04A7" w:rsidRDefault="00375569" w:rsidP="00541D5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6A04A7">
              <w:rPr>
                <w:rFonts w:cs="Arial"/>
                <w:szCs w:val="14"/>
              </w:rPr>
              <w:t>[8]</w:t>
            </w:r>
          </w:p>
        </w:tc>
        <w:tc>
          <w:tcPr>
            <w:tcW w:w="1274" w:type="dxa"/>
            <w:tcBorders>
              <w:top w:val="nil"/>
              <w:bottom w:val="nil"/>
            </w:tcBorders>
            <w:shd w:val="clear" w:color="auto" w:fill="auto"/>
            <w:vAlign w:val="center"/>
          </w:tcPr>
          <w:p w14:paraId="5EC289C8"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t>--</w:t>
            </w:r>
          </w:p>
        </w:tc>
        <w:tc>
          <w:tcPr>
            <w:tcW w:w="1275" w:type="dxa"/>
            <w:tcBorders>
              <w:top w:val="nil"/>
              <w:bottom w:val="nil"/>
            </w:tcBorders>
            <w:shd w:val="clear" w:color="auto" w:fill="auto"/>
            <w:vAlign w:val="center"/>
          </w:tcPr>
          <w:p w14:paraId="682C9EB0"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w:t>
            </w:r>
          </w:p>
        </w:tc>
        <w:tc>
          <w:tcPr>
            <w:tcW w:w="236" w:type="dxa"/>
            <w:tcBorders>
              <w:top w:val="nil"/>
              <w:bottom w:val="nil"/>
            </w:tcBorders>
            <w:shd w:val="clear" w:color="auto" w:fill="auto"/>
            <w:vAlign w:val="center"/>
          </w:tcPr>
          <w:p w14:paraId="12D0A865"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69D8F817"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3.495.586</w:t>
            </w:r>
          </w:p>
        </w:tc>
        <w:tc>
          <w:tcPr>
            <w:tcW w:w="1276" w:type="dxa"/>
            <w:tcBorders>
              <w:top w:val="nil"/>
              <w:bottom w:val="nil"/>
            </w:tcBorders>
            <w:shd w:val="clear" w:color="auto" w:fill="auto"/>
            <w:vAlign w:val="center"/>
          </w:tcPr>
          <w:p w14:paraId="43B27C8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3.251.279</w:t>
            </w:r>
          </w:p>
        </w:tc>
      </w:tr>
      <w:tr w:rsidR="00375569" w:rsidRPr="006A04A7" w14:paraId="0BCDCA82"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B909098" w14:textId="77777777" w:rsidR="00375569" w:rsidRPr="006A04A7" w:rsidRDefault="00375569" w:rsidP="00541D55">
            <w:pPr>
              <w:pStyle w:val="08-Tabelageral"/>
              <w:jc w:val="left"/>
              <w:rPr>
                <w:rFonts w:cs="Arial"/>
                <w:bCs w:val="0"/>
                <w:szCs w:val="14"/>
              </w:rPr>
            </w:pPr>
            <w:r w:rsidRPr="006A04A7">
              <w:rPr>
                <w:rFonts w:cs="Arial"/>
                <w:bCs w:val="0"/>
                <w:szCs w:val="14"/>
              </w:rPr>
              <w:t>Custos dos Serviços Prestados</w:t>
            </w:r>
          </w:p>
        </w:tc>
        <w:tc>
          <w:tcPr>
            <w:tcW w:w="709" w:type="dxa"/>
            <w:tcBorders>
              <w:top w:val="nil"/>
              <w:bottom w:val="nil"/>
            </w:tcBorders>
            <w:shd w:val="clear" w:color="auto" w:fill="auto"/>
            <w:vAlign w:val="center"/>
          </w:tcPr>
          <w:p w14:paraId="2408127A"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6A04A7">
              <w:rPr>
                <w:rFonts w:cs="Arial"/>
                <w:b/>
                <w:szCs w:val="14"/>
              </w:rPr>
              <w:t>[9]</w:t>
            </w:r>
          </w:p>
        </w:tc>
        <w:tc>
          <w:tcPr>
            <w:tcW w:w="1274" w:type="dxa"/>
            <w:tcBorders>
              <w:top w:val="nil"/>
              <w:bottom w:val="nil"/>
            </w:tcBorders>
            <w:shd w:val="clear" w:color="auto" w:fill="auto"/>
            <w:vAlign w:val="center"/>
          </w:tcPr>
          <w:p w14:paraId="64B9A484"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1275" w:type="dxa"/>
            <w:tcBorders>
              <w:top w:val="nil"/>
              <w:bottom w:val="nil"/>
            </w:tcBorders>
            <w:shd w:val="clear" w:color="auto" w:fill="auto"/>
            <w:vAlign w:val="center"/>
          </w:tcPr>
          <w:p w14:paraId="40E93FC2"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w:t>
            </w:r>
          </w:p>
        </w:tc>
        <w:tc>
          <w:tcPr>
            <w:tcW w:w="236" w:type="dxa"/>
            <w:tcBorders>
              <w:top w:val="nil"/>
              <w:bottom w:val="nil"/>
            </w:tcBorders>
            <w:shd w:val="clear" w:color="auto" w:fill="auto"/>
            <w:vAlign w:val="center"/>
          </w:tcPr>
          <w:p w14:paraId="4F3FCD3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5DB0ABB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(193.830)</w:t>
            </w:r>
          </w:p>
        </w:tc>
        <w:tc>
          <w:tcPr>
            <w:tcW w:w="1276" w:type="dxa"/>
            <w:tcBorders>
              <w:top w:val="nil"/>
              <w:bottom w:val="nil"/>
            </w:tcBorders>
            <w:shd w:val="clear" w:color="auto" w:fill="auto"/>
            <w:vAlign w:val="center"/>
          </w:tcPr>
          <w:p w14:paraId="5DB88B8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(176.868)</w:t>
            </w:r>
          </w:p>
        </w:tc>
      </w:tr>
      <w:tr w:rsidR="00375569" w:rsidRPr="006A04A7" w14:paraId="764AC7E0"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70DE987E" w14:textId="77777777" w:rsidR="00375569" w:rsidRPr="006A04A7" w:rsidRDefault="00375569" w:rsidP="00541D55">
            <w:pPr>
              <w:pStyle w:val="08-Tabelageral"/>
              <w:jc w:val="left"/>
              <w:rPr>
                <w:rFonts w:cs="Arial"/>
                <w:szCs w:val="14"/>
              </w:rPr>
            </w:pPr>
            <w:r w:rsidRPr="006A04A7">
              <w:rPr>
                <w:rFonts w:cs="Arial"/>
                <w:szCs w:val="14"/>
              </w:rPr>
              <w:t>Resultado Bruto</w:t>
            </w:r>
          </w:p>
        </w:tc>
        <w:tc>
          <w:tcPr>
            <w:tcW w:w="709" w:type="dxa"/>
            <w:tcBorders>
              <w:top w:val="nil"/>
              <w:bottom w:val="nil"/>
            </w:tcBorders>
            <w:shd w:val="clear" w:color="auto" w:fill="auto"/>
            <w:vAlign w:val="center"/>
          </w:tcPr>
          <w:p w14:paraId="268D0D9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74" w:type="dxa"/>
            <w:tcBorders>
              <w:top w:val="nil"/>
              <w:bottom w:val="nil"/>
            </w:tcBorders>
            <w:shd w:val="clear" w:color="auto" w:fill="auto"/>
            <w:vAlign w:val="center"/>
          </w:tcPr>
          <w:p w14:paraId="0C5012F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rPr>
              <w:t>3.923.593</w:t>
            </w:r>
          </w:p>
        </w:tc>
        <w:tc>
          <w:tcPr>
            <w:tcW w:w="1275" w:type="dxa"/>
            <w:tcBorders>
              <w:top w:val="nil"/>
              <w:bottom w:val="nil"/>
            </w:tcBorders>
            <w:shd w:val="clear" w:color="auto" w:fill="auto"/>
            <w:vAlign w:val="center"/>
          </w:tcPr>
          <w:p w14:paraId="76F503F1"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3.833.384</w:t>
            </w:r>
          </w:p>
        </w:tc>
        <w:tc>
          <w:tcPr>
            <w:tcW w:w="236" w:type="dxa"/>
            <w:tcBorders>
              <w:top w:val="nil"/>
              <w:bottom w:val="nil"/>
            </w:tcBorders>
            <w:shd w:val="clear" w:color="auto" w:fill="auto"/>
            <w:vAlign w:val="center"/>
          </w:tcPr>
          <w:p w14:paraId="30A52FCF"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4C27EA65"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5.132.111</w:t>
            </w:r>
          </w:p>
        </w:tc>
        <w:tc>
          <w:tcPr>
            <w:tcW w:w="1276" w:type="dxa"/>
            <w:tcBorders>
              <w:top w:val="nil"/>
              <w:bottom w:val="nil"/>
            </w:tcBorders>
            <w:shd w:val="clear" w:color="auto" w:fill="auto"/>
            <w:vAlign w:val="center"/>
          </w:tcPr>
          <w:p w14:paraId="3258087F"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4.954.901</w:t>
            </w:r>
          </w:p>
        </w:tc>
      </w:tr>
      <w:tr w:rsidR="00375569" w:rsidRPr="006A04A7" w14:paraId="44AAC75C"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DE2D11D" w14:textId="77777777" w:rsidR="00375569" w:rsidRPr="006A04A7" w:rsidRDefault="00375569" w:rsidP="00541D55">
            <w:pPr>
              <w:pStyle w:val="08-Tabelageral"/>
              <w:jc w:val="left"/>
              <w:rPr>
                <w:rFonts w:cs="Arial"/>
                <w:bCs w:val="0"/>
                <w:szCs w:val="14"/>
              </w:rPr>
            </w:pPr>
            <w:r w:rsidRPr="006A04A7">
              <w:rPr>
                <w:rFonts w:cs="Arial"/>
                <w:szCs w:val="14"/>
              </w:rPr>
              <w:t>Outras Receitas e Despesas</w:t>
            </w:r>
          </w:p>
        </w:tc>
        <w:tc>
          <w:tcPr>
            <w:tcW w:w="709" w:type="dxa"/>
            <w:tcBorders>
              <w:top w:val="nil"/>
              <w:bottom w:val="nil"/>
            </w:tcBorders>
            <w:shd w:val="clear" w:color="auto" w:fill="auto"/>
            <w:vAlign w:val="center"/>
          </w:tcPr>
          <w:p w14:paraId="717D1F5F"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74" w:type="dxa"/>
            <w:tcBorders>
              <w:top w:val="nil"/>
              <w:bottom w:val="nil"/>
            </w:tcBorders>
            <w:shd w:val="clear" w:color="auto" w:fill="auto"/>
            <w:vAlign w:val="center"/>
          </w:tcPr>
          <w:p w14:paraId="6829778B"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rPr>
              <w:t>(8.572)</w:t>
            </w:r>
          </w:p>
        </w:tc>
        <w:tc>
          <w:tcPr>
            <w:tcW w:w="1275" w:type="dxa"/>
            <w:tcBorders>
              <w:top w:val="nil"/>
              <w:bottom w:val="nil"/>
            </w:tcBorders>
            <w:shd w:val="clear" w:color="auto" w:fill="auto"/>
            <w:vAlign w:val="center"/>
          </w:tcPr>
          <w:p w14:paraId="19DC0F67"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(10.882)</w:t>
            </w:r>
          </w:p>
        </w:tc>
        <w:tc>
          <w:tcPr>
            <w:tcW w:w="236" w:type="dxa"/>
            <w:tcBorders>
              <w:top w:val="nil"/>
              <w:bottom w:val="nil"/>
            </w:tcBorders>
            <w:shd w:val="clear" w:color="auto" w:fill="auto"/>
            <w:vAlign w:val="center"/>
          </w:tcPr>
          <w:p w14:paraId="2A47983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17A75FDB"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(199.911)</w:t>
            </w:r>
          </w:p>
        </w:tc>
        <w:tc>
          <w:tcPr>
            <w:tcW w:w="1276" w:type="dxa"/>
            <w:tcBorders>
              <w:top w:val="nil"/>
              <w:bottom w:val="nil"/>
            </w:tcBorders>
            <w:shd w:val="clear" w:color="auto" w:fill="auto"/>
            <w:vAlign w:val="center"/>
          </w:tcPr>
          <w:p w14:paraId="0B15214A"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(173.411)</w:t>
            </w:r>
          </w:p>
        </w:tc>
      </w:tr>
      <w:tr w:rsidR="00375569" w:rsidRPr="006A04A7" w14:paraId="28A3C549"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6AEE617" w14:textId="77777777" w:rsidR="00375569" w:rsidRPr="006A04A7" w:rsidRDefault="00375569" w:rsidP="00541D55">
            <w:pPr>
              <w:pStyle w:val="08-Tabelageral"/>
              <w:ind w:left="113"/>
              <w:jc w:val="left"/>
              <w:rPr>
                <w:rFonts w:cs="Arial"/>
                <w:b w:val="0"/>
                <w:szCs w:val="14"/>
              </w:rPr>
            </w:pPr>
            <w:r w:rsidRPr="006A04A7">
              <w:rPr>
                <w:rFonts w:cs="Arial"/>
                <w:b w:val="0"/>
                <w:szCs w:val="14"/>
              </w:rPr>
              <w:t>Despesas com pessoal</w:t>
            </w:r>
          </w:p>
        </w:tc>
        <w:tc>
          <w:tcPr>
            <w:tcW w:w="709" w:type="dxa"/>
            <w:tcBorders>
              <w:top w:val="nil"/>
              <w:bottom w:val="nil"/>
            </w:tcBorders>
            <w:shd w:val="clear" w:color="auto" w:fill="auto"/>
            <w:vAlign w:val="center"/>
          </w:tcPr>
          <w:p w14:paraId="5EBE001B" w14:textId="77777777" w:rsidR="00375569" w:rsidRPr="006A04A7" w:rsidRDefault="00375569" w:rsidP="00541D5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6A04A7">
              <w:rPr>
                <w:rFonts w:cs="Arial"/>
                <w:szCs w:val="14"/>
              </w:rPr>
              <w:t>[10]</w:t>
            </w:r>
          </w:p>
        </w:tc>
        <w:tc>
          <w:tcPr>
            <w:tcW w:w="1274" w:type="dxa"/>
            <w:tcBorders>
              <w:top w:val="nil"/>
              <w:bottom w:val="nil"/>
            </w:tcBorders>
            <w:shd w:val="clear" w:color="auto" w:fill="auto"/>
            <w:vAlign w:val="center"/>
          </w:tcPr>
          <w:p w14:paraId="3A170066"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(12.167)</w:t>
            </w:r>
          </w:p>
        </w:tc>
        <w:tc>
          <w:tcPr>
            <w:tcW w:w="1275" w:type="dxa"/>
            <w:tcBorders>
              <w:top w:val="nil"/>
              <w:bottom w:val="nil"/>
            </w:tcBorders>
            <w:shd w:val="clear" w:color="auto" w:fill="auto"/>
            <w:vAlign w:val="center"/>
          </w:tcPr>
          <w:p w14:paraId="1F7714CF"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(11.602)</w:t>
            </w:r>
          </w:p>
        </w:tc>
        <w:tc>
          <w:tcPr>
            <w:tcW w:w="236" w:type="dxa"/>
            <w:tcBorders>
              <w:top w:val="nil"/>
              <w:bottom w:val="nil"/>
            </w:tcBorders>
            <w:shd w:val="clear" w:color="auto" w:fill="auto"/>
            <w:vAlign w:val="center"/>
          </w:tcPr>
          <w:p w14:paraId="3666152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0547403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(63.114)</w:t>
            </w:r>
          </w:p>
        </w:tc>
        <w:tc>
          <w:tcPr>
            <w:tcW w:w="1276" w:type="dxa"/>
            <w:tcBorders>
              <w:top w:val="nil"/>
              <w:bottom w:val="nil"/>
            </w:tcBorders>
            <w:shd w:val="clear" w:color="auto" w:fill="auto"/>
            <w:vAlign w:val="center"/>
          </w:tcPr>
          <w:p w14:paraId="1977EBF5"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(63.893)</w:t>
            </w:r>
          </w:p>
        </w:tc>
      </w:tr>
      <w:tr w:rsidR="00375569" w:rsidRPr="006A04A7" w14:paraId="4B7CFE1A"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DD44C99" w14:textId="77777777" w:rsidR="00375569" w:rsidRPr="006A04A7" w:rsidRDefault="00375569" w:rsidP="00541D55">
            <w:pPr>
              <w:pStyle w:val="08-Tabelageral"/>
              <w:ind w:left="113"/>
              <w:jc w:val="left"/>
              <w:rPr>
                <w:rFonts w:cs="Arial"/>
                <w:b w:val="0"/>
                <w:szCs w:val="14"/>
              </w:rPr>
            </w:pPr>
            <w:r w:rsidRPr="006A04A7">
              <w:rPr>
                <w:rFonts w:cs="Arial"/>
                <w:b w:val="0"/>
                <w:szCs w:val="14"/>
              </w:rPr>
              <w:t>Despesas administrativas e com vendas</w:t>
            </w:r>
          </w:p>
        </w:tc>
        <w:tc>
          <w:tcPr>
            <w:tcW w:w="709" w:type="dxa"/>
            <w:tcBorders>
              <w:top w:val="nil"/>
              <w:bottom w:val="nil"/>
            </w:tcBorders>
            <w:shd w:val="clear" w:color="auto" w:fill="auto"/>
            <w:vAlign w:val="center"/>
          </w:tcPr>
          <w:p w14:paraId="448B6392" w14:textId="77777777" w:rsidR="00375569" w:rsidRPr="006A04A7" w:rsidRDefault="00375569" w:rsidP="00541D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6A04A7">
              <w:rPr>
                <w:rFonts w:cs="Arial"/>
                <w:szCs w:val="14"/>
              </w:rPr>
              <w:t>[11]</w:t>
            </w:r>
          </w:p>
        </w:tc>
        <w:tc>
          <w:tcPr>
            <w:tcW w:w="1274" w:type="dxa"/>
            <w:tcBorders>
              <w:top w:val="nil"/>
              <w:bottom w:val="nil"/>
            </w:tcBorders>
            <w:shd w:val="clear" w:color="auto" w:fill="auto"/>
            <w:vAlign w:val="center"/>
          </w:tcPr>
          <w:p w14:paraId="3277B7A6"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(3.152)</w:t>
            </w:r>
          </w:p>
        </w:tc>
        <w:tc>
          <w:tcPr>
            <w:tcW w:w="1275" w:type="dxa"/>
            <w:tcBorders>
              <w:top w:val="nil"/>
              <w:bottom w:val="nil"/>
            </w:tcBorders>
            <w:shd w:val="clear" w:color="auto" w:fill="auto"/>
            <w:vAlign w:val="center"/>
          </w:tcPr>
          <w:p w14:paraId="35CD2C74"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(3.096)</w:t>
            </w:r>
          </w:p>
        </w:tc>
        <w:tc>
          <w:tcPr>
            <w:tcW w:w="236" w:type="dxa"/>
            <w:tcBorders>
              <w:top w:val="nil"/>
              <w:bottom w:val="nil"/>
            </w:tcBorders>
            <w:shd w:val="clear" w:color="auto" w:fill="auto"/>
            <w:vAlign w:val="center"/>
          </w:tcPr>
          <w:p w14:paraId="1B2F2D1E"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nil"/>
              <w:bottom w:val="nil"/>
            </w:tcBorders>
            <w:shd w:val="clear" w:color="auto" w:fill="auto"/>
            <w:vAlign w:val="center"/>
          </w:tcPr>
          <w:p w14:paraId="7BE29C9B"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(38.266)</w:t>
            </w:r>
          </w:p>
        </w:tc>
        <w:tc>
          <w:tcPr>
            <w:tcW w:w="1276" w:type="dxa"/>
            <w:tcBorders>
              <w:top w:val="nil"/>
              <w:bottom w:val="nil"/>
            </w:tcBorders>
            <w:shd w:val="clear" w:color="auto" w:fill="auto"/>
            <w:vAlign w:val="center"/>
          </w:tcPr>
          <w:p w14:paraId="3F9ED5CD"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(69.424)</w:t>
            </w:r>
          </w:p>
        </w:tc>
      </w:tr>
      <w:tr w:rsidR="00375569" w:rsidRPr="006A04A7" w14:paraId="4FFF6C92"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52D031D" w14:textId="77777777" w:rsidR="00375569" w:rsidRPr="006A04A7" w:rsidRDefault="00375569" w:rsidP="00541D55">
            <w:pPr>
              <w:pStyle w:val="08-Tabelageral"/>
              <w:ind w:left="113"/>
              <w:jc w:val="left"/>
              <w:rPr>
                <w:rFonts w:cs="Arial"/>
                <w:b w:val="0"/>
                <w:szCs w:val="14"/>
              </w:rPr>
            </w:pPr>
            <w:r w:rsidRPr="006A04A7">
              <w:rPr>
                <w:rFonts w:cs="Arial"/>
                <w:b w:val="0"/>
                <w:szCs w:val="14"/>
              </w:rPr>
              <w:t>Despesas tributárias</w:t>
            </w:r>
          </w:p>
        </w:tc>
        <w:tc>
          <w:tcPr>
            <w:tcW w:w="709" w:type="dxa"/>
            <w:tcBorders>
              <w:top w:val="nil"/>
              <w:bottom w:val="nil"/>
            </w:tcBorders>
            <w:shd w:val="clear" w:color="auto" w:fill="auto"/>
            <w:vAlign w:val="center"/>
          </w:tcPr>
          <w:p w14:paraId="7ADD36F0" w14:textId="77777777" w:rsidR="00375569" w:rsidRPr="006A04A7" w:rsidRDefault="00375569" w:rsidP="00541D5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6A04A7">
              <w:rPr>
                <w:rFonts w:cs="Arial"/>
                <w:szCs w:val="14"/>
              </w:rPr>
              <w:t>[12.c]</w:t>
            </w:r>
          </w:p>
        </w:tc>
        <w:tc>
          <w:tcPr>
            <w:tcW w:w="1274" w:type="dxa"/>
            <w:tcBorders>
              <w:top w:val="nil"/>
              <w:bottom w:val="nil"/>
            </w:tcBorders>
            <w:shd w:val="clear" w:color="auto" w:fill="auto"/>
            <w:vAlign w:val="center"/>
          </w:tcPr>
          <w:p w14:paraId="1391995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(2.083)</w:t>
            </w:r>
          </w:p>
        </w:tc>
        <w:tc>
          <w:tcPr>
            <w:tcW w:w="1275" w:type="dxa"/>
            <w:tcBorders>
              <w:top w:val="nil"/>
              <w:bottom w:val="nil"/>
            </w:tcBorders>
            <w:shd w:val="clear" w:color="auto" w:fill="auto"/>
            <w:vAlign w:val="center"/>
          </w:tcPr>
          <w:p w14:paraId="53B54825"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(3.645)</w:t>
            </w:r>
          </w:p>
        </w:tc>
        <w:tc>
          <w:tcPr>
            <w:tcW w:w="236" w:type="dxa"/>
            <w:tcBorders>
              <w:top w:val="nil"/>
              <w:bottom w:val="nil"/>
            </w:tcBorders>
            <w:shd w:val="clear" w:color="auto" w:fill="auto"/>
            <w:vAlign w:val="center"/>
          </w:tcPr>
          <w:p w14:paraId="6C9D9898"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74F3E14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(22.651)</w:t>
            </w:r>
          </w:p>
        </w:tc>
        <w:tc>
          <w:tcPr>
            <w:tcW w:w="1276" w:type="dxa"/>
            <w:tcBorders>
              <w:top w:val="nil"/>
              <w:bottom w:val="nil"/>
            </w:tcBorders>
            <w:shd w:val="clear" w:color="auto" w:fill="auto"/>
            <w:vAlign w:val="center"/>
          </w:tcPr>
          <w:p w14:paraId="4B1717F8"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(12.559)</w:t>
            </w:r>
          </w:p>
        </w:tc>
      </w:tr>
      <w:tr w:rsidR="00375569" w:rsidRPr="006A04A7" w14:paraId="79E17FEF"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4F4F0F6" w14:textId="77777777" w:rsidR="00375569" w:rsidRPr="006A04A7" w:rsidRDefault="00375569" w:rsidP="00541D55">
            <w:pPr>
              <w:pStyle w:val="08-Tabelageral"/>
              <w:ind w:left="113"/>
              <w:jc w:val="left"/>
              <w:rPr>
                <w:rFonts w:cs="Arial"/>
                <w:b w:val="0"/>
                <w:szCs w:val="14"/>
              </w:rPr>
            </w:pPr>
            <w:r w:rsidRPr="006A04A7">
              <w:rPr>
                <w:rFonts w:cs="Arial"/>
                <w:b w:val="0"/>
                <w:szCs w:val="14"/>
              </w:rPr>
              <w:t xml:space="preserve">Outras </w:t>
            </w:r>
          </w:p>
        </w:tc>
        <w:tc>
          <w:tcPr>
            <w:tcW w:w="709" w:type="dxa"/>
            <w:tcBorders>
              <w:top w:val="nil"/>
              <w:bottom w:val="nil"/>
            </w:tcBorders>
            <w:shd w:val="clear" w:color="auto" w:fill="auto"/>
            <w:vAlign w:val="center"/>
          </w:tcPr>
          <w:p w14:paraId="13CCD1A1" w14:textId="77777777" w:rsidR="00375569" w:rsidRPr="006A04A7" w:rsidRDefault="00375569" w:rsidP="00541D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6A04A7">
              <w:rPr>
                <w:rFonts w:cs="Arial"/>
                <w:szCs w:val="14"/>
              </w:rPr>
              <w:t>[13]</w:t>
            </w:r>
          </w:p>
        </w:tc>
        <w:tc>
          <w:tcPr>
            <w:tcW w:w="1274" w:type="dxa"/>
            <w:tcBorders>
              <w:top w:val="nil"/>
              <w:bottom w:val="nil"/>
            </w:tcBorders>
            <w:shd w:val="clear" w:color="auto" w:fill="auto"/>
            <w:vAlign w:val="center"/>
          </w:tcPr>
          <w:p w14:paraId="3392D32C"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8.830</w:t>
            </w:r>
          </w:p>
        </w:tc>
        <w:tc>
          <w:tcPr>
            <w:tcW w:w="1275" w:type="dxa"/>
            <w:tcBorders>
              <w:top w:val="nil"/>
              <w:bottom w:val="nil"/>
            </w:tcBorders>
            <w:shd w:val="clear" w:color="auto" w:fill="auto"/>
            <w:vAlign w:val="center"/>
          </w:tcPr>
          <w:p w14:paraId="22BC15FA"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7.461</w:t>
            </w:r>
          </w:p>
        </w:tc>
        <w:tc>
          <w:tcPr>
            <w:tcW w:w="236" w:type="dxa"/>
            <w:tcBorders>
              <w:top w:val="nil"/>
              <w:bottom w:val="nil"/>
            </w:tcBorders>
            <w:shd w:val="clear" w:color="auto" w:fill="auto"/>
            <w:vAlign w:val="center"/>
          </w:tcPr>
          <w:p w14:paraId="24A3ED3E"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nil"/>
              <w:bottom w:val="nil"/>
            </w:tcBorders>
            <w:shd w:val="clear" w:color="auto" w:fill="auto"/>
            <w:vAlign w:val="center"/>
          </w:tcPr>
          <w:p w14:paraId="3FD119B2"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(75.880)</w:t>
            </w:r>
          </w:p>
        </w:tc>
        <w:tc>
          <w:tcPr>
            <w:tcW w:w="1276" w:type="dxa"/>
            <w:tcBorders>
              <w:top w:val="nil"/>
              <w:bottom w:val="nil"/>
            </w:tcBorders>
            <w:shd w:val="clear" w:color="auto" w:fill="auto"/>
            <w:vAlign w:val="center"/>
          </w:tcPr>
          <w:p w14:paraId="53D3A804"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(27.535)</w:t>
            </w:r>
          </w:p>
        </w:tc>
      </w:tr>
      <w:tr w:rsidR="00375569" w:rsidRPr="006A04A7" w14:paraId="2D733E0F"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5AF5F5E6" w14:textId="77777777" w:rsidR="00375569" w:rsidRPr="006A04A7" w:rsidRDefault="00375569" w:rsidP="00541D55">
            <w:pPr>
              <w:pStyle w:val="08-Tabelageral"/>
              <w:jc w:val="left"/>
              <w:rPr>
                <w:rFonts w:cs="Arial"/>
                <w:szCs w:val="14"/>
              </w:rPr>
            </w:pPr>
            <w:r w:rsidRPr="006A04A7">
              <w:rPr>
                <w:rFonts w:cs="Arial"/>
                <w:szCs w:val="14"/>
              </w:rPr>
              <w:t>Resultado Antes das Receitas e Despesas Financeiras</w:t>
            </w:r>
          </w:p>
        </w:tc>
        <w:tc>
          <w:tcPr>
            <w:tcW w:w="709" w:type="dxa"/>
            <w:tcBorders>
              <w:top w:val="nil"/>
              <w:bottom w:val="nil"/>
            </w:tcBorders>
            <w:shd w:val="clear" w:color="auto" w:fill="auto"/>
            <w:vAlign w:val="center"/>
          </w:tcPr>
          <w:p w14:paraId="28E75EFC"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4" w:type="dxa"/>
            <w:tcBorders>
              <w:top w:val="nil"/>
              <w:bottom w:val="nil"/>
            </w:tcBorders>
            <w:shd w:val="clear" w:color="auto" w:fill="auto"/>
            <w:vAlign w:val="center"/>
          </w:tcPr>
          <w:p w14:paraId="4F33A8A3"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3.915.021</w:t>
            </w:r>
          </w:p>
        </w:tc>
        <w:tc>
          <w:tcPr>
            <w:tcW w:w="1275" w:type="dxa"/>
            <w:tcBorders>
              <w:top w:val="nil"/>
              <w:bottom w:val="nil"/>
            </w:tcBorders>
            <w:shd w:val="clear" w:color="auto" w:fill="auto"/>
            <w:vAlign w:val="center"/>
          </w:tcPr>
          <w:p w14:paraId="0BD94CCF"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3.822.502</w:t>
            </w:r>
          </w:p>
        </w:tc>
        <w:tc>
          <w:tcPr>
            <w:tcW w:w="236" w:type="dxa"/>
            <w:tcBorders>
              <w:top w:val="nil"/>
              <w:bottom w:val="nil"/>
            </w:tcBorders>
            <w:shd w:val="clear" w:color="auto" w:fill="auto"/>
            <w:vAlign w:val="center"/>
          </w:tcPr>
          <w:p w14:paraId="2A6461A4"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68028C25"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4.932.200</w:t>
            </w:r>
          </w:p>
        </w:tc>
        <w:tc>
          <w:tcPr>
            <w:tcW w:w="1276" w:type="dxa"/>
            <w:tcBorders>
              <w:top w:val="nil"/>
              <w:bottom w:val="nil"/>
            </w:tcBorders>
            <w:shd w:val="clear" w:color="auto" w:fill="auto"/>
            <w:vAlign w:val="center"/>
          </w:tcPr>
          <w:p w14:paraId="44C750CA"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4.781.490</w:t>
            </w:r>
          </w:p>
        </w:tc>
      </w:tr>
      <w:tr w:rsidR="00375569" w:rsidRPr="006A04A7" w14:paraId="5CFE4B3E"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392095C6" w14:textId="77777777" w:rsidR="00375569" w:rsidRPr="006A04A7" w:rsidRDefault="00375569" w:rsidP="00541D55">
            <w:pPr>
              <w:pStyle w:val="08-Tabelageral"/>
              <w:jc w:val="left"/>
              <w:rPr>
                <w:rFonts w:cs="Arial"/>
                <w:szCs w:val="14"/>
              </w:rPr>
            </w:pPr>
            <w:r w:rsidRPr="006A04A7">
              <w:rPr>
                <w:rFonts w:cs="Arial"/>
                <w:szCs w:val="14"/>
              </w:rPr>
              <w:t>Resultado Financeiro</w:t>
            </w:r>
          </w:p>
        </w:tc>
        <w:tc>
          <w:tcPr>
            <w:tcW w:w="709" w:type="dxa"/>
            <w:tcBorders>
              <w:top w:val="nil"/>
              <w:bottom w:val="nil"/>
            </w:tcBorders>
            <w:shd w:val="clear" w:color="auto" w:fill="auto"/>
            <w:vAlign w:val="center"/>
          </w:tcPr>
          <w:p w14:paraId="321E9BFB"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A04A7">
              <w:rPr>
                <w:rFonts w:cs="Arial"/>
                <w:b/>
                <w:bCs/>
                <w:szCs w:val="14"/>
              </w:rPr>
              <w:t>[14]</w:t>
            </w:r>
          </w:p>
        </w:tc>
        <w:tc>
          <w:tcPr>
            <w:tcW w:w="1274" w:type="dxa"/>
            <w:tcBorders>
              <w:top w:val="nil"/>
              <w:bottom w:val="nil"/>
            </w:tcBorders>
            <w:shd w:val="clear" w:color="auto" w:fill="auto"/>
            <w:vAlign w:val="center"/>
          </w:tcPr>
          <w:p w14:paraId="5B52B7DC"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22.901</w:t>
            </w:r>
          </w:p>
        </w:tc>
        <w:tc>
          <w:tcPr>
            <w:tcW w:w="1275" w:type="dxa"/>
            <w:tcBorders>
              <w:top w:val="nil"/>
              <w:bottom w:val="nil"/>
            </w:tcBorders>
            <w:shd w:val="clear" w:color="auto" w:fill="auto"/>
            <w:vAlign w:val="center"/>
          </w:tcPr>
          <w:p w14:paraId="0F645E4C"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37.295</w:t>
            </w:r>
          </w:p>
        </w:tc>
        <w:tc>
          <w:tcPr>
            <w:tcW w:w="236" w:type="dxa"/>
            <w:tcBorders>
              <w:top w:val="nil"/>
              <w:bottom w:val="nil"/>
            </w:tcBorders>
            <w:shd w:val="clear" w:color="auto" w:fill="auto"/>
            <w:vAlign w:val="center"/>
          </w:tcPr>
          <w:p w14:paraId="18824841"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591A9365"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147.224</w:t>
            </w:r>
          </w:p>
        </w:tc>
        <w:tc>
          <w:tcPr>
            <w:tcW w:w="1276" w:type="dxa"/>
            <w:tcBorders>
              <w:top w:val="nil"/>
              <w:bottom w:val="nil"/>
            </w:tcBorders>
            <w:shd w:val="clear" w:color="auto" w:fill="auto"/>
            <w:vAlign w:val="center"/>
          </w:tcPr>
          <w:p w14:paraId="6B9562DB"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111.150</w:t>
            </w:r>
          </w:p>
        </w:tc>
      </w:tr>
      <w:tr w:rsidR="00375569" w:rsidRPr="006A04A7" w14:paraId="2CF70219"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29961B7" w14:textId="77777777" w:rsidR="00375569" w:rsidRPr="006A04A7" w:rsidRDefault="00375569" w:rsidP="00541D55">
            <w:pPr>
              <w:pStyle w:val="08-Tabelageral"/>
              <w:ind w:left="113"/>
              <w:jc w:val="left"/>
              <w:rPr>
                <w:rFonts w:cs="Arial"/>
                <w:b w:val="0"/>
                <w:szCs w:val="14"/>
              </w:rPr>
            </w:pPr>
            <w:r w:rsidRPr="006A04A7">
              <w:rPr>
                <w:rFonts w:cs="Arial"/>
                <w:b w:val="0"/>
                <w:szCs w:val="14"/>
              </w:rPr>
              <w:t>Receitas financeiras</w:t>
            </w:r>
          </w:p>
        </w:tc>
        <w:tc>
          <w:tcPr>
            <w:tcW w:w="709" w:type="dxa"/>
            <w:tcBorders>
              <w:top w:val="nil"/>
              <w:bottom w:val="nil"/>
            </w:tcBorders>
            <w:shd w:val="clear" w:color="auto" w:fill="auto"/>
            <w:vAlign w:val="center"/>
          </w:tcPr>
          <w:p w14:paraId="71467B4D" w14:textId="77777777" w:rsidR="00375569" w:rsidRPr="006A04A7" w:rsidRDefault="00375569" w:rsidP="00541D55">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4" w:type="dxa"/>
            <w:tcBorders>
              <w:top w:val="nil"/>
              <w:bottom w:val="nil"/>
            </w:tcBorders>
            <w:shd w:val="clear" w:color="auto" w:fill="auto"/>
            <w:vAlign w:val="center"/>
          </w:tcPr>
          <w:p w14:paraId="37F5204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26.992</w:t>
            </w:r>
          </w:p>
        </w:tc>
        <w:tc>
          <w:tcPr>
            <w:tcW w:w="1275" w:type="dxa"/>
            <w:tcBorders>
              <w:top w:val="nil"/>
              <w:bottom w:val="nil"/>
            </w:tcBorders>
            <w:shd w:val="clear" w:color="auto" w:fill="auto"/>
            <w:vAlign w:val="center"/>
          </w:tcPr>
          <w:p w14:paraId="51E4F008"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62.764</w:t>
            </w:r>
          </w:p>
        </w:tc>
        <w:tc>
          <w:tcPr>
            <w:tcW w:w="236" w:type="dxa"/>
            <w:tcBorders>
              <w:top w:val="nil"/>
              <w:bottom w:val="nil"/>
            </w:tcBorders>
            <w:shd w:val="clear" w:color="auto" w:fill="auto"/>
            <w:vAlign w:val="center"/>
          </w:tcPr>
          <w:p w14:paraId="56D93660"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6607E80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A36934">
              <w:t>151.739</w:t>
            </w:r>
          </w:p>
        </w:tc>
        <w:tc>
          <w:tcPr>
            <w:tcW w:w="1276" w:type="dxa"/>
            <w:tcBorders>
              <w:top w:val="nil"/>
              <w:bottom w:val="nil"/>
            </w:tcBorders>
            <w:shd w:val="clear" w:color="auto" w:fill="auto"/>
            <w:vAlign w:val="center"/>
          </w:tcPr>
          <w:p w14:paraId="585E1922"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r w:rsidRPr="006A04A7">
              <w:t>138.657</w:t>
            </w:r>
          </w:p>
        </w:tc>
      </w:tr>
      <w:tr w:rsidR="00375569" w:rsidRPr="006A04A7" w14:paraId="19D3A374"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1B183D45" w14:textId="77777777" w:rsidR="00375569" w:rsidRPr="006A04A7" w:rsidRDefault="00375569" w:rsidP="00541D55">
            <w:pPr>
              <w:pStyle w:val="08-Tabelageral"/>
              <w:ind w:left="113"/>
              <w:jc w:val="left"/>
              <w:rPr>
                <w:rFonts w:cs="Arial"/>
                <w:b w:val="0"/>
                <w:szCs w:val="14"/>
              </w:rPr>
            </w:pPr>
            <w:r w:rsidRPr="006A04A7">
              <w:rPr>
                <w:rFonts w:cs="Arial"/>
                <w:b w:val="0"/>
                <w:szCs w:val="14"/>
              </w:rPr>
              <w:t xml:space="preserve">Despesas financeiras </w:t>
            </w:r>
          </w:p>
        </w:tc>
        <w:tc>
          <w:tcPr>
            <w:tcW w:w="709" w:type="dxa"/>
            <w:tcBorders>
              <w:top w:val="nil"/>
              <w:bottom w:val="nil"/>
            </w:tcBorders>
            <w:shd w:val="clear" w:color="auto" w:fill="auto"/>
            <w:vAlign w:val="center"/>
          </w:tcPr>
          <w:p w14:paraId="0BF33EC9" w14:textId="77777777" w:rsidR="00375569" w:rsidRPr="006A04A7" w:rsidRDefault="00375569" w:rsidP="00541D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4" w:type="dxa"/>
            <w:tcBorders>
              <w:top w:val="nil"/>
              <w:bottom w:val="nil"/>
            </w:tcBorders>
            <w:shd w:val="clear" w:color="auto" w:fill="auto"/>
            <w:vAlign w:val="center"/>
          </w:tcPr>
          <w:p w14:paraId="0DBC59C6"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(4.091)</w:t>
            </w:r>
          </w:p>
        </w:tc>
        <w:tc>
          <w:tcPr>
            <w:tcW w:w="1275" w:type="dxa"/>
            <w:tcBorders>
              <w:top w:val="nil"/>
              <w:bottom w:val="nil"/>
            </w:tcBorders>
            <w:shd w:val="clear" w:color="auto" w:fill="auto"/>
            <w:vAlign w:val="center"/>
          </w:tcPr>
          <w:p w14:paraId="0DCCAF9D"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(25.469)</w:t>
            </w:r>
          </w:p>
        </w:tc>
        <w:tc>
          <w:tcPr>
            <w:tcW w:w="236" w:type="dxa"/>
            <w:tcBorders>
              <w:top w:val="nil"/>
              <w:bottom w:val="nil"/>
            </w:tcBorders>
            <w:shd w:val="clear" w:color="auto" w:fill="auto"/>
            <w:vAlign w:val="center"/>
          </w:tcPr>
          <w:p w14:paraId="0079D3BC"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nil"/>
              <w:bottom w:val="nil"/>
            </w:tcBorders>
            <w:shd w:val="clear" w:color="auto" w:fill="auto"/>
            <w:vAlign w:val="center"/>
          </w:tcPr>
          <w:p w14:paraId="5CBC8187"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A36934">
              <w:t>(4.515)</w:t>
            </w:r>
          </w:p>
        </w:tc>
        <w:tc>
          <w:tcPr>
            <w:tcW w:w="1276" w:type="dxa"/>
            <w:tcBorders>
              <w:top w:val="nil"/>
              <w:bottom w:val="nil"/>
            </w:tcBorders>
            <w:shd w:val="clear" w:color="auto" w:fill="auto"/>
            <w:vAlign w:val="center"/>
          </w:tcPr>
          <w:p w14:paraId="46C1F4A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pPr>
            <w:r w:rsidRPr="006A04A7">
              <w:t>(27.507)</w:t>
            </w:r>
          </w:p>
        </w:tc>
      </w:tr>
      <w:tr w:rsidR="00375569" w:rsidRPr="006A04A7" w14:paraId="4464DCDA"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7326B7C" w14:textId="77777777" w:rsidR="00375569" w:rsidRPr="006A04A7" w:rsidRDefault="00375569" w:rsidP="00541D55">
            <w:pPr>
              <w:pStyle w:val="08-Tabelageral"/>
              <w:jc w:val="left"/>
              <w:rPr>
                <w:rFonts w:cs="Arial"/>
                <w:bCs w:val="0"/>
                <w:szCs w:val="14"/>
              </w:rPr>
            </w:pPr>
            <w:r w:rsidRPr="006A04A7">
              <w:rPr>
                <w:rFonts w:cs="Arial"/>
                <w:szCs w:val="14"/>
              </w:rPr>
              <w:t>Resultado Antes do Imposto de Renda e Contribuição Social</w:t>
            </w:r>
          </w:p>
        </w:tc>
        <w:tc>
          <w:tcPr>
            <w:tcW w:w="709" w:type="dxa"/>
            <w:tcBorders>
              <w:top w:val="nil"/>
              <w:bottom w:val="nil"/>
            </w:tcBorders>
            <w:shd w:val="clear" w:color="auto" w:fill="auto"/>
            <w:vAlign w:val="center"/>
          </w:tcPr>
          <w:p w14:paraId="145265CA"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74" w:type="dxa"/>
            <w:tcBorders>
              <w:top w:val="nil"/>
              <w:bottom w:val="nil"/>
            </w:tcBorders>
            <w:shd w:val="clear" w:color="auto" w:fill="auto"/>
            <w:vAlign w:val="center"/>
          </w:tcPr>
          <w:p w14:paraId="3817C5E2"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rPr>
              <w:t>3.937.922</w:t>
            </w:r>
          </w:p>
        </w:tc>
        <w:tc>
          <w:tcPr>
            <w:tcW w:w="1275" w:type="dxa"/>
            <w:tcBorders>
              <w:top w:val="nil"/>
              <w:bottom w:val="nil"/>
            </w:tcBorders>
            <w:shd w:val="clear" w:color="auto" w:fill="auto"/>
            <w:vAlign w:val="center"/>
          </w:tcPr>
          <w:p w14:paraId="030F3E3B"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3.859.797</w:t>
            </w:r>
          </w:p>
        </w:tc>
        <w:tc>
          <w:tcPr>
            <w:tcW w:w="236" w:type="dxa"/>
            <w:tcBorders>
              <w:top w:val="nil"/>
              <w:bottom w:val="nil"/>
            </w:tcBorders>
            <w:shd w:val="clear" w:color="auto" w:fill="auto"/>
            <w:vAlign w:val="center"/>
          </w:tcPr>
          <w:p w14:paraId="7AD309B7"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0D2898BD"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5.079.424</w:t>
            </w:r>
          </w:p>
        </w:tc>
        <w:tc>
          <w:tcPr>
            <w:tcW w:w="1276" w:type="dxa"/>
            <w:tcBorders>
              <w:top w:val="nil"/>
              <w:bottom w:val="nil"/>
            </w:tcBorders>
            <w:shd w:val="clear" w:color="auto" w:fill="auto"/>
            <w:vAlign w:val="center"/>
          </w:tcPr>
          <w:p w14:paraId="69783A63"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b/>
                <w:bCs/>
              </w:rPr>
            </w:pPr>
            <w:r w:rsidRPr="006A04A7">
              <w:rPr>
                <w:b/>
              </w:rPr>
              <w:t>4.892.640</w:t>
            </w:r>
          </w:p>
        </w:tc>
      </w:tr>
      <w:tr w:rsidR="00375569" w:rsidRPr="006A04A7" w14:paraId="39F1AA37"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6C797ED2" w14:textId="77777777" w:rsidR="00375569" w:rsidRPr="006A04A7" w:rsidRDefault="00375569" w:rsidP="00541D55">
            <w:pPr>
              <w:pStyle w:val="08-Tabelageral"/>
              <w:jc w:val="left"/>
              <w:rPr>
                <w:rFonts w:cs="Arial"/>
                <w:bCs w:val="0"/>
                <w:szCs w:val="14"/>
              </w:rPr>
            </w:pPr>
            <w:r w:rsidRPr="006A04A7">
              <w:rPr>
                <w:rFonts w:cs="Arial"/>
                <w:szCs w:val="14"/>
              </w:rPr>
              <w:t>Imposto de Renda e Contribuição Social</w:t>
            </w:r>
          </w:p>
        </w:tc>
        <w:tc>
          <w:tcPr>
            <w:tcW w:w="709" w:type="dxa"/>
            <w:tcBorders>
              <w:top w:val="nil"/>
              <w:bottom w:val="nil"/>
            </w:tcBorders>
            <w:shd w:val="clear" w:color="auto" w:fill="auto"/>
            <w:vAlign w:val="center"/>
          </w:tcPr>
          <w:p w14:paraId="0C032026"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6A04A7">
              <w:rPr>
                <w:rFonts w:cs="Arial"/>
                <w:b/>
                <w:szCs w:val="14"/>
              </w:rPr>
              <w:t>[12.a]</w:t>
            </w:r>
          </w:p>
        </w:tc>
        <w:tc>
          <w:tcPr>
            <w:tcW w:w="1274" w:type="dxa"/>
            <w:tcBorders>
              <w:top w:val="nil"/>
              <w:bottom w:val="nil"/>
            </w:tcBorders>
            <w:shd w:val="clear" w:color="auto" w:fill="auto"/>
            <w:vAlign w:val="center"/>
          </w:tcPr>
          <w:p w14:paraId="6EF50DF8"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rPr>
              <w:t>(4.705)</w:t>
            </w:r>
          </w:p>
        </w:tc>
        <w:tc>
          <w:tcPr>
            <w:tcW w:w="1275" w:type="dxa"/>
            <w:tcBorders>
              <w:top w:val="nil"/>
              <w:bottom w:val="nil"/>
            </w:tcBorders>
            <w:shd w:val="clear" w:color="auto" w:fill="auto"/>
            <w:vAlign w:val="center"/>
          </w:tcPr>
          <w:p w14:paraId="4A25DDD3"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(9.026)</w:t>
            </w:r>
          </w:p>
        </w:tc>
        <w:tc>
          <w:tcPr>
            <w:tcW w:w="236" w:type="dxa"/>
            <w:tcBorders>
              <w:top w:val="nil"/>
              <w:bottom w:val="nil"/>
            </w:tcBorders>
            <w:shd w:val="clear" w:color="auto" w:fill="auto"/>
            <w:vAlign w:val="center"/>
          </w:tcPr>
          <w:p w14:paraId="29BBD5E0"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326" w:type="dxa"/>
            <w:tcBorders>
              <w:top w:val="nil"/>
              <w:bottom w:val="nil"/>
            </w:tcBorders>
            <w:shd w:val="clear" w:color="auto" w:fill="auto"/>
            <w:vAlign w:val="center"/>
          </w:tcPr>
          <w:p w14:paraId="2608AD45"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rPr>
              <w:t>(1.146.207)</w:t>
            </w:r>
          </w:p>
        </w:tc>
        <w:tc>
          <w:tcPr>
            <w:tcW w:w="1276" w:type="dxa"/>
            <w:tcBorders>
              <w:top w:val="nil"/>
              <w:bottom w:val="nil"/>
            </w:tcBorders>
            <w:shd w:val="clear" w:color="auto" w:fill="auto"/>
            <w:vAlign w:val="center"/>
          </w:tcPr>
          <w:p w14:paraId="35EC0111"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(1.041.869)</w:t>
            </w:r>
          </w:p>
        </w:tc>
      </w:tr>
      <w:tr w:rsidR="00375569" w:rsidRPr="006A04A7" w14:paraId="0BFE0B23"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071BCCF0" w14:textId="77777777" w:rsidR="00375569" w:rsidRPr="006A04A7" w:rsidRDefault="00375569" w:rsidP="00541D55">
            <w:pPr>
              <w:pStyle w:val="08-Tabelageral"/>
              <w:jc w:val="left"/>
              <w:rPr>
                <w:rFonts w:cs="Arial"/>
                <w:szCs w:val="14"/>
              </w:rPr>
            </w:pPr>
          </w:p>
        </w:tc>
        <w:tc>
          <w:tcPr>
            <w:tcW w:w="709" w:type="dxa"/>
            <w:tcBorders>
              <w:top w:val="nil"/>
              <w:bottom w:val="nil"/>
            </w:tcBorders>
            <w:shd w:val="clear" w:color="auto" w:fill="auto"/>
            <w:vAlign w:val="center"/>
          </w:tcPr>
          <w:p w14:paraId="5091B534"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4" w:type="dxa"/>
            <w:tcBorders>
              <w:top w:val="nil"/>
              <w:bottom w:val="nil"/>
            </w:tcBorders>
            <w:shd w:val="clear" w:color="auto" w:fill="auto"/>
            <w:vAlign w:val="center"/>
          </w:tcPr>
          <w:p w14:paraId="00E17791"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shd w:val="clear" w:color="auto" w:fill="auto"/>
            <w:vAlign w:val="center"/>
          </w:tcPr>
          <w:p w14:paraId="64B4A9D3"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tcBorders>
            <w:shd w:val="clear" w:color="auto" w:fill="auto"/>
            <w:vAlign w:val="center"/>
          </w:tcPr>
          <w:p w14:paraId="01E3EDAE"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2021EBFA"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c>
          <w:tcPr>
            <w:tcW w:w="1276" w:type="dxa"/>
            <w:tcBorders>
              <w:top w:val="nil"/>
              <w:bottom w:val="nil"/>
            </w:tcBorders>
            <w:shd w:val="clear" w:color="auto" w:fill="auto"/>
            <w:vAlign w:val="center"/>
          </w:tcPr>
          <w:p w14:paraId="50669F67" w14:textId="77777777" w:rsidR="00375569" w:rsidRPr="006A04A7" w:rsidRDefault="00375569" w:rsidP="00541D55">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6A04A7" w14:paraId="26A8B2F8"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2BFDF397" w14:textId="77777777" w:rsidR="00375569" w:rsidRPr="006A04A7" w:rsidRDefault="00375569" w:rsidP="00541D55">
            <w:pPr>
              <w:pStyle w:val="08-Tabelageral"/>
              <w:jc w:val="left"/>
              <w:rPr>
                <w:rFonts w:cs="Arial"/>
                <w:bCs w:val="0"/>
                <w:szCs w:val="14"/>
              </w:rPr>
            </w:pPr>
            <w:r w:rsidRPr="006A04A7">
              <w:rPr>
                <w:rFonts w:cs="Arial"/>
                <w:szCs w:val="14"/>
              </w:rPr>
              <w:t xml:space="preserve">Lucro Líquido do Exercício </w:t>
            </w:r>
          </w:p>
        </w:tc>
        <w:tc>
          <w:tcPr>
            <w:tcW w:w="709" w:type="dxa"/>
            <w:tcBorders>
              <w:top w:val="nil"/>
              <w:bottom w:val="nil"/>
            </w:tcBorders>
            <w:shd w:val="clear" w:color="auto" w:fill="auto"/>
            <w:vAlign w:val="center"/>
          </w:tcPr>
          <w:p w14:paraId="4876B256"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4" w:type="dxa"/>
            <w:tcBorders>
              <w:top w:val="nil"/>
              <w:bottom w:val="nil"/>
            </w:tcBorders>
            <w:shd w:val="clear" w:color="auto" w:fill="auto"/>
            <w:vAlign w:val="center"/>
          </w:tcPr>
          <w:p w14:paraId="0CA455DA"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rPr>
              <w:t>3.933.217</w:t>
            </w:r>
          </w:p>
        </w:tc>
        <w:tc>
          <w:tcPr>
            <w:tcW w:w="1275" w:type="dxa"/>
            <w:tcBorders>
              <w:top w:val="nil"/>
              <w:bottom w:val="nil"/>
            </w:tcBorders>
            <w:shd w:val="clear" w:color="auto" w:fill="auto"/>
            <w:vAlign w:val="center"/>
          </w:tcPr>
          <w:p w14:paraId="177E400C"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rPr>
              <w:t>3.850.771</w:t>
            </w:r>
          </w:p>
        </w:tc>
        <w:tc>
          <w:tcPr>
            <w:tcW w:w="236" w:type="dxa"/>
            <w:tcBorders>
              <w:top w:val="nil"/>
              <w:bottom w:val="nil"/>
            </w:tcBorders>
            <w:shd w:val="clear" w:color="auto" w:fill="auto"/>
            <w:vAlign w:val="center"/>
          </w:tcPr>
          <w:p w14:paraId="616BDA82"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26" w:type="dxa"/>
            <w:tcBorders>
              <w:top w:val="nil"/>
              <w:bottom w:val="nil"/>
            </w:tcBorders>
            <w:shd w:val="clear" w:color="auto" w:fill="auto"/>
            <w:vAlign w:val="center"/>
          </w:tcPr>
          <w:p w14:paraId="01AA9861"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3.933.217</w:t>
            </w:r>
          </w:p>
        </w:tc>
        <w:tc>
          <w:tcPr>
            <w:tcW w:w="1276" w:type="dxa"/>
            <w:tcBorders>
              <w:top w:val="nil"/>
              <w:bottom w:val="nil"/>
            </w:tcBorders>
            <w:shd w:val="clear" w:color="auto" w:fill="auto"/>
            <w:vAlign w:val="center"/>
          </w:tcPr>
          <w:p w14:paraId="08A46AFA" w14:textId="77777777" w:rsidR="00375569" w:rsidRPr="006A04A7" w:rsidRDefault="00375569" w:rsidP="00541D55">
            <w:pPr>
              <w:pStyle w:val="08-Tabelageral"/>
              <w:cnfStyle w:val="000000100000" w:firstRow="0" w:lastRow="0" w:firstColumn="0" w:lastColumn="0" w:oddVBand="0" w:evenVBand="0" w:oddHBand="1" w:evenHBand="0" w:firstRowFirstColumn="0" w:firstRowLastColumn="0" w:lastRowFirstColumn="0" w:lastRowLastColumn="0"/>
              <w:rPr>
                <w:b/>
                <w:bCs/>
              </w:rPr>
            </w:pPr>
            <w:r w:rsidRPr="006A04A7">
              <w:rPr>
                <w:b/>
                <w:bCs/>
              </w:rPr>
              <w:t>3.850.771</w:t>
            </w:r>
          </w:p>
        </w:tc>
      </w:tr>
      <w:tr w:rsidR="00375569" w:rsidRPr="006A04A7" w14:paraId="3A60DDCB"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2" w:space="0" w:color="1F4E79" w:themeColor="accent1" w:themeShade="80"/>
            </w:tcBorders>
            <w:shd w:val="clear" w:color="auto" w:fill="auto"/>
            <w:vAlign w:val="center"/>
          </w:tcPr>
          <w:p w14:paraId="30E69CC4" w14:textId="77777777" w:rsidR="00375569" w:rsidRPr="006A04A7" w:rsidRDefault="00375569" w:rsidP="00E04B13">
            <w:pPr>
              <w:pStyle w:val="08-Tabelageral"/>
              <w:jc w:val="left"/>
              <w:rPr>
                <w:rFonts w:cs="Arial"/>
                <w:bCs w:val="0"/>
                <w:szCs w:val="14"/>
              </w:rPr>
            </w:pPr>
          </w:p>
        </w:tc>
        <w:tc>
          <w:tcPr>
            <w:tcW w:w="709" w:type="dxa"/>
            <w:tcBorders>
              <w:top w:val="nil"/>
              <w:bottom w:val="single" w:sz="2" w:space="0" w:color="1F4E79" w:themeColor="accent1" w:themeShade="80"/>
            </w:tcBorders>
            <w:shd w:val="clear" w:color="auto" w:fill="auto"/>
            <w:vAlign w:val="center"/>
          </w:tcPr>
          <w:p w14:paraId="1A18DD24"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74" w:type="dxa"/>
            <w:tcBorders>
              <w:top w:val="nil"/>
              <w:bottom w:val="single" w:sz="2" w:space="0" w:color="1F4E79" w:themeColor="accent1" w:themeShade="80"/>
            </w:tcBorders>
            <w:shd w:val="clear" w:color="auto" w:fill="auto"/>
            <w:vAlign w:val="center"/>
          </w:tcPr>
          <w:p w14:paraId="46E86650"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single" w:sz="2" w:space="0" w:color="1F4E79" w:themeColor="accent1" w:themeShade="80"/>
            </w:tcBorders>
            <w:shd w:val="clear" w:color="auto" w:fill="auto"/>
            <w:vAlign w:val="center"/>
          </w:tcPr>
          <w:p w14:paraId="5CA9DE0B"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single" w:sz="2" w:space="0" w:color="1F4E79" w:themeColor="accent1" w:themeShade="80"/>
            </w:tcBorders>
            <w:shd w:val="clear" w:color="auto" w:fill="auto"/>
            <w:vAlign w:val="center"/>
          </w:tcPr>
          <w:p w14:paraId="7BB83F62"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single" w:sz="2" w:space="0" w:color="1F4E79" w:themeColor="accent1" w:themeShade="80"/>
            </w:tcBorders>
            <w:shd w:val="clear" w:color="auto" w:fill="auto"/>
            <w:vAlign w:val="center"/>
          </w:tcPr>
          <w:p w14:paraId="66648850"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pPr>
          </w:p>
        </w:tc>
        <w:tc>
          <w:tcPr>
            <w:tcW w:w="1276" w:type="dxa"/>
            <w:tcBorders>
              <w:top w:val="nil"/>
              <w:bottom w:val="single" w:sz="2" w:space="0" w:color="1F4E79" w:themeColor="accent1" w:themeShade="80"/>
            </w:tcBorders>
            <w:shd w:val="clear" w:color="auto" w:fill="auto"/>
            <w:vAlign w:val="center"/>
          </w:tcPr>
          <w:p w14:paraId="39CE4CB0" w14:textId="77777777" w:rsidR="00375569" w:rsidRPr="006A04A7" w:rsidRDefault="00375569" w:rsidP="00E04B13">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6A04A7" w14:paraId="73542AF1"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2" w:space="0" w:color="1F4E79" w:themeColor="accent1" w:themeShade="80"/>
              <w:bottom w:val="nil"/>
            </w:tcBorders>
            <w:shd w:val="clear" w:color="auto" w:fill="auto"/>
            <w:vAlign w:val="center"/>
          </w:tcPr>
          <w:p w14:paraId="31299721" w14:textId="77777777" w:rsidR="00375569" w:rsidRPr="006A04A7" w:rsidRDefault="00375569" w:rsidP="008B7596">
            <w:pPr>
              <w:pStyle w:val="08-Tabelageral"/>
              <w:jc w:val="left"/>
              <w:rPr>
                <w:rFonts w:cs="Arial"/>
                <w:b w:val="0"/>
                <w:szCs w:val="14"/>
              </w:rPr>
            </w:pPr>
            <w:r w:rsidRPr="006A04A7">
              <w:rPr>
                <w:rFonts w:cs="Arial"/>
                <w:b w:val="0"/>
                <w:szCs w:val="14"/>
              </w:rPr>
              <w:t>Número de ações</w:t>
            </w:r>
          </w:p>
        </w:tc>
        <w:tc>
          <w:tcPr>
            <w:tcW w:w="709" w:type="dxa"/>
            <w:tcBorders>
              <w:top w:val="single" w:sz="2" w:space="0" w:color="1F4E79" w:themeColor="accent1" w:themeShade="80"/>
              <w:bottom w:val="nil"/>
            </w:tcBorders>
            <w:shd w:val="clear" w:color="auto" w:fill="auto"/>
            <w:vAlign w:val="center"/>
          </w:tcPr>
          <w:p w14:paraId="2397936C"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A04A7">
              <w:rPr>
                <w:rFonts w:cs="Arial"/>
                <w:szCs w:val="14"/>
              </w:rPr>
              <w:t>[25.a]</w:t>
            </w:r>
          </w:p>
        </w:tc>
        <w:tc>
          <w:tcPr>
            <w:tcW w:w="1274" w:type="dxa"/>
            <w:tcBorders>
              <w:top w:val="single" w:sz="2" w:space="0" w:color="1F4E79" w:themeColor="accent1" w:themeShade="80"/>
              <w:bottom w:val="nil"/>
            </w:tcBorders>
            <w:shd w:val="clear" w:color="auto" w:fill="auto"/>
            <w:vAlign w:val="center"/>
          </w:tcPr>
          <w:p w14:paraId="08FF6630"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F261B2">
              <w:t>2.000.000.000</w:t>
            </w:r>
          </w:p>
        </w:tc>
        <w:tc>
          <w:tcPr>
            <w:tcW w:w="1275" w:type="dxa"/>
            <w:tcBorders>
              <w:top w:val="single" w:sz="2" w:space="0" w:color="1F4E79" w:themeColor="accent1" w:themeShade="80"/>
              <w:bottom w:val="nil"/>
            </w:tcBorders>
            <w:shd w:val="clear" w:color="auto" w:fill="auto"/>
          </w:tcPr>
          <w:p w14:paraId="48FFEBA5"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6A04A7">
              <w:t>2.000.000.000</w:t>
            </w:r>
          </w:p>
        </w:tc>
        <w:tc>
          <w:tcPr>
            <w:tcW w:w="236" w:type="dxa"/>
            <w:tcBorders>
              <w:top w:val="single" w:sz="2" w:space="0" w:color="1F4E79" w:themeColor="accent1" w:themeShade="80"/>
              <w:bottom w:val="nil"/>
            </w:tcBorders>
            <w:shd w:val="clear" w:color="auto" w:fill="auto"/>
            <w:vAlign w:val="center"/>
          </w:tcPr>
          <w:p w14:paraId="1CFFF93A"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single" w:sz="2" w:space="0" w:color="1F4E79" w:themeColor="accent1" w:themeShade="80"/>
              <w:bottom w:val="nil"/>
            </w:tcBorders>
            <w:shd w:val="clear" w:color="auto" w:fill="auto"/>
            <w:vAlign w:val="center"/>
          </w:tcPr>
          <w:p w14:paraId="2308E935"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F261B2">
              <w:t>2.000.000.000</w:t>
            </w:r>
          </w:p>
        </w:tc>
        <w:tc>
          <w:tcPr>
            <w:tcW w:w="1276" w:type="dxa"/>
            <w:tcBorders>
              <w:top w:val="single" w:sz="2" w:space="0" w:color="1F4E79" w:themeColor="accent1" w:themeShade="80"/>
              <w:bottom w:val="nil"/>
            </w:tcBorders>
            <w:shd w:val="clear" w:color="auto" w:fill="auto"/>
          </w:tcPr>
          <w:p w14:paraId="27E76681"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6A04A7">
              <w:t>2.000.000.000</w:t>
            </w:r>
          </w:p>
        </w:tc>
      </w:tr>
      <w:tr w:rsidR="00375569" w:rsidRPr="006A04A7" w14:paraId="254B16AE" w14:textId="77777777" w:rsidTr="006A04A7">
        <w:trPr>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center"/>
          </w:tcPr>
          <w:p w14:paraId="7F0055B6" w14:textId="77777777" w:rsidR="00375569" w:rsidRPr="006A04A7" w:rsidRDefault="00375569" w:rsidP="008B7596">
            <w:pPr>
              <w:pStyle w:val="08-Tabelageral"/>
              <w:jc w:val="left"/>
              <w:rPr>
                <w:rFonts w:cs="Arial"/>
                <w:b w:val="0"/>
                <w:szCs w:val="14"/>
              </w:rPr>
            </w:pPr>
            <w:r w:rsidRPr="006A04A7">
              <w:rPr>
                <w:rFonts w:cs="Arial"/>
                <w:b w:val="0"/>
                <w:szCs w:val="14"/>
              </w:rPr>
              <w:t>Número médio ponderado de ações (básico e diluído)</w:t>
            </w:r>
          </w:p>
        </w:tc>
        <w:tc>
          <w:tcPr>
            <w:tcW w:w="709" w:type="dxa"/>
            <w:tcBorders>
              <w:top w:val="nil"/>
              <w:bottom w:val="nil"/>
            </w:tcBorders>
            <w:shd w:val="clear" w:color="auto" w:fill="auto"/>
            <w:vAlign w:val="center"/>
          </w:tcPr>
          <w:p w14:paraId="4AE51230"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A04A7">
              <w:rPr>
                <w:rFonts w:cs="Arial"/>
                <w:szCs w:val="14"/>
              </w:rPr>
              <w:t>[25.c]</w:t>
            </w:r>
          </w:p>
        </w:tc>
        <w:tc>
          <w:tcPr>
            <w:tcW w:w="1274" w:type="dxa"/>
            <w:tcBorders>
              <w:top w:val="nil"/>
              <w:bottom w:val="nil"/>
            </w:tcBorders>
            <w:shd w:val="clear" w:color="auto" w:fill="auto"/>
            <w:vAlign w:val="center"/>
          </w:tcPr>
          <w:p w14:paraId="50F7AB01"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pPr>
            <w:r w:rsidRPr="00F261B2">
              <w:t xml:space="preserve">     1.996.672.230</w:t>
            </w:r>
          </w:p>
        </w:tc>
        <w:tc>
          <w:tcPr>
            <w:tcW w:w="1275" w:type="dxa"/>
            <w:tcBorders>
              <w:top w:val="nil"/>
              <w:bottom w:val="nil"/>
            </w:tcBorders>
            <w:shd w:val="clear" w:color="auto" w:fill="auto"/>
          </w:tcPr>
          <w:p w14:paraId="486830F6"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pPr>
            <w:r w:rsidRPr="006A04A7">
              <w:t>1.996.626.255</w:t>
            </w:r>
          </w:p>
        </w:tc>
        <w:tc>
          <w:tcPr>
            <w:tcW w:w="236" w:type="dxa"/>
            <w:tcBorders>
              <w:top w:val="nil"/>
              <w:bottom w:val="nil"/>
            </w:tcBorders>
            <w:shd w:val="clear" w:color="auto" w:fill="auto"/>
            <w:vAlign w:val="center"/>
          </w:tcPr>
          <w:p w14:paraId="602B20E9"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pPr>
          </w:p>
        </w:tc>
        <w:tc>
          <w:tcPr>
            <w:tcW w:w="1326" w:type="dxa"/>
            <w:tcBorders>
              <w:top w:val="nil"/>
              <w:bottom w:val="nil"/>
            </w:tcBorders>
            <w:shd w:val="clear" w:color="auto" w:fill="auto"/>
            <w:vAlign w:val="center"/>
          </w:tcPr>
          <w:p w14:paraId="719A78C9"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pPr>
            <w:r w:rsidRPr="00F261B2">
              <w:t xml:space="preserve">      1.996.672.230</w:t>
            </w:r>
          </w:p>
        </w:tc>
        <w:tc>
          <w:tcPr>
            <w:tcW w:w="1276" w:type="dxa"/>
            <w:tcBorders>
              <w:top w:val="nil"/>
              <w:bottom w:val="nil"/>
            </w:tcBorders>
            <w:shd w:val="clear" w:color="auto" w:fill="auto"/>
          </w:tcPr>
          <w:p w14:paraId="4E18B7AC" w14:textId="77777777" w:rsidR="00375569" w:rsidRPr="006A04A7" w:rsidRDefault="00375569" w:rsidP="008B7596">
            <w:pPr>
              <w:pStyle w:val="08-Tabelageral"/>
              <w:cnfStyle w:val="000000000000" w:firstRow="0" w:lastRow="0" w:firstColumn="0" w:lastColumn="0" w:oddVBand="0" w:evenVBand="0" w:oddHBand="0" w:evenHBand="0" w:firstRowFirstColumn="0" w:firstRowLastColumn="0" w:lastRowFirstColumn="0" w:lastRowLastColumn="0"/>
            </w:pPr>
            <w:r w:rsidRPr="006A04A7">
              <w:t>1.996.626.255</w:t>
            </w:r>
          </w:p>
        </w:tc>
      </w:tr>
      <w:tr w:rsidR="00375569" w:rsidRPr="003E7906" w14:paraId="67B05428" w14:textId="77777777" w:rsidTr="006A04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2" w:space="0" w:color="1F4E79" w:themeColor="accent1" w:themeShade="80"/>
            </w:tcBorders>
            <w:shd w:val="clear" w:color="auto" w:fill="auto"/>
            <w:vAlign w:val="center"/>
          </w:tcPr>
          <w:p w14:paraId="4CB1D8D8" w14:textId="77777777" w:rsidR="00375569" w:rsidRPr="006A04A7" w:rsidRDefault="00375569" w:rsidP="008B7596">
            <w:pPr>
              <w:pStyle w:val="08-Tabelageral"/>
              <w:jc w:val="left"/>
              <w:rPr>
                <w:rFonts w:cs="Arial"/>
                <w:b w:val="0"/>
                <w:bCs w:val="0"/>
              </w:rPr>
            </w:pPr>
            <w:r w:rsidRPr="006A04A7">
              <w:rPr>
                <w:rFonts w:cs="Arial"/>
                <w:b w:val="0"/>
                <w:bCs w:val="0"/>
              </w:rPr>
              <w:t xml:space="preserve">Lucro por ação (básico e diluído) (R$) </w:t>
            </w:r>
          </w:p>
        </w:tc>
        <w:tc>
          <w:tcPr>
            <w:tcW w:w="709" w:type="dxa"/>
            <w:tcBorders>
              <w:top w:val="nil"/>
              <w:bottom w:val="single" w:sz="2" w:space="0" w:color="1F4E79" w:themeColor="accent1" w:themeShade="80"/>
            </w:tcBorders>
            <w:shd w:val="clear" w:color="auto" w:fill="auto"/>
            <w:vAlign w:val="center"/>
          </w:tcPr>
          <w:p w14:paraId="5DD8A2D2"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A04A7">
              <w:rPr>
                <w:rFonts w:cs="Arial"/>
                <w:szCs w:val="14"/>
              </w:rPr>
              <w:t>[25.c]</w:t>
            </w:r>
          </w:p>
        </w:tc>
        <w:tc>
          <w:tcPr>
            <w:tcW w:w="1274" w:type="dxa"/>
            <w:tcBorders>
              <w:top w:val="nil"/>
              <w:bottom w:val="single" w:sz="2" w:space="0" w:color="1F4E79" w:themeColor="accent1" w:themeShade="80"/>
            </w:tcBorders>
            <w:shd w:val="clear" w:color="auto" w:fill="auto"/>
            <w:vAlign w:val="center"/>
          </w:tcPr>
          <w:p w14:paraId="5AEB2FA6"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F261B2">
              <w:t>1,97</w:t>
            </w:r>
          </w:p>
        </w:tc>
        <w:tc>
          <w:tcPr>
            <w:tcW w:w="1275" w:type="dxa"/>
            <w:tcBorders>
              <w:top w:val="nil"/>
              <w:bottom w:val="single" w:sz="2" w:space="0" w:color="1F4E79" w:themeColor="accent1" w:themeShade="80"/>
            </w:tcBorders>
            <w:shd w:val="clear" w:color="auto" w:fill="auto"/>
          </w:tcPr>
          <w:p w14:paraId="0B8FD996"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6A04A7">
              <w:t>1,93</w:t>
            </w:r>
          </w:p>
        </w:tc>
        <w:tc>
          <w:tcPr>
            <w:tcW w:w="236" w:type="dxa"/>
            <w:tcBorders>
              <w:top w:val="nil"/>
              <w:bottom w:val="single" w:sz="2" w:space="0" w:color="1F4E79" w:themeColor="accent1" w:themeShade="80"/>
            </w:tcBorders>
            <w:shd w:val="clear" w:color="auto" w:fill="auto"/>
            <w:vAlign w:val="center"/>
          </w:tcPr>
          <w:p w14:paraId="289B00A6"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p>
        </w:tc>
        <w:tc>
          <w:tcPr>
            <w:tcW w:w="1326" w:type="dxa"/>
            <w:tcBorders>
              <w:top w:val="nil"/>
              <w:bottom w:val="single" w:sz="2" w:space="0" w:color="1F4E79" w:themeColor="accent1" w:themeShade="80"/>
            </w:tcBorders>
            <w:shd w:val="clear" w:color="auto" w:fill="auto"/>
            <w:vAlign w:val="center"/>
          </w:tcPr>
          <w:p w14:paraId="5D7499C6"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F261B2">
              <w:t>1,97</w:t>
            </w:r>
          </w:p>
        </w:tc>
        <w:tc>
          <w:tcPr>
            <w:tcW w:w="1276" w:type="dxa"/>
            <w:tcBorders>
              <w:top w:val="nil"/>
              <w:bottom w:val="single" w:sz="2" w:space="0" w:color="1F4E79" w:themeColor="accent1" w:themeShade="80"/>
            </w:tcBorders>
            <w:shd w:val="clear" w:color="auto" w:fill="auto"/>
          </w:tcPr>
          <w:p w14:paraId="5D3C26FB" w14:textId="77777777" w:rsidR="00375569" w:rsidRPr="006A04A7" w:rsidRDefault="00375569" w:rsidP="008B7596">
            <w:pPr>
              <w:pStyle w:val="08-Tabelageral"/>
              <w:cnfStyle w:val="000000100000" w:firstRow="0" w:lastRow="0" w:firstColumn="0" w:lastColumn="0" w:oddVBand="0" w:evenVBand="0" w:oddHBand="1" w:evenHBand="0" w:firstRowFirstColumn="0" w:firstRowLastColumn="0" w:lastRowFirstColumn="0" w:lastRowLastColumn="0"/>
            </w:pPr>
            <w:r w:rsidRPr="006A04A7">
              <w:t>1,93</w:t>
            </w:r>
          </w:p>
        </w:tc>
      </w:tr>
    </w:tbl>
    <w:bookmarkEnd w:id="13"/>
    <w:p w14:paraId="72996EBA" w14:textId="77777777" w:rsidR="00375569" w:rsidRDefault="00375569" w:rsidP="00EA751F">
      <w:pPr>
        <w:rPr>
          <w:rFonts w:cs="Arial"/>
          <w:sz w:val="14"/>
          <w:szCs w:val="14"/>
        </w:rPr>
      </w:pPr>
      <w:r w:rsidRPr="00E16BE7">
        <w:rPr>
          <w:rFonts w:cs="Arial"/>
          <w:sz w:val="14"/>
          <w:szCs w:val="14"/>
        </w:rPr>
        <w:t>As notas explicativas são parte integrante das demonstrações contábeis</w:t>
      </w:r>
      <w:bookmarkEnd w:id="11"/>
      <w:r>
        <w:rPr>
          <w:rFonts w:cs="Arial"/>
          <w:sz w:val="14"/>
          <w:szCs w:val="14"/>
        </w:rPr>
        <w:t>.</w:t>
      </w:r>
    </w:p>
    <w:p w14:paraId="0339BA81" w14:textId="77777777" w:rsidR="00375569" w:rsidRDefault="00375569" w:rsidP="00EA751F">
      <w:pPr>
        <w:rPr>
          <w:rFonts w:cs="Arial"/>
          <w:sz w:val="14"/>
          <w:szCs w:val="14"/>
        </w:rPr>
      </w:pPr>
    </w:p>
    <w:p w14:paraId="58B48DC0" w14:textId="77777777" w:rsidR="00375569" w:rsidRPr="00F97A88" w:rsidRDefault="00375569" w:rsidP="00F97A88">
      <w:pPr>
        <w:pStyle w:val="02-TtulodeNota"/>
        <w:rPr>
          <w:color w:val="1F4E79" w:themeColor="accent1" w:themeShade="80"/>
        </w:rPr>
      </w:pPr>
      <w:bookmarkStart w:id="14" w:name="_Toc94861053"/>
      <w:r w:rsidRPr="00F97A88">
        <w:rPr>
          <w:color w:val="1F4E79" w:themeColor="accent1" w:themeShade="80"/>
        </w:rPr>
        <w:t>DEMONSTRAÇÃO DO RESULTADO ABRANGENTE</w:t>
      </w:r>
      <w:bookmarkEnd w:id="14"/>
    </w:p>
    <w:p w14:paraId="21AEE302" w14:textId="77777777" w:rsidR="00375569" w:rsidRDefault="00375569" w:rsidP="00C10938">
      <w:pPr>
        <w:pStyle w:val="01-TtulodeNota"/>
        <w:spacing w:before="0" w:after="0"/>
        <w:ind w:right="-1"/>
        <w:jc w:val="right"/>
        <w:rPr>
          <w:sz w:val="14"/>
          <w:szCs w:val="14"/>
        </w:rPr>
      </w:pPr>
      <w:r w:rsidRPr="001619A3">
        <w:rPr>
          <w:sz w:val="14"/>
          <w:szCs w:val="14"/>
        </w:rPr>
        <w:t>R$ mil</w:t>
      </w:r>
    </w:p>
    <w:tbl>
      <w:tblPr>
        <w:tblStyle w:val="TabeladeLista6Colorida-nfase5"/>
        <w:tblW w:w="9793" w:type="dxa"/>
        <w:jc w:val="center"/>
        <w:tblLook w:val="04A0" w:firstRow="1" w:lastRow="0" w:firstColumn="1" w:lastColumn="0" w:noHBand="0" w:noVBand="1"/>
      </w:tblPr>
      <w:tblGrid>
        <w:gridCol w:w="3575"/>
        <w:gridCol w:w="683"/>
        <w:gridCol w:w="1412"/>
        <w:gridCol w:w="1337"/>
        <w:gridCol w:w="235"/>
        <w:gridCol w:w="1274"/>
        <w:gridCol w:w="1277"/>
      </w:tblGrid>
      <w:tr w:rsidR="00375569" w14:paraId="073A70BE" w14:textId="77777777" w:rsidTr="002417C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single" w:sz="2" w:space="0" w:color="1F4E79" w:themeColor="accent1" w:themeShade="80"/>
              <w:bottom w:val="nil"/>
            </w:tcBorders>
            <w:shd w:val="clear" w:color="auto" w:fill="auto"/>
            <w:vAlign w:val="center"/>
          </w:tcPr>
          <w:p w14:paraId="4D478F8E" w14:textId="77777777" w:rsidR="00375569" w:rsidRPr="001D6BE8" w:rsidRDefault="00375569" w:rsidP="007F68E0">
            <w:pPr>
              <w:jc w:val="center"/>
              <w:rPr>
                <w:rFonts w:cs="Arial"/>
                <w:b w:val="0"/>
                <w:szCs w:val="18"/>
              </w:rPr>
            </w:pPr>
          </w:p>
        </w:tc>
        <w:tc>
          <w:tcPr>
            <w:tcW w:w="683" w:type="dxa"/>
            <w:tcBorders>
              <w:top w:val="single" w:sz="2" w:space="0" w:color="1F4E79" w:themeColor="accent1" w:themeShade="80"/>
              <w:bottom w:val="nil"/>
            </w:tcBorders>
            <w:shd w:val="clear" w:color="auto" w:fill="auto"/>
            <w:vAlign w:val="center"/>
          </w:tcPr>
          <w:p w14:paraId="4D5B0D88" w14:textId="77777777" w:rsidR="00375569" w:rsidRPr="001D6BE8" w:rsidRDefault="00375569" w:rsidP="007F68E0">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749" w:type="dxa"/>
            <w:gridSpan w:val="2"/>
            <w:tcBorders>
              <w:top w:val="single" w:sz="2" w:space="0" w:color="1F4E79" w:themeColor="accent1" w:themeShade="80"/>
              <w:bottom w:val="single" w:sz="2" w:space="0" w:color="1F4E79" w:themeColor="accent1" w:themeShade="80"/>
            </w:tcBorders>
            <w:shd w:val="clear" w:color="auto" w:fill="auto"/>
            <w:vAlign w:val="center"/>
          </w:tcPr>
          <w:p w14:paraId="3922F72B" w14:textId="77777777" w:rsidR="00375569" w:rsidRPr="001D6BE8" w:rsidRDefault="00375569" w:rsidP="007F68E0">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38031F">
              <w:rPr>
                <w:rFonts w:cs="Arial"/>
                <w:sz w:val="14"/>
                <w:szCs w:val="18"/>
              </w:rPr>
              <w:t>Controlador</w:t>
            </w:r>
          </w:p>
        </w:tc>
        <w:tc>
          <w:tcPr>
            <w:tcW w:w="235" w:type="dxa"/>
            <w:tcBorders>
              <w:top w:val="single" w:sz="2" w:space="0" w:color="1F4E79" w:themeColor="accent1" w:themeShade="80"/>
              <w:bottom w:val="nil"/>
            </w:tcBorders>
            <w:shd w:val="clear" w:color="auto" w:fill="auto"/>
            <w:vAlign w:val="center"/>
          </w:tcPr>
          <w:p w14:paraId="0D710185" w14:textId="77777777" w:rsidR="00375569" w:rsidRPr="00A51D74" w:rsidRDefault="00375569" w:rsidP="007F68E0">
            <w:pPr>
              <w:ind w:left="1025"/>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4353F713" w14:textId="77777777" w:rsidR="00375569" w:rsidRPr="00A51D74" w:rsidRDefault="00375569" w:rsidP="00522ADB">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A51D74">
              <w:rPr>
                <w:rFonts w:cs="Arial"/>
                <w:sz w:val="14"/>
                <w:szCs w:val="18"/>
              </w:rPr>
              <w:t>Consolidado</w:t>
            </w:r>
          </w:p>
        </w:tc>
      </w:tr>
      <w:tr w:rsidR="00375569" w:rsidRPr="001D6BE8" w14:paraId="2F86BAED" w14:textId="77777777" w:rsidTr="006D40C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nil"/>
              <w:bottom w:val="single" w:sz="2" w:space="0" w:color="1F4E79" w:themeColor="accent1" w:themeShade="80"/>
            </w:tcBorders>
            <w:shd w:val="clear" w:color="auto" w:fill="auto"/>
            <w:vAlign w:val="center"/>
          </w:tcPr>
          <w:p w14:paraId="6803DE85" w14:textId="77777777" w:rsidR="00375569" w:rsidRPr="001D6BE8" w:rsidRDefault="00375569" w:rsidP="009A32DF">
            <w:pPr>
              <w:pStyle w:val="08-Tabelageral"/>
              <w:jc w:val="left"/>
              <w:rPr>
                <w:rFonts w:cs="Arial"/>
                <w:b w:val="0"/>
              </w:rPr>
            </w:pPr>
          </w:p>
        </w:tc>
        <w:tc>
          <w:tcPr>
            <w:tcW w:w="683" w:type="dxa"/>
            <w:tcBorders>
              <w:top w:val="nil"/>
              <w:bottom w:val="single" w:sz="2" w:space="0" w:color="1F4E79" w:themeColor="accent1" w:themeShade="80"/>
            </w:tcBorders>
            <w:shd w:val="clear" w:color="auto" w:fill="auto"/>
            <w:vAlign w:val="center"/>
          </w:tcPr>
          <w:p w14:paraId="777C88AD" w14:textId="77777777" w:rsidR="00375569" w:rsidRPr="004A4CFD" w:rsidRDefault="00375569" w:rsidP="009A32D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A4CFD">
              <w:rPr>
                <w:rFonts w:cs="Arial"/>
                <w:b/>
              </w:rPr>
              <w:t>Nota</w:t>
            </w:r>
          </w:p>
        </w:tc>
        <w:tc>
          <w:tcPr>
            <w:tcW w:w="1412" w:type="dxa"/>
            <w:tcBorders>
              <w:top w:val="single" w:sz="2" w:space="0" w:color="8EAADB" w:themeColor="accent5" w:themeTint="99"/>
              <w:bottom w:val="single" w:sz="2" w:space="0" w:color="8EAADB" w:themeColor="accent5" w:themeTint="99"/>
            </w:tcBorders>
            <w:shd w:val="clear" w:color="auto" w:fill="auto"/>
            <w:vAlign w:val="center"/>
          </w:tcPr>
          <w:p w14:paraId="7F94586B" w14:textId="77777777" w:rsidR="00375569" w:rsidRPr="0068734D" w:rsidRDefault="00375569" w:rsidP="009A32D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1337" w:type="dxa"/>
            <w:tcBorders>
              <w:top w:val="single" w:sz="2" w:space="0" w:color="8EAADB" w:themeColor="accent5" w:themeTint="99"/>
              <w:bottom w:val="single" w:sz="2" w:space="0" w:color="1F4E79" w:themeColor="accent1" w:themeShade="80"/>
            </w:tcBorders>
            <w:shd w:val="clear" w:color="auto" w:fill="auto"/>
            <w:vAlign w:val="center"/>
          </w:tcPr>
          <w:p w14:paraId="7910FF92" w14:textId="77777777" w:rsidR="00375569" w:rsidRPr="0068734D" w:rsidRDefault="00375569" w:rsidP="009A32D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20</w:t>
            </w:r>
          </w:p>
        </w:tc>
        <w:tc>
          <w:tcPr>
            <w:tcW w:w="235" w:type="dxa"/>
            <w:tcBorders>
              <w:top w:val="nil"/>
              <w:bottom w:val="single" w:sz="2" w:space="0" w:color="1F4E79" w:themeColor="accent1" w:themeShade="80"/>
            </w:tcBorders>
            <w:shd w:val="clear" w:color="auto" w:fill="auto"/>
            <w:vAlign w:val="center"/>
          </w:tcPr>
          <w:p w14:paraId="1C298A3D" w14:textId="77777777" w:rsidR="00375569" w:rsidRPr="0068734D" w:rsidRDefault="00375569" w:rsidP="009A32DF">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274" w:type="dxa"/>
            <w:tcBorders>
              <w:top w:val="single" w:sz="2" w:space="0" w:color="8EAADB" w:themeColor="accent5" w:themeTint="99"/>
              <w:bottom w:val="single" w:sz="2" w:space="0" w:color="8EAADB" w:themeColor="accent5" w:themeTint="99"/>
            </w:tcBorders>
            <w:shd w:val="clear" w:color="auto" w:fill="auto"/>
            <w:vAlign w:val="center"/>
          </w:tcPr>
          <w:p w14:paraId="00A905EE" w14:textId="77777777" w:rsidR="00375569" w:rsidRPr="0068734D" w:rsidRDefault="00375569" w:rsidP="009A32D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1277" w:type="dxa"/>
            <w:tcBorders>
              <w:top w:val="single" w:sz="2" w:space="0" w:color="8EAADB" w:themeColor="accent5" w:themeTint="99"/>
              <w:bottom w:val="single" w:sz="2" w:space="0" w:color="1F4E79" w:themeColor="accent1" w:themeShade="80"/>
            </w:tcBorders>
            <w:shd w:val="clear" w:color="auto" w:fill="auto"/>
            <w:vAlign w:val="center"/>
          </w:tcPr>
          <w:p w14:paraId="6F551EAD" w14:textId="77777777" w:rsidR="00375569" w:rsidRPr="0068734D" w:rsidRDefault="00375569" w:rsidP="009A32D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2</w:t>
            </w:r>
            <w:r w:rsidRPr="00DE2DD7">
              <w:rPr>
                <w:rFonts w:cs="Arial"/>
                <w:b/>
                <w:bCs/>
              </w:rPr>
              <w:t>0</w:t>
            </w:r>
            <w:r>
              <w:rPr>
                <w:rFonts w:cs="Arial"/>
                <w:b/>
                <w:bCs/>
              </w:rPr>
              <w:t>20</w:t>
            </w:r>
          </w:p>
        </w:tc>
      </w:tr>
      <w:tr w:rsidR="00375569" w:rsidRPr="001D6BE8" w14:paraId="425889AC" w14:textId="77777777" w:rsidTr="006D40C7">
        <w:trPr>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single" w:sz="2" w:space="0" w:color="1F4E79" w:themeColor="accent1" w:themeShade="80"/>
              <w:bottom w:val="nil"/>
            </w:tcBorders>
            <w:shd w:val="clear" w:color="auto" w:fill="auto"/>
            <w:vAlign w:val="center"/>
          </w:tcPr>
          <w:p w14:paraId="5EBDE0A6" w14:textId="77777777" w:rsidR="00375569" w:rsidRPr="00C806B0" w:rsidRDefault="00375569" w:rsidP="002417C3">
            <w:pPr>
              <w:pStyle w:val="08-Tabelageral"/>
              <w:jc w:val="left"/>
              <w:rPr>
                <w:rFonts w:cs="Arial"/>
                <w:bCs w:val="0"/>
                <w:szCs w:val="14"/>
              </w:rPr>
            </w:pPr>
            <w:r>
              <w:rPr>
                <w:rFonts w:cs="Arial"/>
                <w:szCs w:val="14"/>
              </w:rPr>
              <w:t>Lucro Líquido d</w:t>
            </w:r>
            <w:r w:rsidRPr="00E177EF">
              <w:rPr>
                <w:rFonts w:cs="Arial"/>
                <w:szCs w:val="14"/>
              </w:rPr>
              <w:t xml:space="preserve">o </w:t>
            </w:r>
            <w:r>
              <w:rPr>
                <w:rFonts w:cs="Arial"/>
                <w:szCs w:val="14"/>
              </w:rPr>
              <w:t xml:space="preserve">Exercício </w:t>
            </w:r>
          </w:p>
        </w:tc>
        <w:tc>
          <w:tcPr>
            <w:tcW w:w="683" w:type="dxa"/>
            <w:tcBorders>
              <w:top w:val="single" w:sz="2" w:space="0" w:color="1F4E79" w:themeColor="accent1" w:themeShade="80"/>
              <w:bottom w:val="nil"/>
            </w:tcBorders>
            <w:shd w:val="clear" w:color="auto" w:fill="auto"/>
            <w:vAlign w:val="center"/>
          </w:tcPr>
          <w:p w14:paraId="3560363E" w14:textId="77777777" w:rsidR="00375569" w:rsidRPr="004A4CFD"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2" w:type="dxa"/>
            <w:tcBorders>
              <w:top w:val="single" w:sz="2" w:space="0" w:color="1F4E79" w:themeColor="accent1" w:themeShade="80"/>
              <w:bottom w:val="nil"/>
            </w:tcBorders>
            <w:shd w:val="clear" w:color="auto" w:fill="auto"/>
            <w:vAlign w:val="center"/>
          </w:tcPr>
          <w:p w14:paraId="470DBE9E" w14:textId="77777777" w:rsidR="00375569" w:rsidRPr="00F92020"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r w:rsidRPr="002417C3">
              <w:rPr>
                <w:b/>
                <w:bCs/>
              </w:rPr>
              <w:t>3.933.217</w:t>
            </w:r>
          </w:p>
        </w:tc>
        <w:tc>
          <w:tcPr>
            <w:tcW w:w="1337" w:type="dxa"/>
            <w:tcBorders>
              <w:top w:val="single" w:sz="2" w:space="0" w:color="1F4E79" w:themeColor="accent1" w:themeShade="80"/>
              <w:bottom w:val="nil"/>
            </w:tcBorders>
            <w:shd w:val="clear" w:color="auto" w:fill="auto"/>
            <w:vAlign w:val="center"/>
          </w:tcPr>
          <w:p w14:paraId="755681EC" w14:textId="77777777" w:rsidR="00375569" w:rsidRPr="00F92020"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r w:rsidRPr="00C31C06">
              <w:rPr>
                <w:rFonts w:cs="Arial"/>
                <w:b/>
                <w:szCs w:val="14"/>
              </w:rPr>
              <w:t>3.850.771</w:t>
            </w:r>
          </w:p>
        </w:tc>
        <w:tc>
          <w:tcPr>
            <w:tcW w:w="235" w:type="dxa"/>
            <w:tcBorders>
              <w:top w:val="single" w:sz="2" w:space="0" w:color="1F4E79" w:themeColor="accent1" w:themeShade="80"/>
              <w:bottom w:val="nil"/>
            </w:tcBorders>
            <w:shd w:val="clear" w:color="auto" w:fill="auto"/>
            <w:vAlign w:val="center"/>
          </w:tcPr>
          <w:p w14:paraId="12C3225D" w14:textId="77777777" w:rsidR="00375569" w:rsidRPr="00F92020"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74" w:type="dxa"/>
            <w:tcBorders>
              <w:top w:val="single" w:sz="2" w:space="0" w:color="1F4E79" w:themeColor="accent1" w:themeShade="80"/>
              <w:bottom w:val="nil"/>
            </w:tcBorders>
            <w:shd w:val="clear" w:color="auto" w:fill="auto"/>
            <w:vAlign w:val="center"/>
          </w:tcPr>
          <w:p w14:paraId="630A055A" w14:textId="77777777" w:rsidR="00375569" w:rsidRPr="000C306D"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r w:rsidRPr="002417C3">
              <w:rPr>
                <w:b/>
                <w:bCs/>
              </w:rPr>
              <w:t>3.933.217</w:t>
            </w:r>
          </w:p>
        </w:tc>
        <w:tc>
          <w:tcPr>
            <w:tcW w:w="1277" w:type="dxa"/>
            <w:tcBorders>
              <w:top w:val="single" w:sz="2" w:space="0" w:color="1F4E79" w:themeColor="accent1" w:themeShade="80"/>
              <w:bottom w:val="nil"/>
            </w:tcBorders>
            <w:shd w:val="clear" w:color="auto" w:fill="auto"/>
            <w:vAlign w:val="center"/>
          </w:tcPr>
          <w:p w14:paraId="127C370C" w14:textId="77777777" w:rsidR="00375569" w:rsidRPr="000C306D"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r w:rsidRPr="00C31C06">
              <w:rPr>
                <w:rFonts w:cs="Arial"/>
                <w:b/>
                <w:szCs w:val="14"/>
              </w:rPr>
              <w:t>3.850.771</w:t>
            </w:r>
          </w:p>
        </w:tc>
      </w:tr>
      <w:tr w:rsidR="00375569" w:rsidRPr="001D6BE8" w14:paraId="459450FB" w14:textId="77777777" w:rsidTr="006D40C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nil"/>
              <w:bottom w:val="nil"/>
            </w:tcBorders>
            <w:shd w:val="clear" w:color="auto" w:fill="auto"/>
            <w:vAlign w:val="center"/>
          </w:tcPr>
          <w:p w14:paraId="59A65BCE" w14:textId="77777777" w:rsidR="00375569" w:rsidRPr="00C806B0" w:rsidRDefault="00375569" w:rsidP="002417C3">
            <w:pPr>
              <w:pStyle w:val="08-Tabelageral"/>
              <w:ind w:left="113"/>
              <w:jc w:val="left"/>
              <w:rPr>
                <w:rFonts w:cs="Arial"/>
                <w:b w:val="0"/>
                <w:szCs w:val="14"/>
              </w:rPr>
            </w:pPr>
            <w:r>
              <w:rPr>
                <w:rFonts w:cs="Arial"/>
                <w:szCs w:val="14"/>
              </w:rPr>
              <w:t xml:space="preserve">Participação no </w:t>
            </w:r>
            <w:r w:rsidRPr="009717AE">
              <w:rPr>
                <w:rFonts w:cs="Arial"/>
                <w:szCs w:val="14"/>
              </w:rPr>
              <w:t>Resultado Abrangente de Investimentos em participações societárias</w:t>
            </w:r>
          </w:p>
        </w:tc>
        <w:tc>
          <w:tcPr>
            <w:tcW w:w="683" w:type="dxa"/>
            <w:tcBorders>
              <w:top w:val="nil"/>
              <w:bottom w:val="nil"/>
            </w:tcBorders>
            <w:shd w:val="clear" w:color="auto" w:fill="auto"/>
            <w:vAlign w:val="center"/>
          </w:tcPr>
          <w:p w14:paraId="5E1CE33F" w14:textId="77777777" w:rsidR="00375569" w:rsidRPr="004A4CFD" w:rsidRDefault="00375569" w:rsidP="002417C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szCs w:val="14"/>
              </w:rPr>
              <w:t>[09.a]</w:t>
            </w:r>
          </w:p>
        </w:tc>
        <w:tc>
          <w:tcPr>
            <w:tcW w:w="1412" w:type="dxa"/>
            <w:tcBorders>
              <w:top w:val="nil"/>
              <w:bottom w:val="nil"/>
            </w:tcBorders>
            <w:shd w:val="clear" w:color="auto" w:fill="auto"/>
            <w:vAlign w:val="center"/>
          </w:tcPr>
          <w:p w14:paraId="1546D9EE" w14:textId="77777777" w:rsidR="00375569" w:rsidRPr="002417C3"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bCs/>
              </w:rPr>
            </w:pPr>
            <w:r w:rsidRPr="002417C3">
              <w:rPr>
                <w:b/>
                <w:bCs/>
              </w:rPr>
              <w:t>(171.346)</w:t>
            </w:r>
          </w:p>
        </w:tc>
        <w:tc>
          <w:tcPr>
            <w:tcW w:w="1337" w:type="dxa"/>
            <w:tcBorders>
              <w:top w:val="nil"/>
              <w:bottom w:val="nil"/>
            </w:tcBorders>
            <w:shd w:val="clear" w:color="auto" w:fill="auto"/>
            <w:vAlign w:val="center"/>
          </w:tcPr>
          <w:p w14:paraId="5A234478" w14:textId="77777777" w:rsidR="00375569" w:rsidRPr="002417C3"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bCs/>
              </w:rPr>
            </w:pPr>
            <w:r w:rsidRPr="002417C3">
              <w:rPr>
                <w:rFonts w:cs="Arial"/>
                <w:b/>
                <w:bCs/>
                <w:szCs w:val="14"/>
              </w:rPr>
              <w:t>(15.569)</w:t>
            </w:r>
          </w:p>
        </w:tc>
        <w:tc>
          <w:tcPr>
            <w:tcW w:w="235" w:type="dxa"/>
            <w:tcBorders>
              <w:top w:val="nil"/>
              <w:bottom w:val="nil"/>
            </w:tcBorders>
            <w:shd w:val="clear" w:color="auto" w:fill="auto"/>
            <w:vAlign w:val="center"/>
          </w:tcPr>
          <w:p w14:paraId="1606949A" w14:textId="77777777" w:rsidR="00375569" w:rsidRPr="00C806B0" w:rsidRDefault="00375569" w:rsidP="002417C3">
            <w:pPr>
              <w:pStyle w:val="08-Tabelageral"/>
              <w:cnfStyle w:val="000000100000" w:firstRow="0" w:lastRow="0" w:firstColumn="0" w:lastColumn="0" w:oddVBand="0" w:evenVBand="0" w:oddHBand="1" w:evenHBand="0" w:firstRowFirstColumn="0" w:firstRowLastColumn="0" w:lastRowFirstColumn="0" w:lastRowLastColumn="0"/>
            </w:pPr>
          </w:p>
        </w:tc>
        <w:tc>
          <w:tcPr>
            <w:tcW w:w="1274" w:type="dxa"/>
            <w:tcBorders>
              <w:top w:val="nil"/>
              <w:bottom w:val="nil"/>
            </w:tcBorders>
            <w:shd w:val="clear" w:color="auto" w:fill="auto"/>
            <w:vAlign w:val="center"/>
          </w:tcPr>
          <w:p w14:paraId="157F85BB" w14:textId="77777777" w:rsidR="00375569" w:rsidRPr="000C306D"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rPr>
            </w:pPr>
            <w:r w:rsidRPr="002417C3">
              <w:rPr>
                <w:b/>
                <w:bCs/>
              </w:rPr>
              <w:t>(171.346)</w:t>
            </w:r>
          </w:p>
        </w:tc>
        <w:tc>
          <w:tcPr>
            <w:tcW w:w="1277" w:type="dxa"/>
            <w:tcBorders>
              <w:top w:val="nil"/>
              <w:bottom w:val="nil"/>
            </w:tcBorders>
            <w:shd w:val="clear" w:color="auto" w:fill="auto"/>
            <w:vAlign w:val="center"/>
          </w:tcPr>
          <w:p w14:paraId="583A09BC" w14:textId="77777777" w:rsidR="00375569" w:rsidRPr="000C306D"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rPr>
            </w:pPr>
            <w:r w:rsidRPr="00C31C06">
              <w:rPr>
                <w:rFonts w:cs="Arial"/>
                <w:b/>
                <w:szCs w:val="14"/>
              </w:rPr>
              <w:t>(15.569)</w:t>
            </w:r>
          </w:p>
        </w:tc>
      </w:tr>
      <w:tr w:rsidR="00375569" w:rsidRPr="001D6BE8" w14:paraId="182C91AB" w14:textId="77777777" w:rsidTr="006D40C7">
        <w:trPr>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nil"/>
              <w:bottom w:val="nil"/>
            </w:tcBorders>
            <w:shd w:val="clear" w:color="auto" w:fill="auto"/>
            <w:vAlign w:val="center"/>
          </w:tcPr>
          <w:p w14:paraId="65F3854C" w14:textId="77777777" w:rsidR="00375569" w:rsidRPr="00C806B0" w:rsidRDefault="00375569" w:rsidP="002417C3">
            <w:pPr>
              <w:pStyle w:val="08-Tabelageral"/>
              <w:ind w:left="113"/>
              <w:jc w:val="left"/>
              <w:rPr>
                <w:rFonts w:cs="Arial"/>
                <w:b w:val="0"/>
                <w:szCs w:val="14"/>
              </w:rPr>
            </w:pPr>
            <w:r w:rsidRPr="00E177EF">
              <w:rPr>
                <w:rFonts w:cs="Arial"/>
                <w:b w:val="0"/>
                <w:szCs w:val="14"/>
              </w:rPr>
              <w:t>Ganhos/(perdas) sobre ativos financeiros</w:t>
            </w:r>
          </w:p>
        </w:tc>
        <w:tc>
          <w:tcPr>
            <w:tcW w:w="683" w:type="dxa"/>
            <w:tcBorders>
              <w:top w:val="nil"/>
              <w:bottom w:val="nil"/>
            </w:tcBorders>
            <w:shd w:val="clear" w:color="auto" w:fill="auto"/>
            <w:vAlign w:val="center"/>
          </w:tcPr>
          <w:p w14:paraId="4A4DA5D3" w14:textId="77777777" w:rsidR="00375569" w:rsidRPr="004A4CFD" w:rsidRDefault="00375569" w:rsidP="002417C3">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412" w:type="dxa"/>
            <w:tcBorders>
              <w:top w:val="nil"/>
              <w:bottom w:val="nil"/>
            </w:tcBorders>
            <w:shd w:val="clear" w:color="auto" w:fill="auto"/>
            <w:vAlign w:val="center"/>
          </w:tcPr>
          <w:p w14:paraId="1FDF7B1A" w14:textId="77777777" w:rsidR="00375569" w:rsidRDefault="00375569" w:rsidP="002417C3">
            <w:pPr>
              <w:pStyle w:val="08-Tabelageral"/>
              <w:cnfStyle w:val="000000000000" w:firstRow="0" w:lastRow="0" w:firstColumn="0" w:lastColumn="0" w:oddVBand="0" w:evenVBand="0" w:oddHBand="0" w:evenHBand="0" w:firstRowFirstColumn="0" w:firstRowLastColumn="0" w:lastRowFirstColumn="0" w:lastRowLastColumn="0"/>
            </w:pPr>
            <w:r w:rsidRPr="007315BA">
              <w:t>(285.578)</w:t>
            </w:r>
          </w:p>
        </w:tc>
        <w:tc>
          <w:tcPr>
            <w:tcW w:w="1337" w:type="dxa"/>
            <w:tcBorders>
              <w:top w:val="nil"/>
              <w:bottom w:val="nil"/>
            </w:tcBorders>
            <w:shd w:val="clear" w:color="auto" w:fill="auto"/>
            <w:vAlign w:val="center"/>
          </w:tcPr>
          <w:p w14:paraId="5B825A0D" w14:textId="77777777" w:rsidR="00375569" w:rsidRDefault="00375569" w:rsidP="002417C3">
            <w:pPr>
              <w:pStyle w:val="08-Tabelageral"/>
              <w:cnfStyle w:val="000000000000" w:firstRow="0" w:lastRow="0" w:firstColumn="0" w:lastColumn="0" w:oddVBand="0" w:evenVBand="0" w:oddHBand="0" w:evenHBand="0" w:firstRowFirstColumn="0" w:firstRowLastColumn="0" w:lastRowFirstColumn="0" w:lastRowLastColumn="0"/>
            </w:pPr>
            <w:r w:rsidRPr="00C31C06">
              <w:rPr>
                <w:rFonts w:cs="Arial"/>
              </w:rPr>
              <w:t>(25.950)</w:t>
            </w:r>
          </w:p>
        </w:tc>
        <w:tc>
          <w:tcPr>
            <w:tcW w:w="235" w:type="dxa"/>
            <w:tcBorders>
              <w:top w:val="nil"/>
              <w:bottom w:val="nil"/>
            </w:tcBorders>
            <w:shd w:val="clear" w:color="auto" w:fill="auto"/>
            <w:vAlign w:val="center"/>
          </w:tcPr>
          <w:p w14:paraId="32C59B1C" w14:textId="77777777" w:rsidR="00375569" w:rsidRPr="00C806B0" w:rsidRDefault="00375569" w:rsidP="002417C3">
            <w:pPr>
              <w:pStyle w:val="08-Tabelageral"/>
              <w:cnfStyle w:val="000000000000" w:firstRow="0" w:lastRow="0" w:firstColumn="0" w:lastColumn="0" w:oddVBand="0" w:evenVBand="0" w:oddHBand="0" w:evenHBand="0" w:firstRowFirstColumn="0" w:firstRowLastColumn="0" w:lastRowFirstColumn="0" w:lastRowLastColumn="0"/>
            </w:pPr>
          </w:p>
        </w:tc>
        <w:tc>
          <w:tcPr>
            <w:tcW w:w="1274" w:type="dxa"/>
            <w:tcBorders>
              <w:top w:val="nil"/>
              <w:bottom w:val="nil"/>
            </w:tcBorders>
            <w:shd w:val="clear" w:color="auto" w:fill="auto"/>
            <w:vAlign w:val="center"/>
          </w:tcPr>
          <w:p w14:paraId="61DC5AB6" w14:textId="77777777" w:rsidR="00375569" w:rsidRPr="00717130" w:rsidRDefault="00375569" w:rsidP="002417C3">
            <w:pPr>
              <w:pStyle w:val="08-Tabelageral"/>
              <w:cnfStyle w:val="000000000000" w:firstRow="0" w:lastRow="0" w:firstColumn="0" w:lastColumn="0" w:oddVBand="0" w:evenVBand="0" w:oddHBand="0" w:evenHBand="0" w:firstRowFirstColumn="0" w:firstRowLastColumn="0" w:lastRowFirstColumn="0" w:lastRowLastColumn="0"/>
            </w:pPr>
            <w:r>
              <w:t>(</w:t>
            </w:r>
            <w:r w:rsidRPr="007315BA">
              <w:t>285.578</w:t>
            </w:r>
            <w:r>
              <w:t>)</w:t>
            </w:r>
          </w:p>
        </w:tc>
        <w:tc>
          <w:tcPr>
            <w:tcW w:w="1277" w:type="dxa"/>
            <w:tcBorders>
              <w:top w:val="nil"/>
              <w:bottom w:val="nil"/>
            </w:tcBorders>
            <w:shd w:val="clear" w:color="auto" w:fill="auto"/>
            <w:vAlign w:val="center"/>
          </w:tcPr>
          <w:p w14:paraId="5D90D447" w14:textId="77777777" w:rsidR="00375569" w:rsidRPr="00717130" w:rsidRDefault="00375569" w:rsidP="002417C3">
            <w:pPr>
              <w:pStyle w:val="08-Tabelageral"/>
              <w:cnfStyle w:val="000000000000" w:firstRow="0" w:lastRow="0" w:firstColumn="0" w:lastColumn="0" w:oddVBand="0" w:evenVBand="0" w:oddHBand="0" w:evenHBand="0" w:firstRowFirstColumn="0" w:firstRowLastColumn="0" w:lastRowFirstColumn="0" w:lastRowLastColumn="0"/>
            </w:pPr>
            <w:r w:rsidRPr="00C31C06">
              <w:rPr>
                <w:rFonts w:cs="Arial"/>
              </w:rPr>
              <w:t>(25.950)</w:t>
            </w:r>
          </w:p>
        </w:tc>
      </w:tr>
      <w:tr w:rsidR="00375569" w:rsidRPr="001D6BE8" w14:paraId="3283CB93" w14:textId="77777777" w:rsidTr="006D40C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nil"/>
              <w:bottom w:val="nil"/>
            </w:tcBorders>
            <w:shd w:val="clear" w:color="auto" w:fill="auto"/>
            <w:vAlign w:val="center"/>
          </w:tcPr>
          <w:p w14:paraId="00DD19DA" w14:textId="77777777" w:rsidR="00375569" w:rsidRPr="007E526D" w:rsidRDefault="00375569" w:rsidP="002417C3">
            <w:pPr>
              <w:pStyle w:val="08-Tabelageral"/>
              <w:jc w:val="left"/>
              <w:rPr>
                <w:rFonts w:cs="Arial"/>
                <w:szCs w:val="14"/>
              </w:rPr>
            </w:pPr>
            <w:r>
              <w:rPr>
                <w:rFonts w:cs="Arial"/>
                <w:b w:val="0"/>
                <w:szCs w:val="14"/>
              </w:rPr>
              <w:t xml:space="preserve">   </w:t>
            </w:r>
            <w:r w:rsidRPr="00E177EF">
              <w:rPr>
                <w:rFonts w:cs="Arial"/>
                <w:b w:val="0"/>
                <w:szCs w:val="14"/>
              </w:rPr>
              <w:t>Efeito fiscal</w:t>
            </w:r>
          </w:p>
        </w:tc>
        <w:tc>
          <w:tcPr>
            <w:tcW w:w="683" w:type="dxa"/>
            <w:tcBorders>
              <w:top w:val="nil"/>
              <w:bottom w:val="nil"/>
            </w:tcBorders>
            <w:shd w:val="clear" w:color="auto" w:fill="auto"/>
            <w:vAlign w:val="center"/>
          </w:tcPr>
          <w:p w14:paraId="3D3573AC" w14:textId="77777777" w:rsidR="00375569" w:rsidRPr="004A4CFD"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2" w:type="dxa"/>
            <w:tcBorders>
              <w:top w:val="nil"/>
              <w:bottom w:val="nil"/>
            </w:tcBorders>
            <w:shd w:val="clear" w:color="auto" w:fill="auto"/>
            <w:vAlign w:val="center"/>
          </w:tcPr>
          <w:p w14:paraId="46A35F28" w14:textId="77777777" w:rsidR="00375569" w:rsidRPr="002417C3"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Cs/>
              </w:rPr>
            </w:pPr>
            <w:r w:rsidRPr="007315BA">
              <w:rPr>
                <w:bCs/>
              </w:rPr>
              <w:t>114.232</w:t>
            </w:r>
          </w:p>
        </w:tc>
        <w:tc>
          <w:tcPr>
            <w:tcW w:w="1337" w:type="dxa"/>
            <w:tcBorders>
              <w:top w:val="nil"/>
              <w:bottom w:val="nil"/>
            </w:tcBorders>
            <w:shd w:val="clear" w:color="auto" w:fill="auto"/>
            <w:vAlign w:val="center"/>
          </w:tcPr>
          <w:p w14:paraId="04866664" w14:textId="77777777" w:rsidR="00375569" w:rsidRPr="002417C3"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Cs/>
              </w:rPr>
            </w:pPr>
            <w:r w:rsidRPr="002417C3">
              <w:rPr>
                <w:rFonts w:cs="Arial"/>
                <w:bCs/>
              </w:rPr>
              <w:t>10.381</w:t>
            </w:r>
          </w:p>
        </w:tc>
        <w:tc>
          <w:tcPr>
            <w:tcW w:w="235" w:type="dxa"/>
            <w:tcBorders>
              <w:top w:val="nil"/>
              <w:bottom w:val="nil"/>
            </w:tcBorders>
            <w:shd w:val="clear" w:color="auto" w:fill="auto"/>
            <w:vAlign w:val="center"/>
          </w:tcPr>
          <w:p w14:paraId="3312AA2C" w14:textId="77777777" w:rsidR="00375569" w:rsidRPr="002417C3"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Cs/>
              </w:rPr>
            </w:pPr>
          </w:p>
        </w:tc>
        <w:tc>
          <w:tcPr>
            <w:tcW w:w="1274" w:type="dxa"/>
            <w:tcBorders>
              <w:top w:val="nil"/>
              <w:bottom w:val="nil"/>
            </w:tcBorders>
            <w:shd w:val="clear" w:color="auto" w:fill="auto"/>
            <w:vAlign w:val="center"/>
          </w:tcPr>
          <w:p w14:paraId="6E173B63" w14:textId="77777777" w:rsidR="00375569" w:rsidRPr="00F92020"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bCs/>
              </w:rPr>
            </w:pPr>
            <w:r w:rsidRPr="007315BA">
              <w:rPr>
                <w:bCs/>
              </w:rPr>
              <w:t>114.232</w:t>
            </w:r>
          </w:p>
        </w:tc>
        <w:tc>
          <w:tcPr>
            <w:tcW w:w="1277" w:type="dxa"/>
            <w:tcBorders>
              <w:top w:val="nil"/>
              <w:bottom w:val="nil"/>
            </w:tcBorders>
            <w:shd w:val="clear" w:color="auto" w:fill="auto"/>
            <w:vAlign w:val="center"/>
          </w:tcPr>
          <w:p w14:paraId="0C4E4A44" w14:textId="77777777" w:rsidR="00375569" w:rsidRPr="00F92020" w:rsidRDefault="00375569" w:rsidP="002417C3">
            <w:pPr>
              <w:pStyle w:val="08-Tabelageral"/>
              <w:cnfStyle w:val="000000100000" w:firstRow="0" w:lastRow="0" w:firstColumn="0" w:lastColumn="0" w:oddVBand="0" w:evenVBand="0" w:oddHBand="1" w:evenHBand="0" w:firstRowFirstColumn="0" w:firstRowLastColumn="0" w:lastRowFirstColumn="0" w:lastRowLastColumn="0"/>
              <w:rPr>
                <w:b/>
                <w:bCs/>
              </w:rPr>
            </w:pPr>
            <w:r w:rsidRPr="00C10938">
              <w:rPr>
                <w:rFonts w:cs="Arial"/>
              </w:rPr>
              <w:t>10.381</w:t>
            </w:r>
          </w:p>
        </w:tc>
      </w:tr>
      <w:tr w:rsidR="00375569" w:rsidRPr="003E7906" w14:paraId="10CCAC95" w14:textId="77777777" w:rsidTr="006D40C7">
        <w:trPr>
          <w:trHeight w:val="238"/>
          <w:jc w:val="center"/>
        </w:trPr>
        <w:tc>
          <w:tcPr>
            <w:cnfStyle w:val="001000000000" w:firstRow="0" w:lastRow="0" w:firstColumn="1" w:lastColumn="0" w:oddVBand="0" w:evenVBand="0" w:oddHBand="0" w:evenHBand="0" w:firstRowFirstColumn="0" w:firstRowLastColumn="0" w:lastRowFirstColumn="0" w:lastRowLastColumn="0"/>
            <w:tcW w:w="3575" w:type="dxa"/>
            <w:tcBorders>
              <w:top w:val="nil"/>
              <w:bottom w:val="single" w:sz="2" w:space="0" w:color="1F4E79" w:themeColor="accent1" w:themeShade="80"/>
            </w:tcBorders>
            <w:shd w:val="clear" w:color="auto" w:fill="auto"/>
            <w:vAlign w:val="center"/>
          </w:tcPr>
          <w:p w14:paraId="05259B13" w14:textId="77777777" w:rsidR="00375569" w:rsidRPr="00B63E89" w:rsidRDefault="00375569" w:rsidP="002417C3">
            <w:pPr>
              <w:pStyle w:val="08-Tabelageral"/>
              <w:jc w:val="left"/>
              <w:rPr>
                <w:rFonts w:cs="Arial"/>
                <w:b w:val="0"/>
                <w:bCs w:val="0"/>
              </w:rPr>
            </w:pPr>
            <w:r>
              <w:rPr>
                <w:rFonts w:cs="Arial"/>
                <w:szCs w:val="14"/>
              </w:rPr>
              <w:t>Resultado Abrangente d</w:t>
            </w:r>
            <w:r w:rsidRPr="00E177EF">
              <w:rPr>
                <w:rFonts w:cs="Arial"/>
                <w:szCs w:val="14"/>
              </w:rPr>
              <w:t xml:space="preserve">o </w:t>
            </w:r>
            <w:r w:rsidRPr="00481EC6">
              <w:rPr>
                <w:rFonts w:cs="Arial"/>
                <w:szCs w:val="14"/>
              </w:rPr>
              <w:t>Exercício</w:t>
            </w:r>
          </w:p>
        </w:tc>
        <w:tc>
          <w:tcPr>
            <w:tcW w:w="683" w:type="dxa"/>
            <w:tcBorders>
              <w:top w:val="nil"/>
              <w:bottom w:val="single" w:sz="2" w:space="0" w:color="1F4E79" w:themeColor="accent1" w:themeShade="80"/>
            </w:tcBorders>
            <w:shd w:val="clear" w:color="auto" w:fill="auto"/>
            <w:vAlign w:val="center"/>
          </w:tcPr>
          <w:p w14:paraId="0EBAE51F" w14:textId="77777777" w:rsidR="00375569" w:rsidRPr="004A4CFD"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2" w:type="dxa"/>
            <w:tcBorders>
              <w:top w:val="nil"/>
              <w:bottom w:val="single" w:sz="2" w:space="0" w:color="1F4E79" w:themeColor="accent1" w:themeShade="80"/>
            </w:tcBorders>
            <w:shd w:val="clear" w:color="auto" w:fill="auto"/>
            <w:vAlign w:val="center"/>
          </w:tcPr>
          <w:p w14:paraId="32F49919" w14:textId="77777777" w:rsidR="00375569" w:rsidRPr="002417C3"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2417C3">
              <w:rPr>
                <w:b/>
                <w:bCs/>
              </w:rPr>
              <w:t>3.761.871</w:t>
            </w:r>
          </w:p>
        </w:tc>
        <w:tc>
          <w:tcPr>
            <w:tcW w:w="1337" w:type="dxa"/>
            <w:tcBorders>
              <w:top w:val="nil"/>
              <w:bottom w:val="single" w:sz="4" w:space="0" w:color="1F4E79" w:themeColor="accent1" w:themeShade="80"/>
            </w:tcBorders>
            <w:shd w:val="clear" w:color="auto" w:fill="auto"/>
            <w:vAlign w:val="center"/>
          </w:tcPr>
          <w:p w14:paraId="6CA22ED1" w14:textId="77777777" w:rsidR="00375569" w:rsidRPr="002417C3"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2417C3">
              <w:rPr>
                <w:rFonts w:cs="Arial"/>
                <w:b/>
                <w:bCs/>
                <w:szCs w:val="14"/>
              </w:rPr>
              <w:t>3.835.202</w:t>
            </w:r>
          </w:p>
        </w:tc>
        <w:tc>
          <w:tcPr>
            <w:tcW w:w="235" w:type="dxa"/>
            <w:tcBorders>
              <w:top w:val="nil"/>
              <w:bottom w:val="single" w:sz="2" w:space="0" w:color="1F4E79" w:themeColor="accent1" w:themeShade="80"/>
            </w:tcBorders>
            <w:shd w:val="clear" w:color="auto" w:fill="auto"/>
            <w:vAlign w:val="center"/>
          </w:tcPr>
          <w:p w14:paraId="24EB06DB" w14:textId="77777777" w:rsidR="00375569" w:rsidRPr="002417C3"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74" w:type="dxa"/>
            <w:tcBorders>
              <w:top w:val="nil"/>
              <w:bottom w:val="single" w:sz="2" w:space="0" w:color="1F4E79" w:themeColor="accent1" w:themeShade="80"/>
            </w:tcBorders>
            <w:shd w:val="clear" w:color="auto" w:fill="auto"/>
            <w:vAlign w:val="center"/>
          </w:tcPr>
          <w:p w14:paraId="6772CE02" w14:textId="77777777" w:rsidR="00375569" w:rsidRPr="00C10938"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2417C3">
              <w:rPr>
                <w:b/>
                <w:bCs/>
              </w:rPr>
              <w:t>3.761.871</w:t>
            </w:r>
          </w:p>
        </w:tc>
        <w:tc>
          <w:tcPr>
            <w:tcW w:w="1277" w:type="dxa"/>
            <w:tcBorders>
              <w:top w:val="nil"/>
              <w:bottom w:val="single" w:sz="4" w:space="0" w:color="1F4E79" w:themeColor="accent1" w:themeShade="80"/>
            </w:tcBorders>
            <w:shd w:val="clear" w:color="auto" w:fill="auto"/>
            <w:vAlign w:val="center"/>
          </w:tcPr>
          <w:p w14:paraId="3A560362" w14:textId="77777777" w:rsidR="00375569" w:rsidRPr="00C10938" w:rsidRDefault="00375569" w:rsidP="002417C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C10938">
              <w:rPr>
                <w:rFonts w:cs="Arial"/>
                <w:b/>
                <w:bCs/>
                <w:szCs w:val="14"/>
              </w:rPr>
              <w:t>3.835.202</w:t>
            </w:r>
          </w:p>
        </w:tc>
      </w:tr>
    </w:tbl>
    <w:p w14:paraId="17058BC6" w14:textId="77777777" w:rsidR="00375569" w:rsidRDefault="00375569" w:rsidP="00E177EF">
      <w:pPr>
        <w:rPr>
          <w:rFonts w:cs="Arial"/>
          <w:sz w:val="14"/>
          <w:szCs w:val="14"/>
        </w:rPr>
      </w:pPr>
      <w:r w:rsidRPr="00E16BE7">
        <w:rPr>
          <w:rFonts w:cs="Arial"/>
          <w:sz w:val="14"/>
          <w:szCs w:val="14"/>
        </w:rPr>
        <w:t>As notas explicativas são parte integrante das demonstrações contábeis</w:t>
      </w:r>
      <w:r>
        <w:rPr>
          <w:rFonts w:cs="Arial"/>
          <w:sz w:val="14"/>
          <w:szCs w:val="14"/>
        </w:rPr>
        <w:t>.</w:t>
      </w:r>
    </w:p>
    <w:p w14:paraId="3C590BBB" w14:textId="18CFD933" w:rsidR="00375569" w:rsidRPr="00481EC6" w:rsidRDefault="00375569" w:rsidP="00481EC6">
      <w:pPr>
        <w:tabs>
          <w:tab w:val="left" w:pos="4170"/>
        </w:tabs>
        <w:rPr>
          <w:rFonts w:eastAsiaTheme="majorEastAsia" w:cs="Arial"/>
          <w:sz w:val="20"/>
          <w:szCs w:val="20"/>
        </w:rPr>
        <w:sectPr w:rsidR="00375569" w:rsidRPr="00481EC6" w:rsidSect="001A55BF">
          <w:headerReference w:type="even" r:id="rId14"/>
          <w:footerReference w:type="even" r:id="rId15"/>
          <w:headerReference w:type="first" r:id="rId16"/>
          <w:footerReference w:type="first" r:id="rId17"/>
          <w:pgSz w:w="11906" w:h="16838" w:code="9"/>
          <w:pgMar w:top="1134" w:right="1134" w:bottom="851" w:left="1134" w:header="851" w:footer="284" w:gutter="0"/>
          <w:cols w:space="708"/>
          <w:docGrid w:linePitch="360"/>
        </w:sectPr>
      </w:pPr>
      <w:bookmarkStart w:id="15" w:name="_Toc28866214"/>
    </w:p>
    <w:p w14:paraId="3F23D076" w14:textId="77777777" w:rsidR="00375569" w:rsidRPr="00F97A88" w:rsidRDefault="00375569" w:rsidP="00F97A88">
      <w:pPr>
        <w:pStyle w:val="02-TtulodeNota"/>
        <w:rPr>
          <w:color w:val="1F4E79" w:themeColor="accent1" w:themeShade="80"/>
        </w:rPr>
      </w:pPr>
      <w:bookmarkStart w:id="16" w:name="_Toc94861054"/>
      <w:r w:rsidRPr="00F97A88">
        <w:rPr>
          <w:color w:val="1F4E79" w:themeColor="accent1" w:themeShade="80"/>
        </w:rPr>
        <w:lastRenderedPageBreak/>
        <w:t>BALANÇO PATRIMONIAL</w:t>
      </w:r>
      <w:bookmarkEnd w:id="15"/>
      <w:bookmarkEnd w:id="16"/>
    </w:p>
    <w:p w14:paraId="5C011C4D" w14:textId="77777777" w:rsidR="00375569" w:rsidRDefault="00375569" w:rsidP="00ED130E">
      <w:pPr>
        <w:pStyle w:val="01-TtulodeNota"/>
        <w:spacing w:before="0" w:after="0"/>
        <w:jc w:val="right"/>
        <w:rPr>
          <w:sz w:val="14"/>
          <w:szCs w:val="14"/>
        </w:rPr>
      </w:pPr>
      <w:r w:rsidRPr="006E351C">
        <w:rPr>
          <w:sz w:val="14"/>
          <w:szCs w:val="14"/>
        </w:rPr>
        <w:t>R$ mil</w:t>
      </w:r>
    </w:p>
    <w:tbl>
      <w:tblPr>
        <w:tblStyle w:val="TabeladeLista6Colorida-nfase5"/>
        <w:tblW w:w="9639" w:type="dxa"/>
        <w:jc w:val="center"/>
        <w:tblLayout w:type="fixed"/>
        <w:tblLook w:val="04A0" w:firstRow="1" w:lastRow="0" w:firstColumn="1" w:lastColumn="0" w:noHBand="0" w:noVBand="1"/>
      </w:tblPr>
      <w:tblGrid>
        <w:gridCol w:w="4253"/>
        <w:gridCol w:w="709"/>
        <w:gridCol w:w="1134"/>
        <w:gridCol w:w="1134"/>
        <w:gridCol w:w="283"/>
        <w:gridCol w:w="1063"/>
        <w:gridCol w:w="1063"/>
      </w:tblGrid>
      <w:tr w:rsidR="00375569" w14:paraId="31F16935" w14:textId="77777777" w:rsidTr="00D126F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31A7A338" w14:textId="77777777" w:rsidR="00375569" w:rsidRPr="001D6BE8" w:rsidRDefault="00375569" w:rsidP="006436B3">
            <w:pPr>
              <w:jc w:val="center"/>
              <w:rPr>
                <w:rFonts w:cs="Arial"/>
                <w:b w:val="0"/>
                <w:szCs w:val="18"/>
              </w:rPr>
            </w:pPr>
          </w:p>
        </w:tc>
        <w:tc>
          <w:tcPr>
            <w:tcW w:w="709" w:type="dxa"/>
            <w:tcBorders>
              <w:top w:val="single" w:sz="2" w:space="0" w:color="1F4E79" w:themeColor="accent1" w:themeShade="80"/>
              <w:bottom w:val="nil"/>
            </w:tcBorders>
            <w:shd w:val="clear" w:color="auto" w:fill="auto"/>
          </w:tcPr>
          <w:p w14:paraId="072D6EBE" w14:textId="77777777" w:rsidR="00375569" w:rsidRPr="001D6BE8"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268" w:type="dxa"/>
            <w:gridSpan w:val="2"/>
            <w:tcBorders>
              <w:top w:val="single" w:sz="2" w:space="0" w:color="1F4E79" w:themeColor="accent1" w:themeShade="80"/>
              <w:bottom w:val="single" w:sz="2" w:space="0" w:color="1F4E79" w:themeColor="accent1" w:themeShade="80"/>
            </w:tcBorders>
            <w:shd w:val="clear" w:color="auto" w:fill="auto"/>
            <w:vAlign w:val="center"/>
          </w:tcPr>
          <w:p w14:paraId="74FE28DD" w14:textId="77777777" w:rsidR="00375569" w:rsidRPr="0038031F"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38031F">
              <w:rPr>
                <w:rFonts w:cs="Arial"/>
                <w:sz w:val="14"/>
                <w:szCs w:val="18"/>
              </w:rPr>
              <w:t>Controlador</w:t>
            </w:r>
          </w:p>
        </w:tc>
        <w:tc>
          <w:tcPr>
            <w:tcW w:w="283" w:type="dxa"/>
            <w:tcBorders>
              <w:top w:val="single" w:sz="2" w:space="0" w:color="1F4E79" w:themeColor="accent1" w:themeShade="80"/>
              <w:bottom w:val="nil"/>
            </w:tcBorders>
            <w:shd w:val="clear" w:color="auto" w:fill="auto"/>
          </w:tcPr>
          <w:p w14:paraId="5572AF2E" w14:textId="77777777" w:rsidR="00375569" w:rsidRPr="001D6BE8"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126" w:type="dxa"/>
            <w:gridSpan w:val="2"/>
            <w:tcBorders>
              <w:top w:val="single" w:sz="2" w:space="0" w:color="1F4E79" w:themeColor="accent1" w:themeShade="80"/>
              <w:bottom w:val="single" w:sz="2" w:space="0" w:color="1F4E79" w:themeColor="accent1" w:themeShade="80"/>
            </w:tcBorders>
            <w:shd w:val="clear" w:color="auto" w:fill="auto"/>
            <w:vAlign w:val="center"/>
          </w:tcPr>
          <w:p w14:paraId="2BB74C28" w14:textId="77777777" w:rsidR="00375569" w:rsidRPr="0038031F"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38031F">
              <w:rPr>
                <w:rFonts w:cs="Arial"/>
                <w:sz w:val="14"/>
                <w:szCs w:val="18"/>
              </w:rPr>
              <w:t>Consolidado</w:t>
            </w:r>
          </w:p>
        </w:tc>
      </w:tr>
      <w:tr w:rsidR="00375569" w:rsidRPr="001D6BE8" w14:paraId="590A5C4B"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tcPr>
          <w:p w14:paraId="155DE575" w14:textId="77777777" w:rsidR="00375569" w:rsidRPr="001D6BE8" w:rsidRDefault="00375569" w:rsidP="0038031F">
            <w:pPr>
              <w:pStyle w:val="08-Tabelageral"/>
              <w:jc w:val="left"/>
              <w:rPr>
                <w:rFonts w:cs="Arial"/>
                <w:b w:val="0"/>
              </w:rPr>
            </w:pPr>
          </w:p>
        </w:tc>
        <w:tc>
          <w:tcPr>
            <w:tcW w:w="709" w:type="dxa"/>
            <w:tcBorders>
              <w:top w:val="nil"/>
              <w:bottom w:val="single" w:sz="2" w:space="0" w:color="1F4E79" w:themeColor="accent1" w:themeShade="80"/>
            </w:tcBorders>
            <w:shd w:val="clear" w:color="auto" w:fill="auto"/>
          </w:tcPr>
          <w:p w14:paraId="4E386CC1" w14:textId="77777777" w:rsidR="00375569" w:rsidRPr="00E0461B" w:rsidRDefault="00375569" w:rsidP="00E0461B">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E0461B">
              <w:rPr>
                <w:rFonts w:cs="Arial"/>
                <w:b/>
              </w:rPr>
              <w:t>Nota</w:t>
            </w:r>
          </w:p>
        </w:tc>
        <w:tc>
          <w:tcPr>
            <w:tcW w:w="1134" w:type="dxa"/>
            <w:tcBorders>
              <w:top w:val="single" w:sz="2" w:space="0" w:color="1F4E79" w:themeColor="accent1" w:themeShade="80"/>
              <w:bottom w:val="single" w:sz="2" w:space="0" w:color="1F4E79" w:themeColor="accent1" w:themeShade="80"/>
            </w:tcBorders>
            <w:shd w:val="clear" w:color="auto" w:fill="auto"/>
          </w:tcPr>
          <w:p w14:paraId="65B10B3E" w14:textId="77777777" w:rsidR="00375569" w:rsidRPr="001D6BE8" w:rsidRDefault="00375569" w:rsidP="007B44D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c>
          <w:tcPr>
            <w:tcW w:w="1134" w:type="dxa"/>
            <w:tcBorders>
              <w:top w:val="single" w:sz="2" w:space="0" w:color="1F4E79" w:themeColor="accent1" w:themeShade="80"/>
              <w:bottom w:val="single" w:sz="2" w:space="0" w:color="1F4E79" w:themeColor="accent1" w:themeShade="80"/>
            </w:tcBorders>
            <w:shd w:val="clear" w:color="auto" w:fill="auto"/>
          </w:tcPr>
          <w:p w14:paraId="54092F46" w14:textId="77777777" w:rsidR="00375569" w:rsidRPr="001D6BE8" w:rsidRDefault="00375569" w:rsidP="007B44D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31.12.2020</w:t>
            </w:r>
          </w:p>
        </w:tc>
        <w:tc>
          <w:tcPr>
            <w:tcW w:w="283" w:type="dxa"/>
            <w:tcBorders>
              <w:top w:val="nil"/>
              <w:bottom w:val="single" w:sz="2" w:space="0" w:color="1F4E79" w:themeColor="accent1" w:themeShade="80"/>
            </w:tcBorders>
            <w:shd w:val="clear" w:color="auto" w:fill="auto"/>
          </w:tcPr>
          <w:p w14:paraId="7F6783E4" w14:textId="77777777" w:rsidR="00375569" w:rsidRPr="001D6BE8" w:rsidRDefault="00375569" w:rsidP="007B44DC">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063" w:type="dxa"/>
            <w:tcBorders>
              <w:top w:val="single" w:sz="2" w:space="0" w:color="1F4E79" w:themeColor="accent1" w:themeShade="80"/>
              <w:bottom w:val="single" w:sz="2" w:space="0" w:color="1F4E79" w:themeColor="accent1" w:themeShade="80"/>
            </w:tcBorders>
            <w:shd w:val="clear" w:color="auto" w:fill="auto"/>
          </w:tcPr>
          <w:p w14:paraId="413BBE82" w14:textId="77777777" w:rsidR="00375569" w:rsidRPr="001D6BE8" w:rsidRDefault="00375569" w:rsidP="007B44D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c>
          <w:tcPr>
            <w:tcW w:w="1063" w:type="dxa"/>
            <w:tcBorders>
              <w:top w:val="single" w:sz="2" w:space="0" w:color="1F4E79" w:themeColor="accent1" w:themeShade="80"/>
              <w:bottom w:val="single" w:sz="2" w:space="0" w:color="1F4E79" w:themeColor="accent1" w:themeShade="80"/>
            </w:tcBorders>
            <w:shd w:val="clear" w:color="auto" w:fill="auto"/>
          </w:tcPr>
          <w:p w14:paraId="2C0864A8" w14:textId="77777777" w:rsidR="00375569" w:rsidRPr="001D6BE8" w:rsidRDefault="00375569" w:rsidP="007B44D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31.12.2020</w:t>
            </w:r>
          </w:p>
        </w:tc>
      </w:tr>
      <w:tr w:rsidR="00375569" w:rsidRPr="001D6BE8" w14:paraId="11A620D5"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7D838C39" w14:textId="77777777" w:rsidR="00375569" w:rsidRPr="00CD3714" w:rsidRDefault="00375569" w:rsidP="00386D90">
            <w:pPr>
              <w:pStyle w:val="08-Tabelageral"/>
              <w:jc w:val="left"/>
              <w:rPr>
                <w:rFonts w:cs="Arial"/>
                <w:szCs w:val="14"/>
              </w:rPr>
            </w:pPr>
            <w:r w:rsidRPr="00CD3714">
              <w:rPr>
                <w:rFonts w:cs="Arial"/>
                <w:szCs w:val="14"/>
              </w:rPr>
              <w:t>Ativo Circulante</w:t>
            </w:r>
          </w:p>
        </w:tc>
        <w:tc>
          <w:tcPr>
            <w:tcW w:w="709" w:type="dxa"/>
            <w:tcBorders>
              <w:top w:val="single" w:sz="2" w:space="0" w:color="1F4E79" w:themeColor="accent1" w:themeShade="80"/>
              <w:bottom w:val="nil"/>
            </w:tcBorders>
            <w:shd w:val="clear" w:color="auto" w:fill="auto"/>
            <w:vAlign w:val="center"/>
          </w:tcPr>
          <w:p w14:paraId="3AA764E3"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single" w:sz="2" w:space="0" w:color="1F4E79" w:themeColor="accent1" w:themeShade="80"/>
              <w:bottom w:val="nil"/>
            </w:tcBorders>
            <w:shd w:val="clear" w:color="auto" w:fill="auto"/>
            <w:vAlign w:val="center"/>
          </w:tcPr>
          <w:p w14:paraId="42D62DCF" w14:textId="77777777" w:rsidR="00375569" w:rsidRPr="008F780E"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90483">
              <w:rPr>
                <w:rFonts w:cs="Arial"/>
                <w:b/>
                <w:szCs w:val="14"/>
              </w:rPr>
              <w:t>1.956.417</w:t>
            </w:r>
          </w:p>
        </w:tc>
        <w:tc>
          <w:tcPr>
            <w:tcW w:w="1134" w:type="dxa"/>
            <w:tcBorders>
              <w:top w:val="single" w:sz="2" w:space="0" w:color="1F4E79" w:themeColor="accent1" w:themeShade="80"/>
              <w:bottom w:val="nil"/>
            </w:tcBorders>
            <w:shd w:val="clear" w:color="auto" w:fill="auto"/>
            <w:vAlign w:val="center"/>
          </w:tcPr>
          <w:p w14:paraId="2DA833C5" w14:textId="77777777" w:rsidR="00375569" w:rsidRPr="008F780E"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8F780E">
              <w:rPr>
                <w:rFonts w:cs="Arial"/>
                <w:b/>
                <w:szCs w:val="14"/>
              </w:rPr>
              <w:t>1.279.341</w:t>
            </w:r>
          </w:p>
        </w:tc>
        <w:tc>
          <w:tcPr>
            <w:tcW w:w="283" w:type="dxa"/>
            <w:tcBorders>
              <w:top w:val="single" w:sz="2" w:space="0" w:color="1F4E79" w:themeColor="accent1" w:themeShade="80"/>
              <w:bottom w:val="nil"/>
            </w:tcBorders>
            <w:shd w:val="clear" w:color="auto" w:fill="auto"/>
            <w:vAlign w:val="center"/>
          </w:tcPr>
          <w:p w14:paraId="28D6D0AE" w14:textId="77777777" w:rsidR="00375569" w:rsidRPr="008F780E"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single" w:sz="2" w:space="0" w:color="1F4E79" w:themeColor="accent1" w:themeShade="80"/>
              <w:bottom w:val="nil"/>
            </w:tcBorders>
            <w:shd w:val="clear" w:color="auto" w:fill="auto"/>
            <w:vAlign w:val="center"/>
          </w:tcPr>
          <w:p w14:paraId="54105AF5" w14:textId="77777777" w:rsidR="00375569" w:rsidRPr="008F780E"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90483">
              <w:rPr>
                <w:rFonts w:cs="Arial"/>
                <w:b/>
                <w:bCs/>
                <w:szCs w:val="14"/>
              </w:rPr>
              <w:t>5.125.631</w:t>
            </w:r>
          </w:p>
        </w:tc>
        <w:tc>
          <w:tcPr>
            <w:tcW w:w="1063" w:type="dxa"/>
            <w:tcBorders>
              <w:top w:val="single" w:sz="2" w:space="0" w:color="1F4E79" w:themeColor="accent1" w:themeShade="80"/>
              <w:bottom w:val="nil"/>
            </w:tcBorders>
            <w:shd w:val="clear" w:color="auto" w:fill="auto"/>
            <w:vAlign w:val="center"/>
          </w:tcPr>
          <w:p w14:paraId="127E483E" w14:textId="77777777" w:rsidR="00375569" w:rsidRPr="008F780E"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8F780E">
              <w:rPr>
                <w:rFonts w:cs="Arial"/>
                <w:b/>
                <w:bCs/>
                <w:szCs w:val="14"/>
              </w:rPr>
              <w:t>3.618.881</w:t>
            </w:r>
          </w:p>
        </w:tc>
      </w:tr>
      <w:tr w:rsidR="00375569" w:rsidRPr="001D6BE8" w14:paraId="632F91BE"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D464899" w14:textId="77777777" w:rsidR="00375569" w:rsidRPr="0038031F" w:rsidRDefault="00375569" w:rsidP="00386D90">
            <w:pPr>
              <w:pStyle w:val="08-Tabelageral"/>
              <w:ind w:left="113"/>
              <w:jc w:val="left"/>
              <w:rPr>
                <w:rFonts w:cs="Arial"/>
                <w:b w:val="0"/>
                <w:szCs w:val="14"/>
              </w:rPr>
            </w:pPr>
            <w:r w:rsidRPr="0038031F">
              <w:rPr>
                <w:rFonts w:cs="Arial"/>
                <w:b w:val="0"/>
                <w:szCs w:val="14"/>
              </w:rPr>
              <w:t>Caixa e equivalentes de caixa</w:t>
            </w:r>
          </w:p>
        </w:tc>
        <w:tc>
          <w:tcPr>
            <w:tcW w:w="709" w:type="dxa"/>
            <w:tcBorders>
              <w:top w:val="nil"/>
              <w:bottom w:val="nil"/>
            </w:tcBorders>
            <w:shd w:val="clear" w:color="auto" w:fill="auto"/>
            <w:vAlign w:val="center"/>
          </w:tcPr>
          <w:p w14:paraId="7C5BD86A"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[15]</w:t>
            </w:r>
          </w:p>
        </w:tc>
        <w:tc>
          <w:tcPr>
            <w:tcW w:w="1134" w:type="dxa"/>
            <w:tcBorders>
              <w:top w:val="nil"/>
              <w:bottom w:val="nil"/>
            </w:tcBorders>
            <w:shd w:val="clear" w:color="auto" w:fill="auto"/>
            <w:vAlign w:val="center"/>
          </w:tcPr>
          <w:p w14:paraId="6A8A5B9B" w14:textId="77777777" w:rsidR="00375569" w:rsidRPr="00350BA7"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369.342</w:t>
            </w:r>
          </w:p>
        </w:tc>
        <w:tc>
          <w:tcPr>
            <w:tcW w:w="1134" w:type="dxa"/>
            <w:tcBorders>
              <w:top w:val="nil"/>
              <w:bottom w:val="nil"/>
            </w:tcBorders>
            <w:shd w:val="clear" w:color="auto" w:fill="auto"/>
            <w:vAlign w:val="center"/>
          </w:tcPr>
          <w:p w14:paraId="58E94850"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rPr>
                <w:rFonts w:cs="Arial"/>
                <w:szCs w:val="14"/>
              </w:rPr>
              <w:t>208.893</w:t>
            </w:r>
          </w:p>
        </w:tc>
        <w:tc>
          <w:tcPr>
            <w:tcW w:w="283" w:type="dxa"/>
            <w:tcBorders>
              <w:top w:val="nil"/>
              <w:bottom w:val="nil"/>
            </w:tcBorders>
            <w:shd w:val="clear" w:color="auto" w:fill="auto"/>
            <w:vAlign w:val="center"/>
          </w:tcPr>
          <w:p w14:paraId="0887FA56"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39B5D7A"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4.090.561</w:t>
            </w:r>
          </w:p>
        </w:tc>
        <w:tc>
          <w:tcPr>
            <w:tcW w:w="1063" w:type="dxa"/>
            <w:tcBorders>
              <w:top w:val="nil"/>
              <w:bottom w:val="nil"/>
            </w:tcBorders>
            <w:shd w:val="clear" w:color="auto" w:fill="auto"/>
            <w:vAlign w:val="center"/>
          </w:tcPr>
          <w:p w14:paraId="5A5DFFEA"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rPr>
                <w:rFonts w:cs="Arial"/>
                <w:szCs w:val="14"/>
              </w:rPr>
              <w:t>2.195.445</w:t>
            </w:r>
          </w:p>
        </w:tc>
      </w:tr>
      <w:tr w:rsidR="00375569" w:rsidRPr="001D6BE8" w14:paraId="78F1BF62"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2F708C8" w14:textId="77777777" w:rsidR="00375569" w:rsidRPr="0038031F" w:rsidRDefault="00375569" w:rsidP="00386D90">
            <w:pPr>
              <w:pStyle w:val="08-Tabelageral"/>
              <w:ind w:left="113"/>
              <w:jc w:val="left"/>
              <w:rPr>
                <w:rFonts w:cs="Arial"/>
                <w:b w:val="0"/>
                <w:szCs w:val="14"/>
              </w:rPr>
            </w:pPr>
            <w:r w:rsidRPr="0038031F">
              <w:rPr>
                <w:rFonts w:cs="Arial"/>
                <w:b w:val="0"/>
                <w:szCs w:val="14"/>
              </w:rPr>
              <w:t xml:space="preserve">Ativos </w:t>
            </w:r>
            <w:r>
              <w:rPr>
                <w:rFonts w:cs="Arial"/>
                <w:b w:val="0"/>
                <w:szCs w:val="14"/>
              </w:rPr>
              <w:t>f</w:t>
            </w:r>
            <w:r w:rsidRPr="0038031F">
              <w:rPr>
                <w:rFonts w:cs="Arial"/>
                <w:b w:val="0"/>
                <w:szCs w:val="14"/>
              </w:rPr>
              <w:t xml:space="preserve">inanceiros </w:t>
            </w:r>
            <w:r>
              <w:rPr>
                <w:rFonts w:cs="Arial"/>
                <w:b w:val="0"/>
                <w:szCs w:val="14"/>
              </w:rPr>
              <w:t>m</w:t>
            </w:r>
            <w:r w:rsidRPr="0038031F">
              <w:rPr>
                <w:rFonts w:cs="Arial"/>
                <w:b w:val="0"/>
                <w:szCs w:val="14"/>
              </w:rPr>
              <w:t xml:space="preserve">ensurados ao </w:t>
            </w:r>
            <w:r>
              <w:rPr>
                <w:rFonts w:cs="Arial"/>
                <w:b w:val="0"/>
                <w:szCs w:val="14"/>
              </w:rPr>
              <w:t>c</w:t>
            </w:r>
            <w:r w:rsidRPr="0038031F">
              <w:rPr>
                <w:rFonts w:cs="Arial"/>
                <w:b w:val="0"/>
                <w:szCs w:val="14"/>
              </w:rPr>
              <w:t xml:space="preserve">usto </w:t>
            </w:r>
            <w:r>
              <w:rPr>
                <w:rFonts w:cs="Arial"/>
                <w:b w:val="0"/>
                <w:szCs w:val="14"/>
              </w:rPr>
              <w:t>a</w:t>
            </w:r>
            <w:r w:rsidRPr="0038031F">
              <w:rPr>
                <w:rFonts w:cs="Arial"/>
                <w:b w:val="0"/>
                <w:szCs w:val="14"/>
              </w:rPr>
              <w:t>mortizado</w:t>
            </w:r>
          </w:p>
        </w:tc>
        <w:tc>
          <w:tcPr>
            <w:tcW w:w="709" w:type="dxa"/>
            <w:tcBorders>
              <w:top w:val="nil"/>
              <w:bottom w:val="nil"/>
            </w:tcBorders>
            <w:shd w:val="clear" w:color="auto" w:fill="auto"/>
            <w:vAlign w:val="center"/>
          </w:tcPr>
          <w:p w14:paraId="4A18A391"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[16.b]</w:t>
            </w:r>
          </w:p>
        </w:tc>
        <w:tc>
          <w:tcPr>
            <w:tcW w:w="1134" w:type="dxa"/>
            <w:tcBorders>
              <w:top w:val="nil"/>
              <w:bottom w:val="nil"/>
            </w:tcBorders>
            <w:shd w:val="clear" w:color="auto" w:fill="auto"/>
            <w:vAlign w:val="center"/>
          </w:tcPr>
          <w:p w14:paraId="2E47D362" w14:textId="77777777" w:rsidR="00375569" w:rsidRPr="00350B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14852B0C"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rPr>
                <w:rFonts w:cs="Arial"/>
                <w:szCs w:val="14"/>
              </w:rPr>
              <w:t>--</w:t>
            </w:r>
          </w:p>
        </w:tc>
        <w:tc>
          <w:tcPr>
            <w:tcW w:w="283" w:type="dxa"/>
            <w:tcBorders>
              <w:top w:val="nil"/>
              <w:bottom w:val="nil"/>
            </w:tcBorders>
            <w:shd w:val="clear" w:color="auto" w:fill="auto"/>
            <w:vAlign w:val="center"/>
          </w:tcPr>
          <w:p w14:paraId="53D13A08" w14:textId="77777777" w:rsidR="00375569" w:rsidRPr="006C5C72"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1CAC3A79" w14:textId="77777777" w:rsidR="00375569" w:rsidRPr="006C5C72"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063" w:type="dxa"/>
            <w:tcBorders>
              <w:top w:val="nil"/>
              <w:bottom w:val="nil"/>
            </w:tcBorders>
            <w:shd w:val="clear" w:color="auto" w:fill="auto"/>
            <w:vAlign w:val="center"/>
          </w:tcPr>
          <w:p w14:paraId="164BE736"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rPr>
                <w:rFonts w:cs="Arial"/>
                <w:szCs w:val="14"/>
              </w:rPr>
              <w:t>245.101</w:t>
            </w:r>
          </w:p>
        </w:tc>
      </w:tr>
      <w:tr w:rsidR="00375569" w:rsidRPr="001D6BE8" w14:paraId="383A7309"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D47F85A" w14:textId="77777777" w:rsidR="00375569" w:rsidRPr="0038031F" w:rsidRDefault="00375569" w:rsidP="00386D90">
            <w:pPr>
              <w:pStyle w:val="08-Tabelageral"/>
              <w:ind w:left="113"/>
              <w:jc w:val="left"/>
              <w:rPr>
                <w:rFonts w:cs="Arial"/>
                <w:b w:val="0"/>
                <w:szCs w:val="14"/>
              </w:rPr>
            </w:pPr>
            <w:r w:rsidRPr="0038031F">
              <w:rPr>
                <w:rFonts w:cs="Arial"/>
                <w:b w:val="0"/>
                <w:szCs w:val="14"/>
              </w:rPr>
              <w:t>Dividendos/JCP a receber</w:t>
            </w:r>
          </w:p>
        </w:tc>
        <w:tc>
          <w:tcPr>
            <w:tcW w:w="709" w:type="dxa"/>
            <w:tcBorders>
              <w:top w:val="nil"/>
              <w:bottom w:val="nil"/>
            </w:tcBorders>
            <w:shd w:val="clear" w:color="auto" w:fill="auto"/>
            <w:vAlign w:val="center"/>
          </w:tcPr>
          <w:p w14:paraId="7D0F884E"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[17]</w:t>
            </w:r>
          </w:p>
        </w:tc>
        <w:tc>
          <w:tcPr>
            <w:tcW w:w="1134" w:type="dxa"/>
            <w:tcBorders>
              <w:top w:val="nil"/>
              <w:bottom w:val="nil"/>
            </w:tcBorders>
            <w:shd w:val="clear" w:color="auto" w:fill="auto"/>
            <w:vAlign w:val="center"/>
          </w:tcPr>
          <w:p w14:paraId="57ED2307"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1.572.428</w:t>
            </w:r>
          </w:p>
        </w:tc>
        <w:tc>
          <w:tcPr>
            <w:tcW w:w="1134" w:type="dxa"/>
            <w:tcBorders>
              <w:top w:val="nil"/>
              <w:bottom w:val="nil"/>
            </w:tcBorders>
            <w:shd w:val="clear" w:color="auto" w:fill="auto"/>
            <w:vAlign w:val="center"/>
          </w:tcPr>
          <w:p w14:paraId="3F65A5C6"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t>1.060.278</w:t>
            </w:r>
          </w:p>
        </w:tc>
        <w:tc>
          <w:tcPr>
            <w:tcW w:w="283" w:type="dxa"/>
            <w:tcBorders>
              <w:top w:val="nil"/>
              <w:bottom w:val="nil"/>
            </w:tcBorders>
            <w:shd w:val="clear" w:color="auto" w:fill="auto"/>
            <w:vAlign w:val="center"/>
          </w:tcPr>
          <w:p w14:paraId="39957BCA"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6BACC93"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1.648</w:t>
            </w:r>
          </w:p>
        </w:tc>
        <w:tc>
          <w:tcPr>
            <w:tcW w:w="1063" w:type="dxa"/>
            <w:tcBorders>
              <w:top w:val="nil"/>
              <w:bottom w:val="nil"/>
            </w:tcBorders>
            <w:shd w:val="clear" w:color="auto" w:fill="auto"/>
            <w:vAlign w:val="center"/>
          </w:tcPr>
          <w:p w14:paraId="3746F53A"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rPr>
                <w:rFonts w:cs="Arial"/>
                <w:szCs w:val="14"/>
              </w:rPr>
              <w:t>--</w:t>
            </w:r>
          </w:p>
        </w:tc>
      </w:tr>
      <w:tr w:rsidR="00375569" w:rsidRPr="00CF3D59" w14:paraId="73705514"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55BE641" w14:textId="77777777" w:rsidR="00375569" w:rsidRPr="00684249" w:rsidRDefault="00375569" w:rsidP="00386D90">
            <w:pPr>
              <w:pStyle w:val="08-Tabelageral"/>
              <w:ind w:left="113"/>
              <w:jc w:val="left"/>
              <w:rPr>
                <w:rFonts w:cs="Arial"/>
                <w:b w:val="0"/>
                <w:szCs w:val="14"/>
              </w:rPr>
            </w:pPr>
            <w:r w:rsidRPr="00684249">
              <w:rPr>
                <w:rFonts w:cs="Arial"/>
                <w:b w:val="0"/>
                <w:szCs w:val="14"/>
              </w:rPr>
              <w:t>Ativos por Impostos Correntes</w:t>
            </w:r>
          </w:p>
        </w:tc>
        <w:tc>
          <w:tcPr>
            <w:tcW w:w="709" w:type="dxa"/>
            <w:tcBorders>
              <w:top w:val="nil"/>
              <w:bottom w:val="nil"/>
            </w:tcBorders>
            <w:shd w:val="clear" w:color="auto" w:fill="auto"/>
            <w:vAlign w:val="center"/>
          </w:tcPr>
          <w:p w14:paraId="219D181E"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8D3F0E">
              <w:t>[12.d]</w:t>
            </w:r>
          </w:p>
        </w:tc>
        <w:tc>
          <w:tcPr>
            <w:tcW w:w="1134" w:type="dxa"/>
            <w:tcBorders>
              <w:top w:val="nil"/>
              <w:bottom w:val="nil"/>
            </w:tcBorders>
            <w:shd w:val="clear" w:color="auto" w:fill="auto"/>
            <w:vAlign w:val="center"/>
          </w:tcPr>
          <w:p w14:paraId="22B2FBD6" w14:textId="77777777" w:rsidR="00375569" w:rsidRPr="00B7211F"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0483">
              <w:rPr>
                <w:rFonts w:cs="Arial"/>
                <w:szCs w:val="14"/>
              </w:rPr>
              <w:t>1.928</w:t>
            </w:r>
          </w:p>
        </w:tc>
        <w:tc>
          <w:tcPr>
            <w:tcW w:w="1134" w:type="dxa"/>
            <w:tcBorders>
              <w:top w:val="nil"/>
              <w:bottom w:val="nil"/>
            </w:tcBorders>
            <w:shd w:val="clear" w:color="auto" w:fill="auto"/>
            <w:vAlign w:val="center"/>
          </w:tcPr>
          <w:p w14:paraId="4773F86A"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t>--</w:t>
            </w:r>
          </w:p>
        </w:tc>
        <w:tc>
          <w:tcPr>
            <w:tcW w:w="283" w:type="dxa"/>
            <w:tcBorders>
              <w:top w:val="nil"/>
              <w:bottom w:val="nil"/>
            </w:tcBorders>
            <w:shd w:val="clear" w:color="auto" w:fill="auto"/>
            <w:vAlign w:val="center"/>
          </w:tcPr>
          <w:p w14:paraId="470DD2C6"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785BCEB7"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0483">
              <w:rPr>
                <w:rFonts w:cs="Arial"/>
                <w:szCs w:val="14"/>
              </w:rPr>
              <w:t>1.928</w:t>
            </w:r>
          </w:p>
        </w:tc>
        <w:tc>
          <w:tcPr>
            <w:tcW w:w="1063" w:type="dxa"/>
            <w:tcBorders>
              <w:top w:val="nil"/>
              <w:bottom w:val="nil"/>
            </w:tcBorders>
            <w:shd w:val="clear" w:color="auto" w:fill="auto"/>
            <w:vAlign w:val="center"/>
          </w:tcPr>
          <w:p w14:paraId="75164C0C"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r>
      <w:tr w:rsidR="00375569" w:rsidRPr="001D6BE8" w14:paraId="351D60D5"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77CCFAF" w14:textId="77777777" w:rsidR="00375569" w:rsidRPr="0038031F" w:rsidRDefault="00375569" w:rsidP="00386D90">
            <w:pPr>
              <w:pStyle w:val="08-Tabelageral"/>
              <w:ind w:left="113"/>
              <w:jc w:val="left"/>
              <w:rPr>
                <w:rFonts w:cs="Arial"/>
                <w:b w:val="0"/>
                <w:szCs w:val="14"/>
              </w:rPr>
            </w:pPr>
            <w:r w:rsidRPr="0038031F">
              <w:rPr>
                <w:rFonts w:cs="Arial"/>
                <w:b w:val="0"/>
                <w:szCs w:val="14"/>
              </w:rPr>
              <w:t>Comissões a receber</w:t>
            </w:r>
          </w:p>
        </w:tc>
        <w:tc>
          <w:tcPr>
            <w:tcW w:w="709" w:type="dxa"/>
            <w:tcBorders>
              <w:top w:val="nil"/>
              <w:bottom w:val="nil"/>
            </w:tcBorders>
            <w:shd w:val="clear" w:color="auto" w:fill="auto"/>
            <w:vAlign w:val="center"/>
          </w:tcPr>
          <w:p w14:paraId="4A384A4F"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[18]</w:t>
            </w:r>
          </w:p>
        </w:tc>
        <w:tc>
          <w:tcPr>
            <w:tcW w:w="1134" w:type="dxa"/>
            <w:tcBorders>
              <w:top w:val="nil"/>
              <w:bottom w:val="nil"/>
            </w:tcBorders>
            <w:shd w:val="clear" w:color="auto" w:fill="auto"/>
            <w:vAlign w:val="center"/>
          </w:tcPr>
          <w:p w14:paraId="6C879B74"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29639A6B"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t>--</w:t>
            </w:r>
          </w:p>
        </w:tc>
        <w:tc>
          <w:tcPr>
            <w:tcW w:w="283" w:type="dxa"/>
            <w:tcBorders>
              <w:top w:val="nil"/>
              <w:bottom w:val="nil"/>
            </w:tcBorders>
            <w:shd w:val="clear" w:color="auto" w:fill="auto"/>
            <w:vAlign w:val="center"/>
          </w:tcPr>
          <w:p w14:paraId="6D27B649"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789104C"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1.026.158</w:t>
            </w:r>
          </w:p>
        </w:tc>
        <w:tc>
          <w:tcPr>
            <w:tcW w:w="1063" w:type="dxa"/>
            <w:tcBorders>
              <w:top w:val="nil"/>
              <w:bottom w:val="nil"/>
            </w:tcBorders>
            <w:shd w:val="clear" w:color="auto" w:fill="auto"/>
            <w:vAlign w:val="center"/>
          </w:tcPr>
          <w:p w14:paraId="5042FE2A"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t>1.173.988</w:t>
            </w:r>
          </w:p>
        </w:tc>
      </w:tr>
      <w:tr w:rsidR="00375569" w:rsidRPr="001D6BE8" w14:paraId="60E23CEB"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318A179" w14:textId="77777777" w:rsidR="00375569" w:rsidRPr="0038031F" w:rsidRDefault="00375569" w:rsidP="00386D90">
            <w:pPr>
              <w:pStyle w:val="08-Tabelageral"/>
              <w:ind w:left="113"/>
              <w:jc w:val="left"/>
              <w:rPr>
                <w:rFonts w:cs="Arial"/>
                <w:b w:val="0"/>
                <w:szCs w:val="14"/>
              </w:rPr>
            </w:pPr>
            <w:r w:rsidRPr="0038031F">
              <w:rPr>
                <w:rFonts w:cs="Arial"/>
                <w:b w:val="0"/>
                <w:szCs w:val="14"/>
              </w:rPr>
              <w:t>Outros ativos</w:t>
            </w:r>
          </w:p>
        </w:tc>
        <w:tc>
          <w:tcPr>
            <w:tcW w:w="709" w:type="dxa"/>
            <w:tcBorders>
              <w:top w:val="nil"/>
              <w:bottom w:val="nil"/>
            </w:tcBorders>
            <w:shd w:val="clear" w:color="auto" w:fill="auto"/>
            <w:vAlign w:val="center"/>
          </w:tcPr>
          <w:p w14:paraId="22F76D7C"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[20]</w:t>
            </w:r>
          </w:p>
        </w:tc>
        <w:tc>
          <w:tcPr>
            <w:tcW w:w="1134" w:type="dxa"/>
            <w:tcBorders>
              <w:top w:val="nil"/>
              <w:bottom w:val="nil"/>
            </w:tcBorders>
            <w:shd w:val="clear" w:color="auto" w:fill="auto"/>
            <w:vAlign w:val="center"/>
          </w:tcPr>
          <w:p w14:paraId="092FEF50" w14:textId="77777777" w:rsidR="00375569" w:rsidRPr="00350B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590483">
              <w:rPr>
                <w:rFonts w:cs="Arial"/>
                <w:szCs w:val="14"/>
              </w:rPr>
              <w:t>12.719</w:t>
            </w:r>
          </w:p>
        </w:tc>
        <w:tc>
          <w:tcPr>
            <w:tcW w:w="1134" w:type="dxa"/>
            <w:tcBorders>
              <w:top w:val="nil"/>
              <w:bottom w:val="nil"/>
            </w:tcBorders>
            <w:shd w:val="clear" w:color="auto" w:fill="auto"/>
            <w:vAlign w:val="center"/>
          </w:tcPr>
          <w:p w14:paraId="0EFC8B8F"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t>10.170</w:t>
            </w:r>
          </w:p>
        </w:tc>
        <w:tc>
          <w:tcPr>
            <w:tcW w:w="283" w:type="dxa"/>
            <w:tcBorders>
              <w:top w:val="nil"/>
              <w:bottom w:val="nil"/>
            </w:tcBorders>
            <w:shd w:val="clear" w:color="auto" w:fill="auto"/>
            <w:vAlign w:val="center"/>
          </w:tcPr>
          <w:p w14:paraId="0982A8F8" w14:textId="77777777" w:rsidR="00375569" w:rsidRPr="006C5C72"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7498F886" w14:textId="77777777" w:rsidR="00375569" w:rsidRPr="006C5C72"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590483">
              <w:rPr>
                <w:rFonts w:cs="Arial"/>
                <w:szCs w:val="14"/>
              </w:rPr>
              <w:t>5.336</w:t>
            </w:r>
          </w:p>
        </w:tc>
        <w:tc>
          <w:tcPr>
            <w:tcW w:w="1063" w:type="dxa"/>
            <w:tcBorders>
              <w:top w:val="nil"/>
              <w:bottom w:val="nil"/>
            </w:tcBorders>
            <w:shd w:val="clear" w:color="auto" w:fill="auto"/>
            <w:vAlign w:val="center"/>
          </w:tcPr>
          <w:p w14:paraId="2B8322FE"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t>4.347</w:t>
            </w:r>
          </w:p>
        </w:tc>
      </w:tr>
      <w:tr w:rsidR="00375569" w:rsidRPr="001D6BE8" w14:paraId="540EE612"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247EA9F" w14:textId="77777777" w:rsidR="00375569" w:rsidRPr="0038031F" w:rsidRDefault="00375569" w:rsidP="00386D90">
            <w:pPr>
              <w:pStyle w:val="08-Tabelageral"/>
              <w:jc w:val="left"/>
              <w:rPr>
                <w:rFonts w:cs="Arial"/>
                <w:b w:val="0"/>
                <w:szCs w:val="14"/>
              </w:rPr>
            </w:pPr>
          </w:p>
        </w:tc>
        <w:tc>
          <w:tcPr>
            <w:tcW w:w="709" w:type="dxa"/>
            <w:tcBorders>
              <w:top w:val="nil"/>
              <w:bottom w:val="nil"/>
            </w:tcBorders>
            <w:shd w:val="clear" w:color="auto" w:fill="auto"/>
            <w:vAlign w:val="center"/>
          </w:tcPr>
          <w:p w14:paraId="7C00BB23"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431824B3" w14:textId="77777777" w:rsidR="00375569" w:rsidRPr="00350BA7"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1044D1F4"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3B3738D6"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08C3040"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D23DE2B"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2C09BE5E"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A9D2132" w14:textId="77777777" w:rsidR="00375569" w:rsidRPr="00CD3714" w:rsidRDefault="00375569" w:rsidP="00386D90">
            <w:pPr>
              <w:pStyle w:val="08-Tabelageral"/>
              <w:jc w:val="left"/>
              <w:rPr>
                <w:rFonts w:cs="Arial"/>
                <w:szCs w:val="14"/>
              </w:rPr>
            </w:pPr>
            <w:r w:rsidRPr="00CD3714">
              <w:rPr>
                <w:rFonts w:cs="Arial"/>
                <w:szCs w:val="14"/>
              </w:rPr>
              <w:t>Ativo Não Circulante</w:t>
            </w:r>
          </w:p>
        </w:tc>
        <w:tc>
          <w:tcPr>
            <w:tcW w:w="709" w:type="dxa"/>
            <w:tcBorders>
              <w:top w:val="nil"/>
              <w:bottom w:val="nil"/>
            </w:tcBorders>
            <w:shd w:val="clear" w:color="auto" w:fill="auto"/>
            <w:vAlign w:val="center"/>
          </w:tcPr>
          <w:p w14:paraId="590F6124"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3E0E8416" w14:textId="77777777" w:rsidR="00375569" w:rsidRPr="004730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EE1C73">
              <w:rPr>
                <w:rFonts w:cs="Arial"/>
                <w:b/>
                <w:szCs w:val="14"/>
              </w:rPr>
              <w:t>7.168.001</w:t>
            </w:r>
          </w:p>
        </w:tc>
        <w:tc>
          <w:tcPr>
            <w:tcW w:w="1134" w:type="dxa"/>
            <w:tcBorders>
              <w:top w:val="nil"/>
              <w:bottom w:val="nil"/>
            </w:tcBorders>
            <w:shd w:val="clear" w:color="auto" w:fill="auto"/>
            <w:vAlign w:val="center"/>
          </w:tcPr>
          <w:p w14:paraId="4DEE09F2" w14:textId="77777777" w:rsidR="00375569" w:rsidRPr="004730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4730A7">
              <w:rPr>
                <w:rFonts w:cs="Arial"/>
                <w:b/>
                <w:szCs w:val="14"/>
              </w:rPr>
              <w:t>6.067.671</w:t>
            </w:r>
          </w:p>
        </w:tc>
        <w:tc>
          <w:tcPr>
            <w:tcW w:w="283" w:type="dxa"/>
            <w:tcBorders>
              <w:top w:val="nil"/>
              <w:bottom w:val="nil"/>
            </w:tcBorders>
            <w:shd w:val="clear" w:color="auto" w:fill="auto"/>
            <w:vAlign w:val="center"/>
          </w:tcPr>
          <w:p w14:paraId="40006D78" w14:textId="77777777" w:rsidR="00375569" w:rsidRPr="006C5C72"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6B74654A" w14:textId="77777777" w:rsidR="00375569" w:rsidRPr="004730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8.188.590</w:t>
            </w:r>
          </w:p>
        </w:tc>
        <w:tc>
          <w:tcPr>
            <w:tcW w:w="1063" w:type="dxa"/>
            <w:tcBorders>
              <w:top w:val="nil"/>
              <w:bottom w:val="nil"/>
            </w:tcBorders>
            <w:shd w:val="clear" w:color="auto" w:fill="auto"/>
            <w:vAlign w:val="center"/>
          </w:tcPr>
          <w:p w14:paraId="6B5EB9C6" w14:textId="77777777" w:rsidR="00375569" w:rsidRPr="004730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4730A7">
              <w:rPr>
                <w:b/>
              </w:rPr>
              <w:t>7.281.415</w:t>
            </w:r>
          </w:p>
        </w:tc>
      </w:tr>
      <w:tr w:rsidR="00375569" w:rsidRPr="001D6BE8" w14:paraId="02580CE9"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CD8E31C" w14:textId="77777777" w:rsidR="00375569" w:rsidRPr="0038031F" w:rsidRDefault="00375569" w:rsidP="00386D90">
            <w:pPr>
              <w:pStyle w:val="08-Tabelageral"/>
              <w:ind w:left="113"/>
              <w:jc w:val="left"/>
              <w:rPr>
                <w:rFonts w:cs="Arial"/>
                <w:b w:val="0"/>
                <w:szCs w:val="14"/>
              </w:rPr>
            </w:pPr>
            <w:r w:rsidRPr="0038031F">
              <w:rPr>
                <w:rFonts w:cs="Arial"/>
                <w:b w:val="0"/>
                <w:szCs w:val="14"/>
              </w:rPr>
              <w:t>Ativos financeiros mensurados ao valor justo por meio do resultado</w:t>
            </w:r>
          </w:p>
        </w:tc>
        <w:tc>
          <w:tcPr>
            <w:tcW w:w="709" w:type="dxa"/>
            <w:tcBorders>
              <w:top w:val="nil"/>
              <w:bottom w:val="nil"/>
            </w:tcBorders>
            <w:shd w:val="clear" w:color="auto" w:fill="auto"/>
            <w:vAlign w:val="center"/>
          </w:tcPr>
          <w:p w14:paraId="778D5D2B"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[16.a]</w:t>
            </w:r>
          </w:p>
        </w:tc>
        <w:tc>
          <w:tcPr>
            <w:tcW w:w="1134" w:type="dxa"/>
            <w:tcBorders>
              <w:top w:val="nil"/>
              <w:bottom w:val="nil"/>
            </w:tcBorders>
            <w:shd w:val="clear" w:color="auto" w:fill="auto"/>
            <w:vAlign w:val="center"/>
          </w:tcPr>
          <w:p w14:paraId="053C3D13" w14:textId="77777777" w:rsidR="00375569" w:rsidRPr="00350BA7"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14.011</w:t>
            </w:r>
          </w:p>
        </w:tc>
        <w:tc>
          <w:tcPr>
            <w:tcW w:w="1134" w:type="dxa"/>
            <w:tcBorders>
              <w:top w:val="nil"/>
              <w:bottom w:val="nil"/>
            </w:tcBorders>
            <w:shd w:val="clear" w:color="auto" w:fill="auto"/>
            <w:vAlign w:val="center"/>
          </w:tcPr>
          <w:p w14:paraId="72FFBE84"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t>3.948</w:t>
            </w:r>
          </w:p>
        </w:tc>
        <w:tc>
          <w:tcPr>
            <w:tcW w:w="283" w:type="dxa"/>
            <w:tcBorders>
              <w:top w:val="nil"/>
              <w:bottom w:val="nil"/>
            </w:tcBorders>
            <w:shd w:val="clear" w:color="auto" w:fill="auto"/>
            <w:vAlign w:val="center"/>
          </w:tcPr>
          <w:p w14:paraId="583CCC22"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F7009B2"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14.011</w:t>
            </w:r>
          </w:p>
        </w:tc>
        <w:tc>
          <w:tcPr>
            <w:tcW w:w="1063" w:type="dxa"/>
            <w:tcBorders>
              <w:top w:val="nil"/>
              <w:bottom w:val="nil"/>
            </w:tcBorders>
            <w:shd w:val="clear" w:color="auto" w:fill="auto"/>
            <w:vAlign w:val="center"/>
          </w:tcPr>
          <w:p w14:paraId="7830C73B"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C5C72">
              <w:t>4.986</w:t>
            </w:r>
          </w:p>
        </w:tc>
      </w:tr>
      <w:tr w:rsidR="00375569" w:rsidRPr="001D6BE8" w14:paraId="454993A4"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6F3FE78" w14:textId="77777777" w:rsidR="00375569" w:rsidRPr="0038031F" w:rsidRDefault="00375569" w:rsidP="00386D90">
            <w:pPr>
              <w:pStyle w:val="08-Tabelageral"/>
              <w:ind w:left="113"/>
              <w:jc w:val="left"/>
              <w:rPr>
                <w:rFonts w:cs="Arial"/>
                <w:b w:val="0"/>
                <w:szCs w:val="14"/>
              </w:rPr>
            </w:pPr>
            <w:r w:rsidRPr="0038031F">
              <w:rPr>
                <w:rFonts w:cs="Arial"/>
                <w:b w:val="0"/>
                <w:szCs w:val="14"/>
              </w:rPr>
              <w:t>Ativos financeiros mensurados ao custo amortizado</w:t>
            </w:r>
          </w:p>
        </w:tc>
        <w:tc>
          <w:tcPr>
            <w:tcW w:w="709" w:type="dxa"/>
            <w:tcBorders>
              <w:top w:val="nil"/>
              <w:bottom w:val="nil"/>
            </w:tcBorders>
            <w:shd w:val="clear" w:color="auto" w:fill="auto"/>
            <w:vAlign w:val="center"/>
          </w:tcPr>
          <w:p w14:paraId="5976016F"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[16.b]</w:t>
            </w:r>
          </w:p>
        </w:tc>
        <w:tc>
          <w:tcPr>
            <w:tcW w:w="1134" w:type="dxa"/>
            <w:tcBorders>
              <w:top w:val="nil"/>
              <w:bottom w:val="nil"/>
            </w:tcBorders>
            <w:shd w:val="clear" w:color="auto" w:fill="auto"/>
            <w:vAlign w:val="center"/>
          </w:tcPr>
          <w:p w14:paraId="1F21E6DE" w14:textId="77777777" w:rsidR="00375569" w:rsidRPr="00350B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72A29E40"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t>--</w:t>
            </w:r>
          </w:p>
        </w:tc>
        <w:tc>
          <w:tcPr>
            <w:tcW w:w="283" w:type="dxa"/>
            <w:tcBorders>
              <w:top w:val="nil"/>
              <w:bottom w:val="nil"/>
            </w:tcBorders>
            <w:shd w:val="clear" w:color="auto" w:fill="auto"/>
            <w:vAlign w:val="center"/>
          </w:tcPr>
          <w:p w14:paraId="639DE1A7"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AE6ACCB"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063" w:type="dxa"/>
            <w:tcBorders>
              <w:top w:val="nil"/>
              <w:bottom w:val="nil"/>
            </w:tcBorders>
            <w:shd w:val="clear" w:color="auto" w:fill="auto"/>
            <w:vAlign w:val="center"/>
          </w:tcPr>
          <w:p w14:paraId="3E7FBB84" w14:textId="77777777" w:rsidR="00375569" w:rsidRPr="006C5C72"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C5C72">
              <w:t>204.449</w:t>
            </w:r>
          </w:p>
        </w:tc>
      </w:tr>
      <w:tr w:rsidR="00375569" w:rsidRPr="00CF3D59" w14:paraId="5B4834EB"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tcPr>
          <w:p w14:paraId="32B1C881" w14:textId="77777777" w:rsidR="00375569" w:rsidRPr="00D95650" w:rsidRDefault="00375569" w:rsidP="00386D90">
            <w:pPr>
              <w:pStyle w:val="08-Tabelageral"/>
              <w:ind w:left="113"/>
              <w:jc w:val="left"/>
              <w:rPr>
                <w:rFonts w:cs="Arial"/>
                <w:b w:val="0"/>
                <w:bCs w:val="0"/>
                <w:szCs w:val="14"/>
              </w:rPr>
            </w:pPr>
            <w:r w:rsidRPr="00D95650">
              <w:rPr>
                <w:b w:val="0"/>
                <w:bCs w:val="0"/>
              </w:rPr>
              <w:t>Ativos por impostos correntes</w:t>
            </w:r>
          </w:p>
        </w:tc>
        <w:tc>
          <w:tcPr>
            <w:tcW w:w="709" w:type="dxa"/>
            <w:tcBorders>
              <w:top w:val="nil"/>
              <w:bottom w:val="nil"/>
            </w:tcBorders>
            <w:shd w:val="clear" w:color="auto" w:fill="auto"/>
          </w:tcPr>
          <w:p w14:paraId="6965D31B" w14:textId="77777777" w:rsidR="00375569" w:rsidRPr="00D95650"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D95650">
              <w:t>[12.d]</w:t>
            </w:r>
          </w:p>
        </w:tc>
        <w:tc>
          <w:tcPr>
            <w:tcW w:w="1134" w:type="dxa"/>
            <w:tcBorders>
              <w:top w:val="nil"/>
              <w:bottom w:val="nil"/>
            </w:tcBorders>
            <w:shd w:val="clear" w:color="auto" w:fill="auto"/>
            <w:vAlign w:val="center"/>
          </w:tcPr>
          <w:p w14:paraId="02608F46" w14:textId="77777777" w:rsidR="00375569" w:rsidRPr="00D95650"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EE1C73">
              <w:t>68.332</w:t>
            </w:r>
          </w:p>
        </w:tc>
        <w:tc>
          <w:tcPr>
            <w:tcW w:w="1134" w:type="dxa"/>
            <w:tcBorders>
              <w:top w:val="nil"/>
              <w:bottom w:val="nil"/>
            </w:tcBorders>
            <w:shd w:val="clear" w:color="auto" w:fill="auto"/>
            <w:vAlign w:val="center"/>
          </w:tcPr>
          <w:p w14:paraId="4D652973"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36AD0">
              <w:t>85.155</w:t>
            </w:r>
          </w:p>
        </w:tc>
        <w:tc>
          <w:tcPr>
            <w:tcW w:w="283" w:type="dxa"/>
            <w:tcBorders>
              <w:top w:val="nil"/>
              <w:bottom w:val="nil"/>
            </w:tcBorders>
            <w:shd w:val="clear" w:color="auto" w:fill="auto"/>
            <w:vAlign w:val="center"/>
          </w:tcPr>
          <w:p w14:paraId="3CF40363"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7832B8F0" w14:textId="77777777" w:rsidR="00375569" w:rsidRPr="006C5C72"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EE1C73">
              <w:t>84.337</w:t>
            </w:r>
          </w:p>
        </w:tc>
        <w:tc>
          <w:tcPr>
            <w:tcW w:w="1063" w:type="dxa"/>
            <w:tcBorders>
              <w:top w:val="nil"/>
              <w:bottom w:val="nil"/>
            </w:tcBorders>
            <w:shd w:val="clear" w:color="auto" w:fill="auto"/>
            <w:vAlign w:val="center"/>
          </w:tcPr>
          <w:p w14:paraId="4CEDD66F" w14:textId="77777777" w:rsidR="00375569" w:rsidRPr="006C5C72"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36AD0">
              <w:t>114.776</w:t>
            </w:r>
          </w:p>
        </w:tc>
      </w:tr>
      <w:tr w:rsidR="00375569" w:rsidRPr="001D6BE8" w14:paraId="352435E6"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C22F7FB" w14:textId="77777777" w:rsidR="00375569" w:rsidRPr="0038031F" w:rsidRDefault="00375569" w:rsidP="00386D90">
            <w:pPr>
              <w:pStyle w:val="08-Tabelageral"/>
              <w:ind w:left="113"/>
              <w:jc w:val="left"/>
              <w:rPr>
                <w:rFonts w:cs="Arial"/>
                <w:b w:val="0"/>
                <w:szCs w:val="14"/>
              </w:rPr>
            </w:pPr>
            <w:r w:rsidRPr="0038031F">
              <w:rPr>
                <w:rFonts w:cs="Arial"/>
                <w:b w:val="0"/>
                <w:szCs w:val="14"/>
              </w:rPr>
              <w:t>Ativos por impostos diferidos</w:t>
            </w:r>
          </w:p>
        </w:tc>
        <w:tc>
          <w:tcPr>
            <w:tcW w:w="709" w:type="dxa"/>
            <w:tcBorders>
              <w:top w:val="nil"/>
              <w:bottom w:val="nil"/>
            </w:tcBorders>
            <w:shd w:val="clear" w:color="auto" w:fill="auto"/>
            <w:vAlign w:val="center"/>
          </w:tcPr>
          <w:p w14:paraId="64904581"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[12</w:t>
            </w:r>
            <w:r>
              <w:t>.e</w:t>
            </w:r>
            <w:r w:rsidRPr="00E0461B">
              <w:t>]</w:t>
            </w:r>
          </w:p>
        </w:tc>
        <w:tc>
          <w:tcPr>
            <w:tcW w:w="1134" w:type="dxa"/>
            <w:tcBorders>
              <w:top w:val="nil"/>
              <w:bottom w:val="nil"/>
            </w:tcBorders>
            <w:shd w:val="clear" w:color="auto" w:fill="auto"/>
            <w:vAlign w:val="center"/>
          </w:tcPr>
          <w:p w14:paraId="0DC7404E" w14:textId="77777777" w:rsidR="00375569" w:rsidRPr="00350B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10</w:t>
            </w:r>
          </w:p>
        </w:tc>
        <w:tc>
          <w:tcPr>
            <w:tcW w:w="1134" w:type="dxa"/>
            <w:tcBorders>
              <w:top w:val="nil"/>
              <w:bottom w:val="nil"/>
            </w:tcBorders>
            <w:shd w:val="clear" w:color="auto" w:fill="auto"/>
            <w:vAlign w:val="center"/>
          </w:tcPr>
          <w:p w14:paraId="2FFAAD07" w14:textId="77777777" w:rsidR="00375569" w:rsidRPr="00CF4B29"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D052BA">
              <w:t>1.305</w:t>
            </w:r>
          </w:p>
        </w:tc>
        <w:tc>
          <w:tcPr>
            <w:tcW w:w="283" w:type="dxa"/>
            <w:tcBorders>
              <w:top w:val="nil"/>
              <w:bottom w:val="nil"/>
            </w:tcBorders>
            <w:shd w:val="clear" w:color="auto" w:fill="auto"/>
            <w:vAlign w:val="center"/>
          </w:tcPr>
          <w:p w14:paraId="3ECCC454" w14:textId="77777777" w:rsidR="00375569" w:rsidRPr="00350B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0949BBD" w14:textId="77777777" w:rsidR="00375569" w:rsidRPr="00350BA7"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35.420</w:t>
            </w:r>
          </w:p>
        </w:tc>
        <w:tc>
          <w:tcPr>
            <w:tcW w:w="1063" w:type="dxa"/>
            <w:tcBorders>
              <w:top w:val="nil"/>
              <w:bottom w:val="nil"/>
            </w:tcBorders>
            <w:shd w:val="clear" w:color="auto" w:fill="auto"/>
            <w:vAlign w:val="center"/>
          </w:tcPr>
          <w:p w14:paraId="7027779A" w14:textId="77777777" w:rsidR="00375569" w:rsidRPr="00CF4B29"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90539">
              <w:t>17.634</w:t>
            </w:r>
          </w:p>
        </w:tc>
      </w:tr>
      <w:tr w:rsidR="00375569" w:rsidRPr="00C3029D" w14:paraId="25544AAC"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9348235" w14:textId="77777777" w:rsidR="00375569" w:rsidRPr="00C3029D" w:rsidRDefault="00375569" w:rsidP="00386D90">
            <w:pPr>
              <w:pStyle w:val="08-Tabelageral"/>
              <w:ind w:left="113"/>
              <w:jc w:val="left"/>
              <w:rPr>
                <w:rFonts w:cs="Arial"/>
                <w:b w:val="0"/>
                <w:szCs w:val="14"/>
              </w:rPr>
            </w:pPr>
            <w:r w:rsidRPr="00C3029D">
              <w:rPr>
                <w:rFonts w:cs="Arial"/>
                <w:b w:val="0"/>
                <w:szCs w:val="14"/>
              </w:rPr>
              <w:t>Comissões a receber</w:t>
            </w:r>
          </w:p>
        </w:tc>
        <w:tc>
          <w:tcPr>
            <w:tcW w:w="709" w:type="dxa"/>
            <w:tcBorders>
              <w:top w:val="nil"/>
              <w:bottom w:val="nil"/>
            </w:tcBorders>
            <w:shd w:val="clear" w:color="auto" w:fill="auto"/>
            <w:vAlign w:val="center"/>
          </w:tcPr>
          <w:p w14:paraId="7E741A4B"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[18]</w:t>
            </w:r>
          </w:p>
        </w:tc>
        <w:tc>
          <w:tcPr>
            <w:tcW w:w="1134" w:type="dxa"/>
            <w:tcBorders>
              <w:top w:val="nil"/>
              <w:bottom w:val="nil"/>
            </w:tcBorders>
            <w:shd w:val="clear" w:color="auto" w:fill="auto"/>
            <w:vAlign w:val="center"/>
          </w:tcPr>
          <w:p w14:paraId="4721B6CB" w14:textId="77777777" w:rsidR="00375569" w:rsidRPr="00C3029D"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736E53D9" w14:textId="77777777" w:rsidR="00375569" w:rsidRPr="00C3029D"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D052BA">
              <w:t>--</w:t>
            </w:r>
          </w:p>
        </w:tc>
        <w:tc>
          <w:tcPr>
            <w:tcW w:w="283" w:type="dxa"/>
            <w:tcBorders>
              <w:top w:val="nil"/>
              <w:bottom w:val="nil"/>
            </w:tcBorders>
            <w:shd w:val="clear" w:color="auto" w:fill="auto"/>
            <w:vAlign w:val="center"/>
          </w:tcPr>
          <w:p w14:paraId="6A939E52" w14:textId="77777777" w:rsidR="00375569" w:rsidRPr="00C3029D"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C2D9E9C" w14:textId="77777777" w:rsidR="00375569" w:rsidRPr="00C3029D"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698.435</w:t>
            </w:r>
          </w:p>
        </w:tc>
        <w:tc>
          <w:tcPr>
            <w:tcW w:w="1063" w:type="dxa"/>
            <w:tcBorders>
              <w:top w:val="nil"/>
              <w:bottom w:val="nil"/>
            </w:tcBorders>
            <w:shd w:val="clear" w:color="auto" w:fill="auto"/>
            <w:vAlign w:val="center"/>
          </w:tcPr>
          <w:p w14:paraId="3D2A92F3" w14:textId="77777777" w:rsidR="00375569" w:rsidRPr="00C3029D"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90539">
              <w:t>643.090</w:t>
            </w:r>
          </w:p>
        </w:tc>
      </w:tr>
      <w:tr w:rsidR="00375569" w:rsidRPr="00C3029D" w14:paraId="5D846D1C"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DC16C85" w14:textId="77777777" w:rsidR="00375569" w:rsidRPr="00C3029D" w:rsidRDefault="00375569" w:rsidP="00386D90">
            <w:pPr>
              <w:pStyle w:val="08-Tabelageral"/>
              <w:ind w:left="113"/>
              <w:jc w:val="left"/>
              <w:rPr>
                <w:rFonts w:cs="Arial"/>
                <w:szCs w:val="14"/>
              </w:rPr>
            </w:pPr>
            <w:r w:rsidRPr="0038031F">
              <w:rPr>
                <w:rFonts w:cs="Arial"/>
                <w:b w:val="0"/>
                <w:szCs w:val="14"/>
              </w:rPr>
              <w:t>Investimentos em participações societárias</w:t>
            </w:r>
          </w:p>
        </w:tc>
        <w:tc>
          <w:tcPr>
            <w:tcW w:w="709" w:type="dxa"/>
            <w:tcBorders>
              <w:top w:val="nil"/>
              <w:bottom w:val="nil"/>
            </w:tcBorders>
            <w:shd w:val="clear" w:color="auto" w:fill="auto"/>
            <w:vAlign w:val="center"/>
          </w:tcPr>
          <w:p w14:paraId="706D0175"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[7</w:t>
            </w:r>
            <w:r>
              <w:t>.b</w:t>
            </w:r>
            <w:r w:rsidRPr="00E0461B">
              <w:t>]</w:t>
            </w:r>
          </w:p>
        </w:tc>
        <w:tc>
          <w:tcPr>
            <w:tcW w:w="1134" w:type="dxa"/>
            <w:tcBorders>
              <w:top w:val="nil"/>
              <w:bottom w:val="nil"/>
            </w:tcBorders>
            <w:shd w:val="clear" w:color="auto" w:fill="auto"/>
            <w:vAlign w:val="center"/>
          </w:tcPr>
          <w:p w14:paraId="20DDC8DC" w14:textId="77777777" w:rsidR="00375569"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7.080.649</w:t>
            </w:r>
          </w:p>
        </w:tc>
        <w:tc>
          <w:tcPr>
            <w:tcW w:w="1134" w:type="dxa"/>
            <w:tcBorders>
              <w:top w:val="nil"/>
              <w:bottom w:val="nil"/>
            </w:tcBorders>
            <w:shd w:val="clear" w:color="auto" w:fill="auto"/>
            <w:vAlign w:val="center"/>
          </w:tcPr>
          <w:p w14:paraId="776F745D" w14:textId="77777777" w:rsidR="00375569" w:rsidRPr="00D052BA"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D052BA">
              <w:t>5.971.729</w:t>
            </w:r>
          </w:p>
        </w:tc>
        <w:tc>
          <w:tcPr>
            <w:tcW w:w="283" w:type="dxa"/>
            <w:tcBorders>
              <w:top w:val="nil"/>
              <w:bottom w:val="nil"/>
            </w:tcBorders>
            <w:shd w:val="clear" w:color="auto" w:fill="auto"/>
            <w:vAlign w:val="center"/>
          </w:tcPr>
          <w:p w14:paraId="09D008D4" w14:textId="77777777" w:rsidR="00375569" w:rsidRPr="00C3029D"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CEF5601" w14:textId="77777777" w:rsidR="00375569" w:rsidRPr="00BF1B94" w:rsidRDefault="00375569" w:rsidP="00386D9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7.137.241</w:t>
            </w:r>
          </w:p>
        </w:tc>
        <w:tc>
          <w:tcPr>
            <w:tcW w:w="1063" w:type="dxa"/>
            <w:tcBorders>
              <w:top w:val="nil"/>
              <w:bottom w:val="nil"/>
            </w:tcBorders>
            <w:shd w:val="clear" w:color="auto" w:fill="auto"/>
            <w:vAlign w:val="center"/>
          </w:tcPr>
          <w:p w14:paraId="54C3258D" w14:textId="77777777" w:rsidR="00375569" w:rsidRPr="00690539"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690539">
              <w:t>6.084.345</w:t>
            </w:r>
          </w:p>
        </w:tc>
      </w:tr>
      <w:tr w:rsidR="00375569" w:rsidRPr="00C3029D" w14:paraId="5D667A65"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C5AB1AD" w14:textId="77777777" w:rsidR="00375569" w:rsidRPr="00C3029D" w:rsidRDefault="00375569" w:rsidP="00386D90">
            <w:pPr>
              <w:pStyle w:val="08-Tabelageral"/>
              <w:ind w:left="113"/>
              <w:jc w:val="left"/>
              <w:rPr>
                <w:rFonts w:cs="Arial"/>
                <w:szCs w:val="14"/>
              </w:rPr>
            </w:pPr>
            <w:r w:rsidRPr="0038031F">
              <w:rPr>
                <w:rFonts w:cs="Arial"/>
                <w:b w:val="0"/>
                <w:szCs w:val="14"/>
              </w:rPr>
              <w:t>Intangível</w:t>
            </w:r>
          </w:p>
        </w:tc>
        <w:tc>
          <w:tcPr>
            <w:tcW w:w="709" w:type="dxa"/>
            <w:tcBorders>
              <w:top w:val="nil"/>
              <w:bottom w:val="nil"/>
            </w:tcBorders>
            <w:shd w:val="clear" w:color="auto" w:fill="auto"/>
            <w:vAlign w:val="center"/>
          </w:tcPr>
          <w:p w14:paraId="7E5EFFE7"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[19]</w:t>
            </w:r>
          </w:p>
        </w:tc>
        <w:tc>
          <w:tcPr>
            <w:tcW w:w="1134" w:type="dxa"/>
            <w:tcBorders>
              <w:top w:val="nil"/>
              <w:bottom w:val="nil"/>
            </w:tcBorders>
            <w:shd w:val="clear" w:color="auto" w:fill="auto"/>
            <w:vAlign w:val="center"/>
          </w:tcPr>
          <w:p w14:paraId="1D8C3AC1" w14:textId="77777777" w:rsidR="00375569"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4.959</w:t>
            </w:r>
          </w:p>
        </w:tc>
        <w:tc>
          <w:tcPr>
            <w:tcW w:w="1134" w:type="dxa"/>
            <w:tcBorders>
              <w:top w:val="nil"/>
              <w:bottom w:val="nil"/>
            </w:tcBorders>
            <w:shd w:val="clear" w:color="auto" w:fill="auto"/>
            <w:vAlign w:val="center"/>
          </w:tcPr>
          <w:p w14:paraId="27B6BF14" w14:textId="77777777" w:rsidR="00375569" w:rsidRPr="00D052BA"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D052BA">
              <w:t>5.481</w:t>
            </w:r>
          </w:p>
        </w:tc>
        <w:tc>
          <w:tcPr>
            <w:tcW w:w="283" w:type="dxa"/>
            <w:tcBorders>
              <w:top w:val="nil"/>
              <w:bottom w:val="nil"/>
            </w:tcBorders>
            <w:shd w:val="clear" w:color="auto" w:fill="auto"/>
            <w:vAlign w:val="center"/>
          </w:tcPr>
          <w:p w14:paraId="28CD2840" w14:textId="77777777" w:rsidR="00375569" w:rsidRPr="00C3029D"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18DEBC0" w14:textId="77777777" w:rsidR="00375569" w:rsidRPr="00BF1B94"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4.959</w:t>
            </w:r>
          </w:p>
        </w:tc>
        <w:tc>
          <w:tcPr>
            <w:tcW w:w="1063" w:type="dxa"/>
            <w:tcBorders>
              <w:top w:val="nil"/>
              <w:bottom w:val="nil"/>
            </w:tcBorders>
            <w:shd w:val="clear" w:color="auto" w:fill="auto"/>
            <w:vAlign w:val="center"/>
          </w:tcPr>
          <w:p w14:paraId="1C9A100D" w14:textId="77777777" w:rsidR="00375569" w:rsidRPr="00690539"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690539">
              <w:t>5.481</w:t>
            </w:r>
          </w:p>
        </w:tc>
      </w:tr>
      <w:tr w:rsidR="00375569" w:rsidRPr="001D6BE8" w14:paraId="3843672D"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F724CF5" w14:textId="77777777" w:rsidR="00375569" w:rsidRPr="0038031F" w:rsidRDefault="00375569" w:rsidP="00386D90">
            <w:pPr>
              <w:pStyle w:val="08-Tabelageral"/>
              <w:ind w:left="113"/>
              <w:jc w:val="left"/>
              <w:rPr>
                <w:rFonts w:cs="Arial"/>
                <w:b w:val="0"/>
                <w:szCs w:val="14"/>
              </w:rPr>
            </w:pPr>
            <w:r w:rsidRPr="0038031F">
              <w:rPr>
                <w:rFonts w:cs="Arial"/>
                <w:b w:val="0"/>
                <w:szCs w:val="14"/>
              </w:rPr>
              <w:t>Outros ativos</w:t>
            </w:r>
          </w:p>
        </w:tc>
        <w:tc>
          <w:tcPr>
            <w:tcW w:w="709" w:type="dxa"/>
            <w:tcBorders>
              <w:top w:val="nil"/>
              <w:bottom w:val="nil"/>
            </w:tcBorders>
            <w:shd w:val="clear" w:color="auto" w:fill="auto"/>
            <w:vAlign w:val="center"/>
          </w:tcPr>
          <w:p w14:paraId="1EFF2BCC"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0461B">
              <w:t>[20]</w:t>
            </w:r>
          </w:p>
        </w:tc>
        <w:tc>
          <w:tcPr>
            <w:tcW w:w="1134" w:type="dxa"/>
            <w:tcBorders>
              <w:top w:val="nil"/>
              <w:bottom w:val="nil"/>
            </w:tcBorders>
            <w:shd w:val="clear" w:color="auto" w:fill="auto"/>
            <w:vAlign w:val="center"/>
          </w:tcPr>
          <w:p w14:paraId="3E3FEDF4"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40</w:t>
            </w:r>
          </w:p>
        </w:tc>
        <w:tc>
          <w:tcPr>
            <w:tcW w:w="1134" w:type="dxa"/>
            <w:tcBorders>
              <w:top w:val="nil"/>
              <w:bottom w:val="nil"/>
            </w:tcBorders>
            <w:shd w:val="clear" w:color="auto" w:fill="auto"/>
            <w:vAlign w:val="center"/>
          </w:tcPr>
          <w:p w14:paraId="35987000"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F83601">
              <w:rPr>
                <w:rFonts w:cs="Arial"/>
                <w:szCs w:val="14"/>
              </w:rPr>
              <w:t>53</w:t>
            </w:r>
          </w:p>
        </w:tc>
        <w:tc>
          <w:tcPr>
            <w:tcW w:w="283" w:type="dxa"/>
            <w:tcBorders>
              <w:top w:val="nil"/>
              <w:bottom w:val="nil"/>
            </w:tcBorders>
            <w:shd w:val="clear" w:color="auto" w:fill="auto"/>
            <w:vAlign w:val="center"/>
          </w:tcPr>
          <w:p w14:paraId="340D78FB" w14:textId="77777777" w:rsidR="00375569" w:rsidRPr="00350B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3E70BE1" w14:textId="77777777" w:rsidR="00375569" w:rsidRPr="00350B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214.187</w:t>
            </w:r>
          </w:p>
        </w:tc>
        <w:tc>
          <w:tcPr>
            <w:tcW w:w="1063" w:type="dxa"/>
            <w:tcBorders>
              <w:top w:val="nil"/>
              <w:bottom w:val="nil"/>
            </w:tcBorders>
            <w:shd w:val="clear" w:color="auto" w:fill="auto"/>
            <w:vAlign w:val="center"/>
          </w:tcPr>
          <w:p w14:paraId="51BF7048" w14:textId="77777777" w:rsidR="00375569" w:rsidRPr="00CF4B29"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BD62A1">
              <w:rPr>
                <w:rFonts w:cs="Arial"/>
                <w:szCs w:val="14"/>
              </w:rPr>
              <w:t>206.654</w:t>
            </w:r>
          </w:p>
        </w:tc>
      </w:tr>
      <w:tr w:rsidR="00375569" w:rsidRPr="001D6BE8" w14:paraId="10CE8C0B"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CDA0E34" w14:textId="77777777" w:rsidR="00375569" w:rsidRPr="0038031F" w:rsidRDefault="00375569" w:rsidP="00386D90">
            <w:pPr>
              <w:pStyle w:val="08-Tabelageral"/>
              <w:jc w:val="left"/>
              <w:rPr>
                <w:rFonts w:cs="Arial"/>
                <w:b w:val="0"/>
                <w:szCs w:val="14"/>
              </w:rPr>
            </w:pPr>
          </w:p>
        </w:tc>
        <w:tc>
          <w:tcPr>
            <w:tcW w:w="709" w:type="dxa"/>
            <w:tcBorders>
              <w:top w:val="nil"/>
              <w:bottom w:val="nil"/>
            </w:tcBorders>
            <w:shd w:val="clear" w:color="auto" w:fill="auto"/>
            <w:vAlign w:val="center"/>
          </w:tcPr>
          <w:p w14:paraId="245FA71A"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049A4B7E"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E4ED959" w14:textId="77777777" w:rsidR="00375569" w:rsidRPr="00CF4B29"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1F4E421"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AE093B0"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48EAEA4" w14:textId="77777777" w:rsidR="00375569" w:rsidRPr="00CF4B29"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6DDCC1CB"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EDF39E4" w14:textId="77777777" w:rsidR="00375569" w:rsidRPr="00CD3714" w:rsidRDefault="00375569" w:rsidP="00386D90">
            <w:pPr>
              <w:pStyle w:val="08-Tabelageral"/>
              <w:jc w:val="left"/>
              <w:rPr>
                <w:rFonts w:cs="Arial"/>
                <w:szCs w:val="14"/>
              </w:rPr>
            </w:pPr>
            <w:r>
              <w:rPr>
                <w:rFonts w:cs="Arial"/>
                <w:szCs w:val="14"/>
              </w:rPr>
              <w:t>Total d</w:t>
            </w:r>
            <w:r w:rsidRPr="00CD3714">
              <w:rPr>
                <w:rFonts w:cs="Arial"/>
                <w:szCs w:val="14"/>
              </w:rPr>
              <w:t>o Ativo</w:t>
            </w:r>
          </w:p>
        </w:tc>
        <w:tc>
          <w:tcPr>
            <w:tcW w:w="709" w:type="dxa"/>
            <w:tcBorders>
              <w:top w:val="nil"/>
              <w:bottom w:val="nil"/>
            </w:tcBorders>
            <w:shd w:val="clear" w:color="auto" w:fill="auto"/>
            <w:vAlign w:val="center"/>
          </w:tcPr>
          <w:p w14:paraId="34BCCD00"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noProof/>
              </w:rPr>
            </w:pPr>
          </w:p>
        </w:tc>
        <w:tc>
          <w:tcPr>
            <w:tcW w:w="1134" w:type="dxa"/>
            <w:tcBorders>
              <w:top w:val="nil"/>
              <w:bottom w:val="nil"/>
            </w:tcBorders>
            <w:shd w:val="clear" w:color="auto" w:fill="auto"/>
            <w:vAlign w:val="center"/>
          </w:tcPr>
          <w:p w14:paraId="4A11456D" w14:textId="77777777" w:rsidR="00375569" w:rsidRPr="00CD3714"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EE1C73">
              <w:rPr>
                <w:rFonts w:cs="Arial"/>
                <w:b/>
                <w:szCs w:val="14"/>
              </w:rPr>
              <w:t>9.124.418</w:t>
            </w:r>
          </w:p>
        </w:tc>
        <w:tc>
          <w:tcPr>
            <w:tcW w:w="1134" w:type="dxa"/>
            <w:tcBorders>
              <w:top w:val="nil"/>
              <w:bottom w:val="nil"/>
            </w:tcBorders>
            <w:shd w:val="clear" w:color="auto" w:fill="auto"/>
            <w:vAlign w:val="center"/>
          </w:tcPr>
          <w:p w14:paraId="13A14AEE" w14:textId="77777777" w:rsidR="00375569" w:rsidRPr="0068764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rFonts w:cs="Arial"/>
                <w:b/>
                <w:szCs w:val="14"/>
              </w:rPr>
              <w:t>7.347.012</w:t>
            </w:r>
          </w:p>
        </w:tc>
        <w:tc>
          <w:tcPr>
            <w:tcW w:w="283" w:type="dxa"/>
            <w:tcBorders>
              <w:top w:val="nil"/>
              <w:bottom w:val="nil"/>
            </w:tcBorders>
            <w:shd w:val="clear" w:color="auto" w:fill="auto"/>
            <w:vAlign w:val="center"/>
          </w:tcPr>
          <w:p w14:paraId="2DC44841" w14:textId="77777777" w:rsidR="00375569" w:rsidRPr="0068764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5E14BD81" w14:textId="77777777" w:rsidR="00375569" w:rsidRPr="0068764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13.314.221</w:t>
            </w:r>
          </w:p>
        </w:tc>
        <w:tc>
          <w:tcPr>
            <w:tcW w:w="1063" w:type="dxa"/>
            <w:tcBorders>
              <w:top w:val="nil"/>
              <w:bottom w:val="nil"/>
            </w:tcBorders>
            <w:shd w:val="clear" w:color="auto" w:fill="auto"/>
            <w:vAlign w:val="center"/>
          </w:tcPr>
          <w:p w14:paraId="5CB6DA2C" w14:textId="77777777" w:rsidR="00375569" w:rsidRPr="0068764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rFonts w:cs="Arial"/>
                <w:b/>
                <w:bCs/>
                <w:szCs w:val="14"/>
              </w:rPr>
              <w:t>10.900.296</w:t>
            </w:r>
          </w:p>
        </w:tc>
      </w:tr>
      <w:tr w:rsidR="00375569" w:rsidRPr="001D6BE8" w14:paraId="2A461DA9"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9037398" w14:textId="77777777" w:rsidR="00375569" w:rsidRPr="0038031F" w:rsidRDefault="00375569" w:rsidP="00386D90">
            <w:pPr>
              <w:pStyle w:val="08-Tabelageral"/>
              <w:jc w:val="left"/>
              <w:rPr>
                <w:rFonts w:cs="Arial"/>
                <w:b w:val="0"/>
                <w:color w:val="FF0000"/>
                <w:szCs w:val="14"/>
              </w:rPr>
            </w:pPr>
          </w:p>
        </w:tc>
        <w:tc>
          <w:tcPr>
            <w:tcW w:w="709" w:type="dxa"/>
            <w:tcBorders>
              <w:top w:val="nil"/>
              <w:bottom w:val="nil"/>
            </w:tcBorders>
            <w:shd w:val="clear" w:color="auto" w:fill="auto"/>
            <w:vAlign w:val="center"/>
          </w:tcPr>
          <w:p w14:paraId="247668F5"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34" w:type="dxa"/>
            <w:tcBorders>
              <w:top w:val="nil"/>
              <w:bottom w:val="nil"/>
            </w:tcBorders>
            <w:shd w:val="clear" w:color="auto" w:fill="auto"/>
            <w:vAlign w:val="center"/>
          </w:tcPr>
          <w:p w14:paraId="6DA55791"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7B1D4A56" w14:textId="77777777" w:rsidR="00375569" w:rsidRPr="00CF4B29"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DB9BE67"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9CA4451" w14:textId="77777777" w:rsidR="00375569" w:rsidRPr="00350BA7"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FABBB87" w14:textId="77777777" w:rsidR="00375569" w:rsidRPr="00CF4B29"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56D05D02"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EEC9A5C" w14:textId="77777777" w:rsidR="00375569" w:rsidRPr="00CD3714" w:rsidRDefault="00375569" w:rsidP="00386D90">
            <w:pPr>
              <w:pStyle w:val="08-Tabelageral"/>
              <w:jc w:val="left"/>
            </w:pPr>
            <w:r w:rsidRPr="00CD3714">
              <w:t>Passivo Circulante</w:t>
            </w:r>
          </w:p>
        </w:tc>
        <w:tc>
          <w:tcPr>
            <w:tcW w:w="709" w:type="dxa"/>
            <w:tcBorders>
              <w:top w:val="nil"/>
              <w:bottom w:val="nil"/>
            </w:tcBorders>
            <w:shd w:val="clear" w:color="auto" w:fill="auto"/>
            <w:vAlign w:val="center"/>
          </w:tcPr>
          <w:p w14:paraId="35EA9D94"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04AC0EA9" w14:textId="77777777" w:rsidR="00375569" w:rsidRPr="004730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EE1C73">
              <w:rPr>
                <w:rFonts w:cs="Arial"/>
                <w:b/>
                <w:szCs w:val="14"/>
              </w:rPr>
              <w:t>1.842.974</w:t>
            </w:r>
          </w:p>
        </w:tc>
        <w:tc>
          <w:tcPr>
            <w:tcW w:w="1134" w:type="dxa"/>
            <w:tcBorders>
              <w:top w:val="nil"/>
              <w:bottom w:val="nil"/>
            </w:tcBorders>
            <w:shd w:val="clear" w:color="auto" w:fill="auto"/>
            <w:vAlign w:val="center"/>
          </w:tcPr>
          <w:p w14:paraId="57BB1F57" w14:textId="77777777" w:rsidR="00375569" w:rsidRPr="00F8360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b/>
              </w:rPr>
              <w:t>957.301</w:t>
            </w:r>
          </w:p>
        </w:tc>
        <w:tc>
          <w:tcPr>
            <w:tcW w:w="283" w:type="dxa"/>
            <w:tcBorders>
              <w:top w:val="nil"/>
              <w:bottom w:val="nil"/>
            </w:tcBorders>
            <w:shd w:val="clear" w:color="auto" w:fill="auto"/>
            <w:vAlign w:val="center"/>
          </w:tcPr>
          <w:p w14:paraId="40AE446B"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7883815A" w14:textId="77777777" w:rsidR="00375569" w:rsidRPr="004730A7"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F57304">
              <w:rPr>
                <w:rFonts w:cs="Arial"/>
                <w:b/>
                <w:bCs/>
                <w:szCs w:val="14"/>
              </w:rPr>
              <w:t>3.999.277</w:t>
            </w:r>
          </w:p>
        </w:tc>
        <w:tc>
          <w:tcPr>
            <w:tcW w:w="1063" w:type="dxa"/>
            <w:tcBorders>
              <w:top w:val="nil"/>
              <w:bottom w:val="nil"/>
            </w:tcBorders>
            <w:shd w:val="clear" w:color="auto" w:fill="auto"/>
            <w:vAlign w:val="center"/>
          </w:tcPr>
          <w:p w14:paraId="68065AA5"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rFonts w:cs="Arial"/>
                <w:b/>
                <w:bCs/>
                <w:szCs w:val="14"/>
              </w:rPr>
              <w:t>2.853.303</w:t>
            </w:r>
          </w:p>
        </w:tc>
      </w:tr>
      <w:tr w:rsidR="00375569" w:rsidRPr="001D6BE8" w14:paraId="3CEDAC88"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28CF33D" w14:textId="77777777" w:rsidR="00375569" w:rsidRPr="0038031F" w:rsidRDefault="00375569" w:rsidP="00386D90">
            <w:pPr>
              <w:pStyle w:val="08-Tabelageral"/>
              <w:ind w:left="113"/>
              <w:jc w:val="left"/>
              <w:rPr>
                <w:b w:val="0"/>
              </w:rPr>
            </w:pPr>
            <w:r w:rsidRPr="00830079">
              <w:rPr>
                <w:b w:val="0"/>
              </w:rPr>
              <w:t>Obrigações Societárias e Estatutárias</w:t>
            </w:r>
          </w:p>
        </w:tc>
        <w:tc>
          <w:tcPr>
            <w:tcW w:w="709" w:type="dxa"/>
            <w:tcBorders>
              <w:top w:val="nil"/>
              <w:bottom w:val="nil"/>
            </w:tcBorders>
            <w:shd w:val="clear" w:color="auto" w:fill="auto"/>
            <w:vAlign w:val="center"/>
          </w:tcPr>
          <w:p w14:paraId="445C3903"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[21]</w:t>
            </w:r>
          </w:p>
        </w:tc>
        <w:tc>
          <w:tcPr>
            <w:tcW w:w="1134" w:type="dxa"/>
            <w:tcBorders>
              <w:top w:val="nil"/>
              <w:bottom w:val="nil"/>
            </w:tcBorders>
            <w:shd w:val="clear" w:color="auto" w:fill="auto"/>
            <w:vAlign w:val="center"/>
          </w:tcPr>
          <w:p w14:paraId="2103F75E"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1.831.691</w:t>
            </w:r>
          </w:p>
        </w:tc>
        <w:tc>
          <w:tcPr>
            <w:tcW w:w="1134" w:type="dxa"/>
            <w:tcBorders>
              <w:top w:val="nil"/>
              <w:bottom w:val="nil"/>
            </w:tcBorders>
            <w:shd w:val="clear" w:color="auto" w:fill="auto"/>
            <w:vAlign w:val="center"/>
          </w:tcPr>
          <w:p w14:paraId="30358B5E"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C81312">
              <w:t>948.493</w:t>
            </w:r>
          </w:p>
        </w:tc>
        <w:tc>
          <w:tcPr>
            <w:tcW w:w="283" w:type="dxa"/>
            <w:tcBorders>
              <w:top w:val="nil"/>
              <w:bottom w:val="nil"/>
            </w:tcBorders>
            <w:shd w:val="clear" w:color="auto" w:fill="auto"/>
            <w:vAlign w:val="center"/>
          </w:tcPr>
          <w:p w14:paraId="1130742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AE508A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1.831.691</w:t>
            </w:r>
          </w:p>
        </w:tc>
        <w:tc>
          <w:tcPr>
            <w:tcW w:w="1063" w:type="dxa"/>
            <w:tcBorders>
              <w:top w:val="nil"/>
              <w:bottom w:val="nil"/>
            </w:tcBorders>
            <w:shd w:val="clear" w:color="auto" w:fill="auto"/>
            <w:vAlign w:val="center"/>
          </w:tcPr>
          <w:p w14:paraId="0F8A04FA"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763544">
              <w:t>948.493</w:t>
            </w:r>
          </w:p>
        </w:tc>
      </w:tr>
      <w:tr w:rsidR="00375569" w:rsidRPr="001D6BE8" w14:paraId="0E69FFD0"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500C2B7" w14:textId="77777777" w:rsidR="00375569" w:rsidRPr="0038031F" w:rsidRDefault="00375569" w:rsidP="00386D90">
            <w:pPr>
              <w:pStyle w:val="08-Tabelageral"/>
              <w:ind w:left="113"/>
              <w:jc w:val="left"/>
              <w:rPr>
                <w:b w:val="0"/>
              </w:rPr>
            </w:pPr>
            <w:r w:rsidRPr="0038031F">
              <w:rPr>
                <w:b w:val="0"/>
              </w:rPr>
              <w:t>Provisões trabalhistas, fiscais e cíveis</w:t>
            </w:r>
          </w:p>
        </w:tc>
        <w:tc>
          <w:tcPr>
            <w:tcW w:w="709" w:type="dxa"/>
            <w:tcBorders>
              <w:top w:val="nil"/>
              <w:bottom w:val="nil"/>
            </w:tcBorders>
            <w:shd w:val="clear" w:color="auto" w:fill="auto"/>
            <w:vAlign w:val="center"/>
          </w:tcPr>
          <w:p w14:paraId="093A89C6"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[22]</w:t>
            </w:r>
          </w:p>
        </w:tc>
        <w:tc>
          <w:tcPr>
            <w:tcW w:w="1134" w:type="dxa"/>
            <w:tcBorders>
              <w:top w:val="nil"/>
              <w:bottom w:val="nil"/>
            </w:tcBorders>
            <w:shd w:val="clear" w:color="auto" w:fill="auto"/>
            <w:vAlign w:val="center"/>
          </w:tcPr>
          <w:p w14:paraId="25C4399D"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73E2F6DA"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C81312">
              <w:t>124</w:t>
            </w:r>
          </w:p>
        </w:tc>
        <w:tc>
          <w:tcPr>
            <w:tcW w:w="283" w:type="dxa"/>
            <w:tcBorders>
              <w:top w:val="nil"/>
              <w:bottom w:val="nil"/>
            </w:tcBorders>
            <w:shd w:val="clear" w:color="auto" w:fill="auto"/>
            <w:vAlign w:val="center"/>
          </w:tcPr>
          <w:p w14:paraId="6524F996"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687DB03"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4.996</w:t>
            </w:r>
          </w:p>
        </w:tc>
        <w:tc>
          <w:tcPr>
            <w:tcW w:w="1063" w:type="dxa"/>
            <w:tcBorders>
              <w:top w:val="nil"/>
              <w:bottom w:val="nil"/>
            </w:tcBorders>
            <w:shd w:val="clear" w:color="auto" w:fill="auto"/>
            <w:vAlign w:val="center"/>
          </w:tcPr>
          <w:p w14:paraId="34E9F508"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763544">
              <w:t>6.411</w:t>
            </w:r>
          </w:p>
        </w:tc>
      </w:tr>
      <w:tr w:rsidR="00375569" w:rsidRPr="001D6BE8" w14:paraId="2F3E9B27"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387821E" w14:textId="77777777" w:rsidR="00375569" w:rsidRPr="0038031F" w:rsidRDefault="00375569" w:rsidP="00386D90">
            <w:pPr>
              <w:pStyle w:val="08-Tabelageral"/>
              <w:ind w:left="113"/>
              <w:jc w:val="left"/>
              <w:rPr>
                <w:b w:val="0"/>
              </w:rPr>
            </w:pPr>
            <w:r w:rsidRPr="0038031F">
              <w:rPr>
                <w:b w:val="0"/>
              </w:rPr>
              <w:t>Passivos por impostos correntes</w:t>
            </w:r>
          </w:p>
        </w:tc>
        <w:tc>
          <w:tcPr>
            <w:tcW w:w="709" w:type="dxa"/>
            <w:tcBorders>
              <w:top w:val="nil"/>
              <w:bottom w:val="nil"/>
            </w:tcBorders>
            <w:shd w:val="clear" w:color="auto" w:fill="auto"/>
            <w:vAlign w:val="center"/>
          </w:tcPr>
          <w:p w14:paraId="50976B2D"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0461B">
              <w:t>[12.g]</w:t>
            </w:r>
          </w:p>
        </w:tc>
        <w:tc>
          <w:tcPr>
            <w:tcW w:w="1134" w:type="dxa"/>
            <w:tcBorders>
              <w:top w:val="nil"/>
              <w:bottom w:val="nil"/>
            </w:tcBorders>
            <w:shd w:val="clear" w:color="auto" w:fill="auto"/>
            <w:vAlign w:val="center"/>
          </w:tcPr>
          <w:p w14:paraId="5BF7729D"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444</w:t>
            </w:r>
          </w:p>
        </w:tc>
        <w:tc>
          <w:tcPr>
            <w:tcW w:w="1134" w:type="dxa"/>
            <w:tcBorders>
              <w:top w:val="nil"/>
              <w:bottom w:val="nil"/>
            </w:tcBorders>
            <w:shd w:val="clear" w:color="auto" w:fill="auto"/>
            <w:vAlign w:val="center"/>
          </w:tcPr>
          <w:p w14:paraId="3EF4E600"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C81312">
              <w:t>81</w:t>
            </w:r>
          </w:p>
        </w:tc>
        <w:tc>
          <w:tcPr>
            <w:tcW w:w="283" w:type="dxa"/>
            <w:tcBorders>
              <w:top w:val="nil"/>
              <w:bottom w:val="nil"/>
            </w:tcBorders>
            <w:shd w:val="clear" w:color="auto" w:fill="auto"/>
            <w:vAlign w:val="center"/>
          </w:tcPr>
          <w:p w14:paraId="5428563B"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A80F32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762.519</w:t>
            </w:r>
          </w:p>
        </w:tc>
        <w:tc>
          <w:tcPr>
            <w:tcW w:w="1063" w:type="dxa"/>
            <w:tcBorders>
              <w:top w:val="nil"/>
              <w:bottom w:val="nil"/>
            </w:tcBorders>
            <w:shd w:val="clear" w:color="auto" w:fill="auto"/>
            <w:vAlign w:val="center"/>
          </w:tcPr>
          <w:p w14:paraId="2FFD9B61"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763544">
              <w:t>682.950</w:t>
            </w:r>
          </w:p>
        </w:tc>
      </w:tr>
      <w:tr w:rsidR="00375569" w:rsidRPr="001D6BE8" w14:paraId="7F13F14C"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FD2E284" w14:textId="77777777" w:rsidR="00375569" w:rsidRPr="0038031F" w:rsidRDefault="00375569" w:rsidP="00386D90">
            <w:pPr>
              <w:pStyle w:val="08-Tabelageral"/>
              <w:ind w:left="113"/>
              <w:jc w:val="left"/>
              <w:rPr>
                <w:b w:val="0"/>
              </w:rPr>
            </w:pPr>
            <w:r w:rsidRPr="0038031F">
              <w:rPr>
                <w:b w:val="0"/>
              </w:rPr>
              <w:t>Comissões a apropriar</w:t>
            </w:r>
          </w:p>
        </w:tc>
        <w:tc>
          <w:tcPr>
            <w:tcW w:w="709" w:type="dxa"/>
            <w:tcBorders>
              <w:top w:val="nil"/>
              <w:bottom w:val="nil"/>
            </w:tcBorders>
            <w:shd w:val="clear" w:color="auto" w:fill="auto"/>
            <w:vAlign w:val="center"/>
          </w:tcPr>
          <w:p w14:paraId="28489009"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[23]</w:t>
            </w:r>
          </w:p>
        </w:tc>
        <w:tc>
          <w:tcPr>
            <w:tcW w:w="1134" w:type="dxa"/>
            <w:tcBorders>
              <w:top w:val="nil"/>
              <w:bottom w:val="nil"/>
            </w:tcBorders>
            <w:shd w:val="clear" w:color="auto" w:fill="auto"/>
            <w:vAlign w:val="center"/>
          </w:tcPr>
          <w:p w14:paraId="02CA77F3"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2C684E1D"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C81312">
              <w:t>--</w:t>
            </w:r>
          </w:p>
        </w:tc>
        <w:tc>
          <w:tcPr>
            <w:tcW w:w="283" w:type="dxa"/>
            <w:tcBorders>
              <w:top w:val="nil"/>
              <w:bottom w:val="nil"/>
            </w:tcBorders>
            <w:shd w:val="clear" w:color="auto" w:fill="auto"/>
            <w:vAlign w:val="center"/>
          </w:tcPr>
          <w:p w14:paraId="38898827"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F3913F1"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F57304">
              <w:rPr>
                <w:rFonts w:cs="Arial"/>
                <w:szCs w:val="14"/>
              </w:rPr>
              <w:t>1.172.483</w:t>
            </w:r>
          </w:p>
        </w:tc>
        <w:tc>
          <w:tcPr>
            <w:tcW w:w="1063" w:type="dxa"/>
            <w:tcBorders>
              <w:top w:val="nil"/>
              <w:bottom w:val="nil"/>
            </w:tcBorders>
            <w:shd w:val="clear" w:color="auto" w:fill="auto"/>
            <w:vAlign w:val="center"/>
          </w:tcPr>
          <w:p w14:paraId="1BBEBAE0"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763544">
              <w:t>1.127.358</w:t>
            </w:r>
          </w:p>
        </w:tc>
      </w:tr>
      <w:tr w:rsidR="00375569" w:rsidRPr="001D6BE8" w14:paraId="41C47250"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B1CED37" w14:textId="77777777" w:rsidR="00375569" w:rsidRPr="0038031F" w:rsidRDefault="00375569" w:rsidP="00386D90">
            <w:pPr>
              <w:pStyle w:val="08-Tabelageral"/>
              <w:ind w:left="113"/>
              <w:jc w:val="left"/>
              <w:rPr>
                <w:b w:val="0"/>
              </w:rPr>
            </w:pPr>
            <w:r w:rsidRPr="0038031F">
              <w:rPr>
                <w:b w:val="0"/>
              </w:rPr>
              <w:t>Outros passivos</w:t>
            </w:r>
          </w:p>
        </w:tc>
        <w:tc>
          <w:tcPr>
            <w:tcW w:w="709" w:type="dxa"/>
            <w:tcBorders>
              <w:top w:val="nil"/>
              <w:bottom w:val="nil"/>
            </w:tcBorders>
            <w:shd w:val="clear" w:color="auto" w:fill="auto"/>
            <w:vAlign w:val="center"/>
          </w:tcPr>
          <w:p w14:paraId="5FC53384"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[24]</w:t>
            </w:r>
          </w:p>
        </w:tc>
        <w:tc>
          <w:tcPr>
            <w:tcW w:w="1134" w:type="dxa"/>
            <w:tcBorders>
              <w:top w:val="nil"/>
              <w:bottom w:val="nil"/>
            </w:tcBorders>
            <w:shd w:val="clear" w:color="auto" w:fill="auto"/>
            <w:vAlign w:val="center"/>
          </w:tcPr>
          <w:p w14:paraId="2B56354F"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10.839</w:t>
            </w:r>
          </w:p>
        </w:tc>
        <w:tc>
          <w:tcPr>
            <w:tcW w:w="1134" w:type="dxa"/>
            <w:tcBorders>
              <w:top w:val="nil"/>
              <w:bottom w:val="nil"/>
            </w:tcBorders>
            <w:shd w:val="clear" w:color="auto" w:fill="auto"/>
            <w:vAlign w:val="center"/>
          </w:tcPr>
          <w:p w14:paraId="2547CFD3"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C81312">
              <w:t>8.603</w:t>
            </w:r>
          </w:p>
        </w:tc>
        <w:tc>
          <w:tcPr>
            <w:tcW w:w="283" w:type="dxa"/>
            <w:tcBorders>
              <w:top w:val="nil"/>
              <w:bottom w:val="nil"/>
            </w:tcBorders>
            <w:shd w:val="clear" w:color="auto" w:fill="auto"/>
            <w:vAlign w:val="center"/>
          </w:tcPr>
          <w:p w14:paraId="4EFC8700"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8D3F16D"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227.588</w:t>
            </w:r>
          </w:p>
        </w:tc>
        <w:tc>
          <w:tcPr>
            <w:tcW w:w="1063" w:type="dxa"/>
            <w:tcBorders>
              <w:top w:val="nil"/>
              <w:bottom w:val="nil"/>
            </w:tcBorders>
            <w:shd w:val="clear" w:color="auto" w:fill="auto"/>
            <w:vAlign w:val="center"/>
          </w:tcPr>
          <w:p w14:paraId="05E1C80E"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BD62A1">
              <w:rPr>
                <w:rFonts w:cs="Arial"/>
                <w:szCs w:val="14"/>
              </w:rPr>
              <w:t>88.091</w:t>
            </w:r>
          </w:p>
        </w:tc>
      </w:tr>
      <w:tr w:rsidR="00375569" w:rsidRPr="001D6BE8" w14:paraId="281EA50E"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8624DDE" w14:textId="77777777" w:rsidR="00375569" w:rsidRPr="0038031F" w:rsidRDefault="00375569" w:rsidP="00386D90">
            <w:pPr>
              <w:pStyle w:val="08-Tabelageral"/>
              <w:jc w:val="left"/>
              <w:rPr>
                <w:b w:val="0"/>
              </w:rPr>
            </w:pPr>
          </w:p>
        </w:tc>
        <w:tc>
          <w:tcPr>
            <w:tcW w:w="709" w:type="dxa"/>
            <w:tcBorders>
              <w:top w:val="nil"/>
              <w:bottom w:val="nil"/>
            </w:tcBorders>
            <w:shd w:val="clear" w:color="auto" w:fill="auto"/>
            <w:vAlign w:val="center"/>
          </w:tcPr>
          <w:p w14:paraId="5E51F937"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09D29C55"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6FC42B30"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53B9C71F"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1918E5AD"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B2FE986"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E62509" w14:paraId="583AE693"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AAEC8CD" w14:textId="77777777" w:rsidR="00375569" w:rsidRPr="00E62509" w:rsidRDefault="00375569" w:rsidP="00386D90">
            <w:pPr>
              <w:pStyle w:val="08-Tabelageral"/>
              <w:jc w:val="left"/>
            </w:pPr>
            <w:r w:rsidRPr="00E62509">
              <w:t>Passivo Não Circulante</w:t>
            </w:r>
          </w:p>
        </w:tc>
        <w:tc>
          <w:tcPr>
            <w:tcW w:w="709" w:type="dxa"/>
            <w:tcBorders>
              <w:top w:val="nil"/>
              <w:bottom w:val="nil"/>
            </w:tcBorders>
            <w:shd w:val="clear" w:color="auto" w:fill="auto"/>
            <w:vAlign w:val="center"/>
          </w:tcPr>
          <w:p w14:paraId="5E5A3B95"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46ACBE8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EE1C73">
              <w:rPr>
                <w:rFonts w:cs="Arial"/>
                <w:b/>
                <w:szCs w:val="14"/>
              </w:rPr>
              <w:t>28</w:t>
            </w:r>
          </w:p>
        </w:tc>
        <w:tc>
          <w:tcPr>
            <w:tcW w:w="1134" w:type="dxa"/>
            <w:tcBorders>
              <w:top w:val="nil"/>
              <w:bottom w:val="nil"/>
            </w:tcBorders>
            <w:shd w:val="clear" w:color="auto" w:fill="auto"/>
            <w:vAlign w:val="center"/>
          </w:tcPr>
          <w:p w14:paraId="6C166DD3"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b/>
                <w:bCs/>
              </w:rPr>
            </w:pPr>
            <w:r w:rsidRPr="00F83601">
              <w:rPr>
                <w:rFonts w:cs="Arial"/>
                <w:b/>
                <w:szCs w:val="14"/>
              </w:rPr>
              <w:t>106</w:t>
            </w:r>
          </w:p>
        </w:tc>
        <w:tc>
          <w:tcPr>
            <w:tcW w:w="283" w:type="dxa"/>
            <w:tcBorders>
              <w:top w:val="nil"/>
              <w:bottom w:val="nil"/>
            </w:tcBorders>
            <w:shd w:val="clear" w:color="auto" w:fill="auto"/>
            <w:vAlign w:val="center"/>
          </w:tcPr>
          <w:p w14:paraId="3380329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5822675B"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F57304">
              <w:rPr>
                <w:rFonts w:cs="Arial"/>
                <w:b/>
                <w:bCs/>
                <w:szCs w:val="14"/>
              </w:rPr>
              <w:t>2.033.528</w:t>
            </w:r>
          </w:p>
        </w:tc>
        <w:tc>
          <w:tcPr>
            <w:tcW w:w="1063" w:type="dxa"/>
            <w:tcBorders>
              <w:top w:val="nil"/>
              <w:bottom w:val="nil"/>
            </w:tcBorders>
            <w:shd w:val="clear" w:color="auto" w:fill="auto"/>
            <w:vAlign w:val="center"/>
          </w:tcPr>
          <w:p w14:paraId="3AE4025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b/>
                <w:bCs/>
              </w:rPr>
            </w:pPr>
            <w:r w:rsidRPr="00BD62A1">
              <w:rPr>
                <w:rFonts w:cs="Arial"/>
                <w:b/>
                <w:bCs/>
                <w:szCs w:val="14"/>
              </w:rPr>
              <w:t>1.657.388</w:t>
            </w:r>
          </w:p>
        </w:tc>
      </w:tr>
      <w:tr w:rsidR="00375569" w:rsidRPr="001D6BE8" w14:paraId="06D02AE4"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6AC71DD" w14:textId="77777777" w:rsidR="00375569" w:rsidRPr="0038031F" w:rsidRDefault="00375569" w:rsidP="00386D90">
            <w:pPr>
              <w:pStyle w:val="08-Tabelageral"/>
              <w:ind w:left="113"/>
              <w:jc w:val="left"/>
              <w:rPr>
                <w:b w:val="0"/>
              </w:rPr>
            </w:pPr>
            <w:r w:rsidRPr="0038031F">
              <w:rPr>
                <w:b w:val="0"/>
              </w:rPr>
              <w:t>Provisões trabalhistas, fiscais e cíveis</w:t>
            </w:r>
          </w:p>
        </w:tc>
        <w:tc>
          <w:tcPr>
            <w:tcW w:w="709" w:type="dxa"/>
            <w:tcBorders>
              <w:top w:val="nil"/>
              <w:bottom w:val="nil"/>
            </w:tcBorders>
            <w:shd w:val="clear" w:color="auto" w:fill="auto"/>
            <w:vAlign w:val="center"/>
          </w:tcPr>
          <w:p w14:paraId="00990AAC"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[22]</w:t>
            </w:r>
          </w:p>
        </w:tc>
        <w:tc>
          <w:tcPr>
            <w:tcW w:w="1134" w:type="dxa"/>
            <w:tcBorders>
              <w:top w:val="nil"/>
              <w:bottom w:val="nil"/>
            </w:tcBorders>
            <w:shd w:val="clear" w:color="auto" w:fill="auto"/>
            <w:vAlign w:val="center"/>
          </w:tcPr>
          <w:p w14:paraId="0A3B24BB"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28</w:t>
            </w:r>
          </w:p>
        </w:tc>
        <w:tc>
          <w:tcPr>
            <w:tcW w:w="1134" w:type="dxa"/>
            <w:tcBorders>
              <w:top w:val="nil"/>
              <w:bottom w:val="nil"/>
            </w:tcBorders>
            <w:shd w:val="clear" w:color="auto" w:fill="auto"/>
            <w:vAlign w:val="center"/>
          </w:tcPr>
          <w:p w14:paraId="19FCCEE9"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F83601">
              <w:rPr>
                <w:rFonts w:cs="Arial"/>
                <w:szCs w:val="14"/>
              </w:rPr>
              <w:t>106</w:t>
            </w:r>
          </w:p>
        </w:tc>
        <w:tc>
          <w:tcPr>
            <w:tcW w:w="283" w:type="dxa"/>
            <w:tcBorders>
              <w:top w:val="nil"/>
              <w:bottom w:val="nil"/>
            </w:tcBorders>
            <w:shd w:val="clear" w:color="auto" w:fill="auto"/>
            <w:vAlign w:val="center"/>
          </w:tcPr>
          <w:p w14:paraId="129A8FBC"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E88DB47"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10.419</w:t>
            </w:r>
          </w:p>
        </w:tc>
        <w:tc>
          <w:tcPr>
            <w:tcW w:w="1063" w:type="dxa"/>
            <w:tcBorders>
              <w:top w:val="nil"/>
              <w:bottom w:val="nil"/>
            </w:tcBorders>
            <w:shd w:val="clear" w:color="auto" w:fill="auto"/>
            <w:vAlign w:val="center"/>
          </w:tcPr>
          <w:p w14:paraId="735108EC"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35A86">
              <w:t>11.573</w:t>
            </w:r>
          </w:p>
        </w:tc>
      </w:tr>
      <w:tr w:rsidR="00375569" w:rsidRPr="001D6BE8" w14:paraId="1E651302"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B0A28B1" w14:textId="77777777" w:rsidR="00375569" w:rsidRPr="0038031F" w:rsidRDefault="00375569" w:rsidP="00386D90">
            <w:pPr>
              <w:pStyle w:val="08-Tabelageral"/>
              <w:ind w:left="113"/>
              <w:jc w:val="left"/>
              <w:rPr>
                <w:b w:val="0"/>
              </w:rPr>
            </w:pPr>
            <w:r w:rsidRPr="0038031F">
              <w:rPr>
                <w:b w:val="0"/>
              </w:rPr>
              <w:t>Passivos por impostos diferidos</w:t>
            </w:r>
          </w:p>
        </w:tc>
        <w:tc>
          <w:tcPr>
            <w:tcW w:w="709" w:type="dxa"/>
            <w:tcBorders>
              <w:top w:val="nil"/>
              <w:bottom w:val="nil"/>
            </w:tcBorders>
            <w:shd w:val="clear" w:color="auto" w:fill="auto"/>
            <w:vAlign w:val="center"/>
          </w:tcPr>
          <w:p w14:paraId="4FC81386"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[12.h]</w:t>
            </w:r>
          </w:p>
        </w:tc>
        <w:tc>
          <w:tcPr>
            <w:tcW w:w="1134" w:type="dxa"/>
            <w:tcBorders>
              <w:top w:val="nil"/>
              <w:bottom w:val="nil"/>
            </w:tcBorders>
            <w:shd w:val="clear" w:color="auto" w:fill="auto"/>
            <w:vAlign w:val="center"/>
          </w:tcPr>
          <w:p w14:paraId="49A1D405"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604FA393"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6A431D7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BCF0B25"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228.565</w:t>
            </w:r>
          </w:p>
        </w:tc>
        <w:tc>
          <w:tcPr>
            <w:tcW w:w="1063" w:type="dxa"/>
            <w:tcBorders>
              <w:top w:val="nil"/>
              <w:bottom w:val="nil"/>
            </w:tcBorders>
            <w:shd w:val="clear" w:color="auto" w:fill="auto"/>
            <w:vAlign w:val="center"/>
          </w:tcPr>
          <w:p w14:paraId="40EB4FE6"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E35A86">
              <w:t>228.565</w:t>
            </w:r>
          </w:p>
        </w:tc>
      </w:tr>
      <w:tr w:rsidR="00375569" w:rsidRPr="001D6BE8" w14:paraId="1827CA86"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696EF26" w14:textId="77777777" w:rsidR="00375569" w:rsidRPr="0038031F" w:rsidRDefault="00375569" w:rsidP="00386D90">
            <w:pPr>
              <w:pStyle w:val="08-Tabelageral"/>
              <w:ind w:left="113"/>
              <w:jc w:val="left"/>
              <w:rPr>
                <w:b w:val="0"/>
              </w:rPr>
            </w:pPr>
            <w:r w:rsidRPr="0038031F">
              <w:rPr>
                <w:b w:val="0"/>
              </w:rPr>
              <w:t>Comissões a apropriar</w:t>
            </w:r>
          </w:p>
        </w:tc>
        <w:tc>
          <w:tcPr>
            <w:tcW w:w="709" w:type="dxa"/>
            <w:tcBorders>
              <w:top w:val="nil"/>
              <w:bottom w:val="nil"/>
            </w:tcBorders>
            <w:shd w:val="clear" w:color="auto" w:fill="auto"/>
            <w:vAlign w:val="center"/>
          </w:tcPr>
          <w:p w14:paraId="076139DC"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[23]</w:t>
            </w:r>
          </w:p>
        </w:tc>
        <w:tc>
          <w:tcPr>
            <w:tcW w:w="1134" w:type="dxa"/>
            <w:tcBorders>
              <w:top w:val="nil"/>
              <w:bottom w:val="nil"/>
            </w:tcBorders>
            <w:shd w:val="clear" w:color="auto" w:fill="auto"/>
            <w:vAlign w:val="center"/>
          </w:tcPr>
          <w:p w14:paraId="37F5511D"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5935951C"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77A62943"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C89E43A"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F57304">
              <w:rPr>
                <w:rFonts w:cs="Arial"/>
                <w:szCs w:val="14"/>
              </w:rPr>
              <w:t>1.794.544</w:t>
            </w:r>
          </w:p>
        </w:tc>
        <w:tc>
          <w:tcPr>
            <w:tcW w:w="1063" w:type="dxa"/>
            <w:tcBorders>
              <w:top w:val="nil"/>
              <w:bottom w:val="nil"/>
            </w:tcBorders>
            <w:shd w:val="clear" w:color="auto" w:fill="auto"/>
            <w:vAlign w:val="center"/>
          </w:tcPr>
          <w:p w14:paraId="11056CB3"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E35A86">
              <w:t>1.417.250</w:t>
            </w:r>
          </w:p>
        </w:tc>
      </w:tr>
      <w:tr w:rsidR="00375569" w:rsidRPr="001D6BE8" w14:paraId="17D5FBEC"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99132B2" w14:textId="77777777" w:rsidR="00375569" w:rsidRPr="0038031F" w:rsidRDefault="00375569" w:rsidP="00386D90">
            <w:pPr>
              <w:pStyle w:val="08-Tabelageral"/>
              <w:jc w:val="left"/>
              <w:rPr>
                <w:b w:val="0"/>
              </w:rPr>
            </w:pPr>
          </w:p>
        </w:tc>
        <w:tc>
          <w:tcPr>
            <w:tcW w:w="709" w:type="dxa"/>
            <w:tcBorders>
              <w:top w:val="nil"/>
              <w:bottom w:val="nil"/>
            </w:tcBorders>
            <w:shd w:val="clear" w:color="auto" w:fill="auto"/>
            <w:vAlign w:val="center"/>
          </w:tcPr>
          <w:p w14:paraId="6252C375"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1C2155D1"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5E6057F"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46DB96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06F275F"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34637C2"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3AF7DAA9"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72E5C89" w14:textId="77777777" w:rsidR="00375569" w:rsidRPr="00CD3714" w:rsidRDefault="00375569" w:rsidP="00386D90">
            <w:pPr>
              <w:pStyle w:val="08-Tabelageral"/>
              <w:jc w:val="left"/>
            </w:pPr>
            <w:r>
              <w:t>Total d</w:t>
            </w:r>
            <w:r w:rsidRPr="00CD3714">
              <w:t>o Passivo</w:t>
            </w:r>
          </w:p>
        </w:tc>
        <w:tc>
          <w:tcPr>
            <w:tcW w:w="709" w:type="dxa"/>
            <w:tcBorders>
              <w:top w:val="nil"/>
              <w:bottom w:val="nil"/>
            </w:tcBorders>
            <w:shd w:val="clear" w:color="auto" w:fill="auto"/>
            <w:vAlign w:val="center"/>
          </w:tcPr>
          <w:p w14:paraId="18A0B868"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68CF2FF1"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EE1C73">
              <w:rPr>
                <w:rFonts w:cs="Arial"/>
                <w:b/>
                <w:szCs w:val="14"/>
              </w:rPr>
              <w:t>1.843.002</w:t>
            </w:r>
          </w:p>
        </w:tc>
        <w:tc>
          <w:tcPr>
            <w:tcW w:w="1134" w:type="dxa"/>
            <w:tcBorders>
              <w:top w:val="nil"/>
              <w:bottom w:val="nil"/>
            </w:tcBorders>
            <w:shd w:val="clear" w:color="auto" w:fill="auto"/>
            <w:vAlign w:val="center"/>
          </w:tcPr>
          <w:p w14:paraId="6F6F194C"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rFonts w:cs="Arial"/>
                <w:b/>
                <w:szCs w:val="14"/>
              </w:rPr>
              <w:t>957.407</w:t>
            </w:r>
          </w:p>
        </w:tc>
        <w:tc>
          <w:tcPr>
            <w:tcW w:w="283" w:type="dxa"/>
            <w:tcBorders>
              <w:top w:val="nil"/>
              <w:bottom w:val="nil"/>
            </w:tcBorders>
            <w:shd w:val="clear" w:color="auto" w:fill="auto"/>
            <w:vAlign w:val="center"/>
          </w:tcPr>
          <w:p w14:paraId="142A7644"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3C07D9B5"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6.032.805</w:t>
            </w:r>
          </w:p>
        </w:tc>
        <w:tc>
          <w:tcPr>
            <w:tcW w:w="1063" w:type="dxa"/>
            <w:tcBorders>
              <w:top w:val="nil"/>
              <w:bottom w:val="nil"/>
            </w:tcBorders>
            <w:shd w:val="clear" w:color="auto" w:fill="auto"/>
            <w:vAlign w:val="center"/>
          </w:tcPr>
          <w:p w14:paraId="1437C7C7"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rFonts w:cs="Arial"/>
                <w:b/>
                <w:bCs/>
                <w:szCs w:val="14"/>
              </w:rPr>
              <w:t>4.510.691</w:t>
            </w:r>
          </w:p>
        </w:tc>
      </w:tr>
      <w:tr w:rsidR="00375569" w:rsidRPr="001D6BE8" w14:paraId="1B6EC5A2"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18C562B" w14:textId="77777777" w:rsidR="00375569" w:rsidRPr="0038031F" w:rsidRDefault="00375569" w:rsidP="00386D90">
            <w:pPr>
              <w:pStyle w:val="08-Tabelageral"/>
              <w:jc w:val="left"/>
              <w:rPr>
                <w:b w:val="0"/>
              </w:rPr>
            </w:pPr>
          </w:p>
        </w:tc>
        <w:tc>
          <w:tcPr>
            <w:tcW w:w="709" w:type="dxa"/>
            <w:tcBorders>
              <w:top w:val="nil"/>
              <w:bottom w:val="nil"/>
            </w:tcBorders>
            <w:shd w:val="clear" w:color="auto" w:fill="auto"/>
            <w:vAlign w:val="center"/>
          </w:tcPr>
          <w:p w14:paraId="0FD2821F"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19D69237"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7B40F3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31B9670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0B28FE0"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D46426A"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31CAF95C"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3A0ABA0" w14:textId="77777777" w:rsidR="00375569" w:rsidRPr="00CD3714" w:rsidRDefault="00375569" w:rsidP="00386D90">
            <w:pPr>
              <w:pStyle w:val="08-Tabelageral"/>
              <w:jc w:val="left"/>
            </w:pPr>
            <w:r w:rsidRPr="00CD3714">
              <w:t>Patrimônio Líquido</w:t>
            </w:r>
          </w:p>
        </w:tc>
        <w:tc>
          <w:tcPr>
            <w:tcW w:w="709" w:type="dxa"/>
            <w:tcBorders>
              <w:top w:val="nil"/>
              <w:bottom w:val="nil"/>
            </w:tcBorders>
            <w:shd w:val="clear" w:color="auto" w:fill="auto"/>
            <w:vAlign w:val="center"/>
          </w:tcPr>
          <w:p w14:paraId="45E4CF73"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75F73CB3" w14:textId="77777777" w:rsidR="00375569" w:rsidRPr="00AE502A"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7.281.416</w:t>
            </w:r>
          </w:p>
        </w:tc>
        <w:tc>
          <w:tcPr>
            <w:tcW w:w="1134" w:type="dxa"/>
            <w:tcBorders>
              <w:top w:val="nil"/>
              <w:bottom w:val="nil"/>
            </w:tcBorders>
            <w:shd w:val="clear" w:color="auto" w:fill="auto"/>
            <w:vAlign w:val="center"/>
          </w:tcPr>
          <w:p w14:paraId="28E09BA3" w14:textId="77777777" w:rsidR="00375569" w:rsidRPr="00F8360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b/>
              </w:rPr>
              <w:t>6.389.605</w:t>
            </w:r>
          </w:p>
        </w:tc>
        <w:tc>
          <w:tcPr>
            <w:tcW w:w="283" w:type="dxa"/>
            <w:tcBorders>
              <w:top w:val="nil"/>
              <w:bottom w:val="nil"/>
            </w:tcBorders>
            <w:shd w:val="clear" w:color="auto" w:fill="auto"/>
            <w:vAlign w:val="center"/>
          </w:tcPr>
          <w:p w14:paraId="4BBF7263"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0A942652" w14:textId="77777777" w:rsidR="00375569" w:rsidRPr="00BD62A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7.281.416</w:t>
            </w:r>
          </w:p>
        </w:tc>
        <w:tc>
          <w:tcPr>
            <w:tcW w:w="1063" w:type="dxa"/>
            <w:tcBorders>
              <w:top w:val="nil"/>
              <w:bottom w:val="nil"/>
            </w:tcBorders>
            <w:shd w:val="clear" w:color="auto" w:fill="auto"/>
            <w:vAlign w:val="center"/>
          </w:tcPr>
          <w:p w14:paraId="708ECFE8" w14:textId="77777777" w:rsidR="00375569" w:rsidRPr="00BD62A1"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b/>
              </w:rPr>
              <w:t>6.389.605</w:t>
            </w:r>
          </w:p>
        </w:tc>
      </w:tr>
      <w:tr w:rsidR="00375569" w:rsidRPr="001D6BE8" w14:paraId="6EAF7A5A"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2CCFE7C" w14:textId="77777777" w:rsidR="00375569" w:rsidRPr="0038031F" w:rsidRDefault="00375569" w:rsidP="00386D90">
            <w:pPr>
              <w:pStyle w:val="08-Tabelageral"/>
              <w:ind w:left="113"/>
              <w:jc w:val="left"/>
              <w:rPr>
                <w:b w:val="0"/>
              </w:rPr>
            </w:pPr>
            <w:r w:rsidRPr="0038031F">
              <w:rPr>
                <w:b w:val="0"/>
              </w:rPr>
              <w:t>Capital social</w:t>
            </w:r>
          </w:p>
        </w:tc>
        <w:tc>
          <w:tcPr>
            <w:tcW w:w="709" w:type="dxa"/>
            <w:tcBorders>
              <w:top w:val="nil"/>
              <w:bottom w:val="nil"/>
            </w:tcBorders>
            <w:shd w:val="clear" w:color="auto" w:fill="auto"/>
            <w:vAlign w:val="center"/>
          </w:tcPr>
          <w:p w14:paraId="1D4BC081"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r>
              <w:rPr>
                <w:szCs w:val="14"/>
              </w:rPr>
              <w:t>[25.a</w:t>
            </w:r>
            <w:r w:rsidRPr="00E0461B">
              <w:rPr>
                <w:szCs w:val="14"/>
              </w:rPr>
              <w:t>]</w:t>
            </w:r>
          </w:p>
        </w:tc>
        <w:tc>
          <w:tcPr>
            <w:tcW w:w="1134" w:type="dxa"/>
            <w:tcBorders>
              <w:top w:val="nil"/>
              <w:bottom w:val="nil"/>
            </w:tcBorders>
            <w:shd w:val="clear" w:color="auto" w:fill="auto"/>
            <w:vAlign w:val="center"/>
          </w:tcPr>
          <w:p w14:paraId="7E24C616"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3.396.767</w:t>
            </w:r>
          </w:p>
        </w:tc>
        <w:tc>
          <w:tcPr>
            <w:tcW w:w="1134" w:type="dxa"/>
            <w:tcBorders>
              <w:top w:val="nil"/>
              <w:bottom w:val="nil"/>
            </w:tcBorders>
            <w:shd w:val="clear" w:color="auto" w:fill="auto"/>
            <w:vAlign w:val="center"/>
          </w:tcPr>
          <w:p w14:paraId="63D04728"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9D20BB">
              <w:t>3.396.767</w:t>
            </w:r>
          </w:p>
        </w:tc>
        <w:tc>
          <w:tcPr>
            <w:tcW w:w="283" w:type="dxa"/>
            <w:tcBorders>
              <w:top w:val="nil"/>
              <w:bottom w:val="nil"/>
            </w:tcBorders>
            <w:shd w:val="clear" w:color="auto" w:fill="auto"/>
            <w:vAlign w:val="center"/>
          </w:tcPr>
          <w:p w14:paraId="4846AB76"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A2CB737"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3.396.767</w:t>
            </w:r>
          </w:p>
        </w:tc>
        <w:tc>
          <w:tcPr>
            <w:tcW w:w="1063" w:type="dxa"/>
            <w:tcBorders>
              <w:top w:val="nil"/>
              <w:bottom w:val="nil"/>
            </w:tcBorders>
            <w:shd w:val="clear" w:color="auto" w:fill="auto"/>
            <w:vAlign w:val="center"/>
          </w:tcPr>
          <w:p w14:paraId="007DA1A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8654D6">
              <w:t>3.396.767</w:t>
            </w:r>
          </w:p>
        </w:tc>
      </w:tr>
      <w:tr w:rsidR="00375569" w:rsidRPr="001D6BE8" w14:paraId="6AB23349"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CF5C41C" w14:textId="77777777" w:rsidR="00375569" w:rsidRPr="0038031F" w:rsidRDefault="00375569" w:rsidP="00386D90">
            <w:pPr>
              <w:pStyle w:val="08-Tabelageral"/>
              <w:ind w:left="113"/>
              <w:jc w:val="left"/>
              <w:rPr>
                <w:b w:val="0"/>
              </w:rPr>
            </w:pPr>
            <w:r w:rsidRPr="0038031F">
              <w:rPr>
                <w:b w:val="0"/>
              </w:rPr>
              <w:t>Reserva</w:t>
            </w:r>
            <w:r>
              <w:rPr>
                <w:b w:val="0"/>
              </w:rPr>
              <w:t>s</w:t>
            </w:r>
            <w:r w:rsidRPr="0038031F">
              <w:rPr>
                <w:b w:val="0"/>
              </w:rPr>
              <w:t xml:space="preserve"> de capital</w:t>
            </w:r>
          </w:p>
        </w:tc>
        <w:tc>
          <w:tcPr>
            <w:tcW w:w="709" w:type="dxa"/>
            <w:tcBorders>
              <w:top w:val="nil"/>
              <w:bottom w:val="nil"/>
            </w:tcBorders>
            <w:shd w:val="clear" w:color="auto" w:fill="auto"/>
            <w:vAlign w:val="center"/>
          </w:tcPr>
          <w:p w14:paraId="5B713D76"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Pr>
                <w:szCs w:val="14"/>
              </w:rPr>
              <w:t>[25.b</w:t>
            </w:r>
            <w:r w:rsidRPr="00E0461B">
              <w:rPr>
                <w:szCs w:val="14"/>
              </w:rPr>
              <w:t>]</w:t>
            </w:r>
          </w:p>
        </w:tc>
        <w:tc>
          <w:tcPr>
            <w:tcW w:w="1134" w:type="dxa"/>
            <w:tcBorders>
              <w:top w:val="nil"/>
              <w:bottom w:val="nil"/>
            </w:tcBorders>
            <w:shd w:val="clear" w:color="auto" w:fill="auto"/>
            <w:vAlign w:val="center"/>
          </w:tcPr>
          <w:p w14:paraId="224FC929"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1.508</w:t>
            </w:r>
          </w:p>
        </w:tc>
        <w:tc>
          <w:tcPr>
            <w:tcW w:w="1134" w:type="dxa"/>
            <w:tcBorders>
              <w:top w:val="nil"/>
              <w:bottom w:val="nil"/>
            </w:tcBorders>
            <w:shd w:val="clear" w:color="auto" w:fill="auto"/>
            <w:vAlign w:val="center"/>
          </w:tcPr>
          <w:p w14:paraId="69E4F5F2"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9D20BB">
              <w:t>1.588</w:t>
            </w:r>
          </w:p>
        </w:tc>
        <w:tc>
          <w:tcPr>
            <w:tcW w:w="283" w:type="dxa"/>
            <w:tcBorders>
              <w:top w:val="nil"/>
              <w:bottom w:val="nil"/>
            </w:tcBorders>
            <w:shd w:val="clear" w:color="auto" w:fill="auto"/>
            <w:vAlign w:val="center"/>
          </w:tcPr>
          <w:p w14:paraId="0FBC2CC5"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10E2B9A"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1.508</w:t>
            </w:r>
          </w:p>
        </w:tc>
        <w:tc>
          <w:tcPr>
            <w:tcW w:w="1063" w:type="dxa"/>
            <w:tcBorders>
              <w:top w:val="nil"/>
              <w:bottom w:val="nil"/>
            </w:tcBorders>
            <w:shd w:val="clear" w:color="auto" w:fill="auto"/>
            <w:vAlign w:val="center"/>
          </w:tcPr>
          <w:p w14:paraId="57AB88F6"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8654D6">
              <w:t>1.588</w:t>
            </w:r>
          </w:p>
        </w:tc>
      </w:tr>
      <w:tr w:rsidR="00375569" w:rsidRPr="001D6BE8" w14:paraId="1812AE94"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1666344" w14:textId="77777777" w:rsidR="00375569" w:rsidRPr="0038031F" w:rsidRDefault="00375569" w:rsidP="00386D90">
            <w:pPr>
              <w:pStyle w:val="08-Tabelageral"/>
              <w:ind w:left="113"/>
              <w:jc w:val="left"/>
              <w:rPr>
                <w:b w:val="0"/>
              </w:rPr>
            </w:pPr>
            <w:r w:rsidRPr="0038031F">
              <w:rPr>
                <w:b w:val="0"/>
              </w:rPr>
              <w:t>Reserva</w:t>
            </w:r>
            <w:r>
              <w:rPr>
                <w:b w:val="0"/>
              </w:rPr>
              <w:t>s</w:t>
            </w:r>
            <w:r w:rsidRPr="0038031F">
              <w:rPr>
                <w:b w:val="0"/>
              </w:rPr>
              <w:t xml:space="preserve"> de lucros</w:t>
            </w:r>
          </w:p>
        </w:tc>
        <w:tc>
          <w:tcPr>
            <w:tcW w:w="709" w:type="dxa"/>
            <w:tcBorders>
              <w:top w:val="nil"/>
              <w:bottom w:val="nil"/>
            </w:tcBorders>
            <w:shd w:val="clear" w:color="auto" w:fill="auto"/>
            <w:vAlign w:val="center"/>
          </w:tcPr>
          <w:p w14:paraId="5FFB092F"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r>
              <w:rPr>
                <w:szCs w:val="14"/>
              </w:rPr>
              <w:t>[25.b</w:t>
            </w:r>
            <w:r w:rsidRPr="00E0461B">
              <w:rPr>
                <w:szCs w:val="14"/>
              </w:rPr>
              <w:t>]</w:t>
            </w:r>
          </w:p>
        </w:tc>
        <w:tc>
          <w:tcPr>
            <w:tcW w:w="1134" w:type="dxa"/>
            <w:tcBorders>
              <w:top w:val="nil"/>
              <w:bottom w:val="nil"/>
            </w:tcBorders>
            <w:shd w:val="clear" w:color="auto" w:fill="auto"/>
            <w:vAlign w:val="center"/>
          </w:tcPr>
          <w:p w14:paraId="3C9C35FA"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4.122.925</w:t>
            </w:r>
          </w:p>
        </w:tc>
        <w:tc>
          <w:tcPr>
            <w:tcW w:w="1134" w:type="dxa"/>
            <w:tcBorders>
              <w:top w:val="nil"/>
              <w:bottom w:val="nil"/>
            </w:tcBorders>
            <w:shd w:val="clear" w:color="auto" w:fill="auto"/>
            <w:vAlign w:val="center"/>
          </w:tcPr>
          <w:p w14:paraId="4FCF92D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9D20BB">
              <w:t>3.060.956</w:t>
            </w:r>
          </w:p>
        </w:tc>
        <w:tc>
          <w:tcPr>
            <w:tcW w:w="283" w:type="dxa"/>
            <w:tcBorders>
              <w:top w:val="nil"/>
              <w:bottom w:val="nil"/>
            </w:tcBorders>
            <w:shd w:val="clear" w:color="auto" w:fill="auto"/>
            <w:vAlign w:val="center"/>
          </w:tcPr>
          <w:p w14:paraId="6941CFFF"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1CD54DD1"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E1C73">
              <w:rPr>
                <w:rFonts w:cs="Arial"/>
                <w:szCs w:val="14"/>
              </w:rPr>
              <w:t>4.122.925</w:t>
            </w:r>
          </w:p>
        </w:tc>
        <w:tc>
          <w:tcPr>
            <w:tcW w:w="1063" w:type="dxa"/>
            <w:tcBorders>
              <w:top w:val="nil"/>
              <w:bottom w:val="nil"/>
            </w:tcBorders>
            <w:shd w:val="clear" w:color="auto" w:fill="auto"/>
            <w:vAlign w:val="center"/>
          </w:tcPr>
          <w:p w14:paraId="3E171F25"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r w:rsidRPr="008654D6">
              <w:t>3.060.956</w:t>
            </w:r>
          </w:p>
        </w:tc>
      </w:tr>
      <w:tr w:rsidR="00375569" w:rsidRPr="001D6BE8" w14:paraId="0746C0BA"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FC018F8" w14:textId="77777777" w:rsidR="00375569" w:rsidRPr="0038031F" w:rsidRDefault="00375569" w:rsidP="00386D90">
            <w:pPr>
              <w:pStyle w:val="08-Tabelageral"/>
              <w:ind w:left="113"/>
              <w:jc w:val="left"/>
              <w:rPr>
                <w:b w:val="0"/>
              </w:rPr>
            </w:pPr>
            <w:r w:rsidRPr="0038031F">
              <w:rPr>
                <w:b w:val="0"/>
              </w:rPr>
              <w:t>Ações em tesouraria</w:t>
            </w:r>
          </w:p>
        </w:tc>
        <w:tc>
          <w:tcPr>
            <w:tcW w:w="709" w:type="dxa"/>
            <w:tcBorders>
              <w:top w:val="nil"/>
              <w:bottom w:val="nil"/>
            </w:tcBorders>
            <w:shd w:val="clear" w:color="auto" w:fill="auto"/>
            <w:vAlign w:val="center"/>
          </w:tcPr>
          <w:p w14:paraId="278A9439"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szCs w:val="14"/>
              </w:rPr>
            </w:pPr>
            <w:r>
              <w:rPr>
                <w:szCs w:val="14"/>
              </w:rPr>
              <w:t>[25.g.4</w:t>
            </w:r>
            <w:r w:rsidRPr="00E0461B">
              <w:rPr>
                <w:szCs w:val="14"/>
              </w:rPr>
              <w:t>]</w:t>
            </w:r>
          </w:p>
        </w:tc>
        <w:tc>
          <w:tcPr>
            <w:tcW w:w="1134" w:type="dxa"/>
            <w:tcBorders>
              <w:top w:val="nil"/>
              <w:bottom w:val="nil"/>
            </w:tcBorders>
            <w:shd w:val="clear" w:color="auto" w:fill="auto"/>
            <w:vAlign w:val="center"/>
          </w:tcPr>
          <w:p w14:paraId="0A65160B"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(81.320)</w:t>
            </w:r>
          </w:p>
        </w:tc>
        <w:tc>
          <w:tcPr>
            <w:tcW w:w="1134" w:type="dxa"/>
            <w:tcBorders>
              <w:top w:val="nil"/>
              <w:bottom w:val="nil"/>
            </w:tcBorders>
            <w:shd w:val="clear" w:color="auto" w:fill="auto"/>
            <w:vAlign w:val="center"/>
          </w:tcPr>
          <w:p w14:paraId="630B5479"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9D20BB">
              <w:t>(82.588)</w:t>
            </w:r>
          </w:p>
        </w:tc>
        <w:tc>
          <w:tcPr>
            <w:tcW w:w="283" w:type="dxa"/>
            <w:tcBorders>
              <w:top w:val="nil"/>
              <w:bottom w:val="nil"/>
            </w:tcBorders>
            <w:shd w:val="clear" w:color="auto" w:fill="auto"/>
            <w:vAlign w:val="center"/>
          </w:tcPr>
          <w:p w14:paraId="44B493CD"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E970440"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E1C73">
              <w:rPr>
                <w:rFonts w:cs="Arial"/>
                <w:szCs w:val="14"/>
              </w:rPr>
              <w:t>(81.320)</w:t>
            </w:r>
          </w:p>
        </w:tc>
        <w:tc>
          <w:tcPr>
            <w:tcW w:w="1063" w:type="dxa"/>
            <w:tcBorders>
              <w:top w:val="nil"/>
              <w:bottom w:val="nil"/>
            </w:tcBorders>
            <w:shd w:val="clear" w:color="auto" w:fill="auto"/>
            <w:vAlign w:val="center"/>
          </w:tcPr>
          <w:p w14:paraId="628AF0DA"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pPr>
            <w:r w:rsidRPr="008654D6">
              <w:t>(82.588)</w:t>
            </w:r>
          </w:p>
        </w:tc>
      </w:tr>
      <w:tr w:rsidR="00375569" w:rsidRPr="00490B0B" w14:paraId="0A021F6C"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tcPr>
          <w:p w14:paraId="405C57C4" w14:textId="77777777" w:rsidR="00375569" w:rsidRPr="00490B0B" w:rsidRDefault="00375569" w:rsidP="00386D90">
            <w:pPr>
              <w:pStyle w:val="08-Tabelageral"/>
              <w:ind w:left="113"/>
              <w:jc w:val="left"/>
              <w:rPr>
                <w:b w:val="0"/>
              </w:rPr>
            </w:pPr>
            <w:r w:rsidRPr="00490B0B">
              <w:rPr>
                <w:b w:val="0"/>
              </w:rPr>
              <w:t>Outros resultados abrangentes acumulados</w:t>
            </w:r>
          </w:p>
        </w:tc>
        <w:tc>
          <w:tcPr>
            <w:tcW w:w="709" w:type="dxa"/>
            <w:tcBorders>
              <w:top w:val="nil"/>
              <w:bottom w:val="nil"/>
            </w:tcBorders>
            <w:shd w:val="clear" w:color="auto" w:fill="auto"/>
          </w:tcPr>
          <w:p w14:paraId="319FDCE3"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b/>
              </w:rPr>
            </w:pPr>
            <w:r>
              <w:rPr>
                <w:szCs w:val="14"/>
              </w:rPr>
              <w:t>[25.e</w:t>
            </w:r>
            <w:r w:rsidRPr="00E0461B">
              <w:rPr>
                <w:szCs w:val="14"/>
              </w:rPr>
              <w:t>]</w:t>
            </w:r>
          </w:p>
        </w:tc>
        <w:tc>
          <w:tcPr>
            <w:tcW w:w="1134" w:type="dxa"/>
            <w:tcBorders>
              <w:top w:val="nil"/>
              <w:bottom w:val="nil"/>
            </w:tcBorders>
            <w:shd w:val="clear" w:color="auto" w:fill="auto"/>
            <w:vAlign w:val="center"/>
          </w:tcPr>
          <w:p w14:paraId="5CE9AC68" w14:textId="77777777" w:rsidR="00375569" w:rsidRPr="00B669E3"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(158.464)</w:t>
            </w:r>
          </w:p>
        </w:tc>
        <w:tc>
          <w:tcPr>
            <w:tcW w:w="1134" w:type="dxa"/>
            <w:tcBorders>
              <w:top w:val="nil"/>
              <w:bottom w:val="nil"/>
            </w:tcBorders>
            <w:shd w:val="clear" w:color="auto" w:fill="auto"/>
            <w:vAlign w:val="center"/>
          </w:tcPr>
          <w:p w14:paraId="0B87F79D" w14:textId="77777777" w:rsidR="00375569" w:rsidRPr="00B669E3"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9D20BB">
              <w:t>12.882</w:t>
            </w:r>
          </w:p>
        </w:tc>
        <w:tc>
          <w:tcPr>
            <w:tcW w:w="283" w:type="dxa"/>
            <w:tcBorders>
              <w:top w:val="nil"/>
              <w:bottom w:val="nil"/>
            </w:tcBorders>
            <w:shd w:val="clear" w:color="auto" w:fill="auto"/>
            <w:vAlign w:val="center"/>
          </w:tcPr>
          <w:p w14:paraId="7A32EFBD" w14:textId="77777777" w:rsidR="00375569" w:rsidRPr="00B669E3"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63" w:type="dxa"/>
            <w:tcBorders>
              <w:top w:val="nil"/>
              <w:bottom w:val="nil"/>
            </w:tcBorders>
            <w:shd w:val="clear" w:color="auto" w:fill="auto"/>
            <w:vAlign w:val="center"/>
          </w:tcPr>
          <w:p w14:paraId="0F241E39" w14:textId="77777777" w:rsidR="00375569" w:rsidRPr="00B669E3"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(158.464)</w:t>
            </w:r>
          </w:p>
        </w:tc>
        <w:tc>
          <w:tcPr>
            <w:tcW w:w="1063" w:type="dxa"/>
            <w:tcBorders>
              <w:top w:val="nil"/>
              <w:bottom w:val="nil"/>
            </w:tcBorders>
            <w:shd w:val="clear" w:color="auto" w:fill="auto"/>
            <w:vAlign w:val="center"/>
          </w:tcPr>
          <w:p w14:paraId="77A82E38" w14:textId="77777777" w:rsidR="00375569" w:rsidRPr="00B669E3" w:rsidRDefault="00375569" w:rsidP="00386D90">
            <w:pPr>
              <w:pStyle w:val="08-Tabelageral"/>
              <w:ind w:left="113"/>
              <w:cnfStyle w:val="000000100000" w:firstRow="0" w:lastRow="0" w:firstColumn="0" w:lastColumn="0" w:oddVBand="0" w:evenVBand="0" w:oddHBand="1" w:evenHBand="0" w:firstRowFirstColumn="0" w:firstRowLastColumn="0" w:lastRowFirstColumn="0" w:lastRowLastColumn="0"/>
            </w:pPr>
            <w:r w:rsidRPr="008654D6">
              <w:t>12.882</w:t>
            </w:r>
          </w:p>
        </w:tc>
      </w:tr>
      <w:tr w:rsidR="00375569" w:rsidRPr="002A31B8" w14:paraId="5E05EF67"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E7C1621" w14:textId="77777777" w:rsidR="00375569" w:rsidRPr="002A31B8" w:rsidRDefault="00375569" w:rsidP="00386D90">
            <w:pPr>
              <w:pStyle w:val="08-Tabelageral"/>
              <w:jc w:val="left"/>
            </w:pPr>
            <w:r>
              <w:t>Total d</w:t>
            </w:r>
            <w:r w:rsidRPr="002A31B8">
              <w:t>o Patrimônio Líquido</w:t>
            </w:r>
          </w:p>
        </w:tc>
        <w:tc>
          <w:tcPr>
            <w:tcW w:w="709" w:type="dxa"/>
            <w:tcBorders>
              <w:top w:val="nil"/>
              <w:bottom w:val="nil"/>
            </w:tcBorders>
            <w:shd w:val="clear" w:color="auto" w:fill="auto"/>
            <w:vAlign w:val="center"/>
          </w:tcPr>
          <w:p w14:paraId="4969A3B0"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bottom w:val="nil"/>
            </w:tcBorders>
            <w:shd w:val="clear" w:color="auto" w:fill="auto"/>
            <w:vAlign w:val="center"/>
          </w:tcPr>
          <w:p w14:paraId="74B97D83" w14:textId="77777777" w:rsidR="00375569" w:rsidRPr="00AE502A"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rPr>
            </w:pPr>
            <w:r w:rsidRPr="00EE1C73">
              <w:rPr>
                <w:b/>
              </w:rPr>
              <w:t>7.281.416</w:t>
            </w:r>
          </w:p>
        </w:tc>
        <w:tc>
          <w:tcPr>
            <w:tcW w:w="1134" w:type="dxa"/>
            <w:tcBorders>
              <w:top w:val="nil"/>
              <w:bottom w:val="nil"/>
            </w:tcBorders>
            <w:shd w:val="clear" w:color="auto" w:fill="auto"/>
            <w:vAlign w:val="center"/>
          </w:tcPr>
          <w:p w14:paraId="0B10FDFC"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b/>
              </w:rPr>
              <w:t>6.389.605</w:t>
            </w:r>
          </w:p>
        </w:tc>
        <w:tc>
          <w:tcPr>
            <w:tcW w:w="283" w:type="dxa"/>
            <w:tcBorders>
              <w:top w:val="nil"/>
              <w:bottom w:val="nil"/>
            </w:tcBorders>
            <w:shd w:val="clear" w:color="auto" w:fill="auto"/>
            <w:vAlign w:val="center"/>
          </w:tcPr>
          <w:p w14:paraId="25EC5589"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063" w:type="dxa"/>
            <w:tcBorders>
              <w:top w:val="nil"/>
              <w:bottom w:val="nil"/>
            </w:tcBorders>
            <w:shd w:val="clear" w:color="auto" w:fill="auto"/>
            <w:vAlign w:val="center"/>
          </w:tcPr>
          <w:p w14:paraId="769A29F4"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b/>
                <w:bCs/>
              </w:rPr>
              <w:t>7.281.416</w:t>
            </w:r>
          </w:p>
        </w:tc>
        <w:tc>
          <w:tcPr>
            <w:tcW w:w="1063" w:type="dxa"/>
            <w:tcBorders>
              <w:top w:val="nil"/>
              <w:bottom w:val="nil"/>
            </w:tcBorders>
            <w:shd w:val="clear" w:color="auto" w:fill="auto"/>
            <w:vAlign w:val="center"/>
          </w:tcPr>
          <w:p w14:paraId="134876E5" w14:textId="77777777" w:rsidR="00375569" w:rsidRPr="00B669E3"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b/>
                <w:bCs/>
              </w:rPr>
              <w:t>6.389.605</w:t>
            </w:r>
          </w:p>
        </w:tc>
      </w:tr>
      <w:tr w:rsidR="00375569" w:rsidRPr="001D6BE8" w14:paraId="37223399" w14:textId="77777777" w:rsidTr="00D126F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4BE35CF" w14:textId="77777777" w:rsidR="00375569" w:rsidRPr="0038031F" w:rsidRDefault="00375569" w:rsidP="00386D90">
            <w:pPr>
              <w:pStyle w:val="08-Tabelageral"/>
              <w:ind w:left="113"/>
              <w:jc w:val="left"/>
            </w:pPr>
          </w:p>
        </w:tc>
        <w:tc>
          <w:tcPr>
            <w:tcW w:w="709" w:type="dxa"/>
            <w:tcBorders>
              <w:top w:val="nil"/>
              <w:bottom w:val="nil"/>
            </w:tcBorders>
            <w:shd w:val="clear" w:color="auto" w:fill="auto"/>
            <w:vAlign w:val="center"/>
          </w:tcPr>
          <w:p w14:paraId="3023158D" w14:textId="77777777" w:rsidR="00375569" w:rsidRPr="00E0461B"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4CFE8369"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B042E08"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4A66CF68"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52FB533"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72475F5C" w14:textId="77777777" w:rsidR="00375569" w:rsidRPr="00B669E3" w:rsidRDefault="00375569" w:rsidP="00386D90">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175871FB" w14:textId="77777777" w:rsidTr="00D126F3">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36225311" w14:textId="77777777" w:rsidR="00375569" w:rsidRPr="00CD3714" w:rsidRDefault="00375569" w:rsidP="00386D90">
            <w:pPr>
              <w:pStyle w:val="08-Tabelageral"/>
              <w:jc w:val="left"/>
              <w:rPr>
                <w:rFonts w:cs="Arial"/>
                <w:szCs w:val="14"/>
              </w:rPr>
            </w:pPr>
            <w:r>
              <w:t>Total do Passivo e</w:t>
            </w:r>
            <w:r w:rsidRPr="00584781">
              <w:t xml:space="preserve"> Patrimônio Líquido</w:t>
            </w:r>
          </w:p>
        </w:tc>
        <w:tc>
          <w:tcPr>
            <w:tcW w:w="709" w:type="dxa"/>
            <w:tcBorders>
              <w:top w:val="nil"/>
              <w:bottom w:val="single" w:sz="2" w:space="0" w:color="1F4E79" w:themeColor="accent1" w:themeShade="80"/>
            </w:tcBorders>
            <w:shd w:val="clear" w:color="auto" w:fill="auto"/>
            <w:vAlign w:val="center"/>
          </w:tcPr>
          <w:p w14:paraId="5DD98EE3" w14:textId="77777777" w:rsidR="00375569" w:rsidRPr="00E0461B"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single" w:sz="2" w:space="0" w:color="1F4E79" w:themeColor="accent1" w:themeShade="80"/>
            </w:tcBorders>
            <w:shd w:val="clear" w:color="auto" w:fill="auto"/>
            <w:vAlign w:val="center"/>
          </w:tcPr>
          <w:p w14:paraId="7E4B80E3" w14:textId="77777777" w:rsidR="00375569" w:rsidRPr="00AE502A"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547DB">
              <w:rPr>
                <w:rFonts w:cs="Arial"/>
                <w:b/>
                <w:szCs w:val="14"/>
              </w:rPr>
              <w:t>9.124.418</w:t>
            </w:r>
          </w:p>
        </w:tc>
        <w:tc>
          <w:tcPr>
            <w:tcW w:w="1134" w:type="dxa"/>
            <w:tcBorders>
              <w:top w:val="nil"/>
              <w:bottom w:val="single" w:sz="2" w:space="0" w:color="1F4E79" w:themeColor="accent1" w:themeShade="80"/>
            </w:tcBorders>
            <w:shd w:val="clear" w:color="auto" w:fill="auto"/>
            <w:vAlign w:val="center"/>
          </w:tcPr>
          <w:p w14:paraId="319C9048" w14:textId="77777777" w:rsidR="00375569" w:rsidRPr="0018749F"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F83601">
              <w:rPr>
                <w:rFonts w:cs="Arial"/>
                <w:b/>
                <w:szCs w:val="14"/>
              </w:rPr>
              <w:t>7.347.012</w:t>
            </w:r>
          </w:p>
        </w:tc>
        <w:tc>
          <w:tcPr>
            <w:tcW w:w="283" w:type="dxa"/>
            <w:tcBorders>
              <w:top w:val="nil"/>
              <w:bottom w:val="single" w:sz="2" w:space="0" w:color="1F4E79" w:themeColor="accent1" w:themeShade="80"/>
            </w:tcBorders>
            <w:shd w:val="clear" w:color="auto" w:fill="auto"/>
            <w:vAlign w:val="center"/>
          </w:tcPr>
          <w:p w14:paraId="5E57F1E5" w14:textId="77777777" w:rsidR="00375569" w:rsidRPr="0018749F"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single" w:sz="2" w:space="0" w:color="1F4E79" w:themeColor="accent1" w:themeShade="80"/>
            </w:tcBorders>
            <w:shd w:val="clear" w:color="auto" w:fill="auto"/>
            <w:vAlign w:val="center"/>
          </w:tcPr>
          <w:p w14:paraId="6EE7D2ED" w14:textId="77777777" w:rsidR="00375569" w:rsidRPr="0018749F"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E1C73">
              <w:rPr>
                <w:rFonts w:cs="Arial"/>
                <w:b/>
                <w:bCs/>
                <w:szCs w:val="14"/>
              </w:rPr>
              <w:t>13.314.221</w:t>
            </w:r>
          </w:p>
        </w:tc>
        <w:tc>
          <w:tcPr>
            <w:tcW w:w="1063" w:type="dxa"/>
            <w:tcBorders>
              <w:top w:val="nil"/>
              <w:bottom w:val="single" w:sz="2" w:space="0" w:color="1F4E79" w:themeColor="accent1" w:themeShade="80"/>
            </w:tcBorders>
            <w:shd w:val="clear" w:color="auto" w:fill="auto"/>
            <w:vAlign w:val="center"/>
          </w:tcPr>
          <w:p w14:paraId="4E93CE26" w14:textId="77777777" w:rsidR="00375569" w:rsidRPr="0018749F" w:rsidRDefault="00375569" w:rsidP="00386D90">
            <w:pPr>
              <w:pStyle w:val="08-Tabelageral"/>
              <w:cnfStyle w:val="000000000000" w:firstRow="0" w:lastRow="0" w:firstColumn="0" w:lastColumn="0" w:oddVBand="0" w:evenVBand="0" w:oddHBand="0" w:evenHBand="0" w:firstRowFirstColumn="0" w:firstRowLastColumn="0" w:lastRowFirstColumn="0" w:lastRowLastColumn="0"/>
              <w:rPr>
                <w:b/>
                <w:bCs/>
              </w:rPr>
            </w:pPr>
            <w:r w:rsidRPr="00BD62A1">
              <w:rPr>
                <w:rFonts w:cs="Arial"/>
                <w:b/>
                <w:bCs/>
                <w:szCs w:val="14"/>
              </w:rPr>
              <w:t>10.900.296</w:t>
            </w:r>
          </w:p>
        </w:tc>
      </w:tr>
    </w:tbl>
    <w:p w14:paraId="37196C6C" w14:textId="77777777" w:rsidR="00375569" w:rsidRPr="009908A8" w:rsidRDefault="00375569" w:rsidP="009908A8">
      <w:pPr>
        <w:rPr>
          <w:rFonts w:cs="Arial"/>
          <w:sz w:val="14"/>
          <w:szCs w:val="14"/>
        </w:rPr>
      </w:pPr>
      <w:r w:rsidRPr="00E16BE7">
        <w:rPr>
          <w:rFonts w:cs="Arial"/>
          <w:sz w:val="14"/>
          <w:szCs w:val="14"/>
        </w:rPr>
        <w:t>As notas explicativas são parte integrante das demonstrações contábeis</w:t>
      </w:r>
      <w:r>
        <w:rPr>
          <w:rFonts w:cs="Arial"/>
          <w:sz w:val="14"/>
          <w:szCs w:val="14"/>
        </w:rPr>
        <w:t>.</w:t>
      </w:r>
    </w:p>
    <w:p w14:paraId="65613496" w14:textId="77777777" w:rsidR="00375569" w:rsidRPr="00F97A88" w:rsidRDefault="00375569" w:rsidP="00F97A88">
      <w:pPr>
        <w:pStyle w:val="02-TtulodeNota"/>
        <w:keepNext/>
        <w:keepLines/>
        <w:pageBreakBefore/>
        <w:rPr>
          <w:color w:val="1F4E79" w:themeColor="accent1" w:themeShade="80"/>
        </w:rPr>
      </w:pPr>
      <w:bookmarkStart w:id="17" w:name="_Toc94861055"/>
      <w:r w:rsidRPr="00F97A88">
        <w:rPr>
          <w:color w:val="1F4E79" w:themeColor="accent1" w:themeShade="80"/>
        </w:rPr>
        <w:lastRenderedPageBreak/>
        <w:t>DEMONSTRAÇÃO DOS FLUXOS DE CAIXA</w:t>
      </w:r>
      <w:bookmarkEnd w:id="17"/>
    </w:p>
    <w:p w14:paraId="5D2B5806" w14:textId="77777777" w:rsidR="00375569" w:rsidRPr="008B7B18" w:rsidRDefault="00375569" w:rsidP="000C3D1F">
      <w:pPr>
        <w:pStyle w:val="01-TtulodeNota"/>
        <w:spacing w:before="0" w:after="0"/>
        <w:ind w:right="-1"/>
        <w:jc w:val="right"/>
        <w:rPr>
          <w:sz w:val="14"/>
          <w:szCs w:val="14"/>
        </w:rPr>
      </w:pPr>
      <w:r w:rsidRPr="008B7B18">
        <w:rPr>
          <w:sz w:val="14"/>
          <w:szCs w:val="14"/>
        </w:rPr>
        <w:t>R$ mil</w:t>
      </w:r>
    </w:p>
    <w:tbl>
      <w:tblPr>
        <w:tblStyle w:val="TabeladeLista6Colorida-nfase5"/>
        <w:tblW w:w="9639" w:type="dxa"/>
        <w:jc w:val="center"/>
        <w:tblLayout w:type="fixed"/>
        <w:tblLook w:val="04A0" w:firstRow="1" w:lastRow="0" w:firstColumn="1" w:lastColumn="0" w:noHBand="0" w:noVBand="1"/>
      </w:tblPr>
      <w:tblGrid>
        <w:gridCol w:w="3927"/>
        <w:gridCol w:w="567"/>
        <w:gridCol w:w="1181"/>
        <w:gridCol w:w="1196"/>
        <w:gridCol w:w="282"/>
        <w:gridCol w:w="1244"/>
        <w:gridCol w:w="1242"/>
      </w:tblGrid>
      <w:tr w:rsidR="00375569" w14:paraId="424319E2" w14:textId="77777777" w:rsidTr="002254DE">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927" w:type="dxa"/>
            <w:tcBorders>
              <w:top w:val="single" w:sz="2" w:space="0" w:color="1F4E79" w:themeColor="accent1" w:themeShade="80"/>
              <w:bottom w:val="nil"/>
            </w:tcBorders>
            <w:shd w:val="clear" w:color="auto" w:fill="auto"/>
            <w:vAlign w:val="center"/>
          </w:tcPr>
          <w:p w14:paraId="62DCCFD8" w14:textId="77777777" w:rsidR="00375569" w:rsidRPr="001D6BE8" w:rsidRDefault="00375569" w:rsidP="006436B3">
            <w:pPr>
              <w:jc w:val="center"/>
              <w:rPr>
                <w:rFonts w:cs="Arial"/>
                <w:b w:val="0"/>
                <w:szCs w:val="18"/>
              </w:rPr>
            </w:pPr>
            <w:bookmarkStart w:id="18" w:name="_Hlk59629491"/>
          </w:p>
        </w:tc>
        <w:tc>
          <w:tcPr>
            <w:tcW w:w="567" w:type="dxa"/>
            <w:tcBorders>
              <w:top w:val="single" w:sz="2" w:space="0" w:color="1F4E79" w:themeColor="accent1" w:themeShade="80"/>
              <w:bottom w:val="nil"/>
            </w:tcBorders>
            <w:shd w:val="clear" w:color="auto" w:fill="auto"/>
            <w:vAlign w:val="center"/>
          </w:tcPr>
          <w:p w14:paraId="4C1E805D" w14:textId="77777777" w:rsidR="00375569" w:rsidRPr="001D6BE8" w:rsidRDefault="00375569" w:rsidP="007B017E">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377" w:type="dxa"/>
            <w:gridSpan w:val="2"/>
            <w:tcBorders>
              <w:top w:val="single" w:sz="2" w:space="0" w:color="1F4E79" w:themeColor="accent1" w:themeShade="80"/>
              <w:bottom w:val="single" w:sz="2" w:space="0" w:color="1F4E79" w:themeColor="accent1" w:themeShade="80"/>
            </w:tcBorders>
            <w:shd w:val="clear" w:color="auto" w:fill="auto"/>
            <w:vAlign w:val="center"/>
          </w:tcPr>
          <w:p w14:paraId="492F4308" w14:textId="77777777" w:rsidR="00375569" w:rsidRPr="0038031F"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38031F">
              <w:rPr>
                <w:rFonts w:cs="Arial"/>
                <w:sz w:val="14"/>
                <w:szCs w:val="18"/>
              </w:rPr>
              <w:t>Controlador</w:t>
            </w:r>
          </w:p>
        </w:tc>
        <w:tc>
          <w:tcPr>
            <w:tcW w:w="282" w:type="dxa"/>
            <w:tcBorders>
              <w:top w:val="single" w:sz="2" w:space="0" w:color="1F4E79" w:themeColor="accent1" w:themeShade="80"/>
              <w:bottom w:val="nil"/>
            </w:tcBorders>
            <w:shd w:val="clear" w:color="auto" w:fill="auto"/>
            <w:vAlign w:val="center"/>
          </w:tcPr>
          <w:p w14:paraId="352B5C2E" w14:textId="77777777" w:rsidR="00375569" w:rsidRPr="001D6BE8" w:rsidRDefault="00375569" w:rsidP="007B017E">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486" w:type="dxa"/>
            <w:gridSpan w:val="2"/>
            <w:tcBorders>
              <w:top w:val="single" w:sz="2" w:space="0" w:color="1F4E79" w:themeColor="accent1" w:themeShade="80"/>
              <w:bottom w:val="single" w:sz="2" w:space="0" w:color="1F4E79" w:themeColor="accent1" w:themeShade="80"/>
            </w:tcBorders>
            <w:shd w:val="clear" w:color="auto" w:fill="auto"/>
            <w:vAlign w:val="center"/>
          </w:tcPr>
          <w:p w14:paraId="5B7C151E" w14:textId="77777777" w:rsidR="00375569" w:rsidRPr="0038031F"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38031F">
              <w:rPr>
                <w:rFonts w:cs="Arial"/>
                <w:sz w:val="14"/>
                <w:szCs w:val="18"/>
              </w:rPr>
              <w:t>Consolidado</w:t>
            </w:r>
          </w:p>
        </w:tc>
      </w:tr>
      <w:tr w:rsidR="00375569" w:rsidRPr="001D6BE8" w14:paraId="2649234D"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single" w:sz="2" w:space="0" w:color="1F4E79" w:themeColor="accent1" w:themeShade="80"/>
            </w:tcBorders>
            <w:shd w:val="clear" w:color="auto" w:fill="auto"/>
            <w:vAlign w:val="center"/>
          </w:tcPr>
          <w:p w14:paraId="2344C1DA" w14:textId="77777777" w:rsidR="00375569" w:rsidRPr="001D6BE8" w:rsidRDefault="00375569" w:rsidP="00660E30">
            <w:pPr>
              <w:pStyle w:val="08-Tabelageral"/>
              <w:jc w:val="left"/>
              <w:rPr>
                <w:rFonts w:cs="Arial"/>
                <w:b w:val="0"/>
              </w:rPr>
            </w:pPr>
          </w:p>
        </w:tc>
        <w:tc>
          <w:tcPr>
            <w:tcW w:w="567" w:type="dxa"/>
            <w:tcBorders>
              <w:top w:val="nil"/>
              <w:bottom w:val="single" w:sz="2" w:space="0" w:color="1F4E79" w:themeColor="accent1" w:themeShade="80"/>
            </w:tcBorders>
            <w:shd w:val="clear" w:color="auto" w:fill="auto"/>
            <w:vAlign w:val="center"/>
          </w:tcPr>
          <w:p w14:paraId="1FCD9E5D" w14:textId="77777777" w:rsidR="00375569" w:rsidRPr="00E0461B" w:rsidRDefault="00375569" w:rsidP="00660E30">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E0461B">
              <w:rPr>
                <w:rFonts w:cs="Arial"/>
                <w:b/>
              </w:rPr>
              <w:t>Nota</w:t>
            </w:r>
          </w:p>
        </w:tc>
        <w:tc>
          <w:tcPr>
            <w:tcW w:w="1181" w:type="dxa"/>
            <w:tcBorders>
              <w:top w:val="single" w:sz="2" w:space="0" w:color="8EAADB" w:themeColor="accent5" w:themeTint="99"/>
              <w:bottom w:val="single" w:sz="2" w:space="0" w:color="8EAADB" w:themeColor="accent5" w:themeTint="99"/>
            </w:tcBorders>
            <w:shd w:val="clear" w:color="auto" w:fill="auto"/>
            <w:vAlign w:val="center"/>
          </w:tcPr>
          <w:p w14:paraId="2E412B48" w14:textId="77777777" w:rsidR="00375569" w:rsidRPr="00D11E27" w:rsidRDefault="00375569" w:rsidP="00660E3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1196" w:type="dxa"/>
            <w:tcBorders>
              <w:top w:val="single" w:sz="2" w:space="0" w:color="8EAADB" w:themeColor="accent5" w:themeTint="99"/>
              <w:bottom w:val="single" w:sz="2" w:space="0" w:color="1F4E79" w:themeColor="accent1" w:themeShade="80"/>
            </w:tcBorders>
            <w:shd w:val="clear" w:color="auto" w:fill="auto"/>
            <w:vAlign w:val="center"/>
          </w:tcPr>
          <w:p w14:paraId="1526264D" w14:textId="77777777" w:rsidR="00375569" w:rsidRPr="00D11E27" w:rsidRDefault="00375569" w:rsidP="00660E3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20</w:t>
            </w:r>
          </w:p>
        </w:tc>
        <w:tc>
          <w:tcPr>
            <w:tcW w:w="282" w:type="dxa"/>
            <w:tcBorders>
              <w:top w:val="nil"/>
              <w:bottom w:val="single" w:sz="2" w:space="0" w:color="1F4E79" w:themeColor="accent1" w:themeShade="80"/>
            </w:tcBorders>
            <w:shd w:val="clear" w:color="auto" w:fill="auto"/>
            <w:vAlign w:val="center"/>
          </w:tcPr>
          <w:p w14:paraId="739813D6" w14:textId="77777777" w:rsidR="00375569" w:rsidRPr="00D11E27" w:rsidRDefault="00375569" w:rsidP="00660E30">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244" w:type="dxa"/>
            <w:tcBorders>
              <w:top w:val="single" w:sz="2" w:space="0" w:color="8EAADB" w:themeColor="accent5" w:themeTint="99"/>
              <w:bottom w:val="single" w:sz="2" w:space="0" w:color="8EAADB" w:themeColor="accent5" w:themeTint="99"/>
            </w:tcBorders>
            <w:shd w:val="clear" w:color="auto" w:fill="auto"/>
            <w:vAlign w:val="center"/>
          </w:tcPr>
          <w:p w14:paraId="2C3DFDF7" w14:textId="77777777" w:rsidR="00375569" w:rsidRPr="00D11E27" w:rsidRDefault="00375569" w:rsidP="00660E3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1242" w:type="dxa"/>
            <w:tcBorders>
              <w:top w:val="single" w:sz="2" w:space="0" w:color="8EAADB" w:themeColor="accent5" w:themeTint="99"/>
              <w:bottom w:val="single" w:sz="2" w:space="0" w:color="1F4E79" w:themeColor="accent1" w:themeShade="80"/>
            </w:tcBorders>
            <w:shd w:val="clear" w:color="auto" w:fill="auto"/>
            <w:vAlign w:val="center"/>
          </w:tcPr>
          <w:p w14:paraId="6144C512" w14:textId="77777777" w:rsidR="00375569" w:rsidRPr="00D11E27" w:rsidRDefault="00375569" w:rsidP="00660E3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20</w:t>
            </w:r>
          </w:p>
        </w:tc>
      </w:tr>
      <w:bookmarkEnd w:id="18"/>
      <w:tr w:rsidR="00375569" w:rsidRPr="001D6BE8" w14:paraId="33D2609B" w14:textId="77777777" w:rsidTr="002254DE">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single" w:sz="2" w:space="0" w:color="1F4E79" w:themeColor="accent1" w:themeShade="80"/>
              <w:bottom w:val="nil"/>
            </w:tcBorders>
            <w:shd w:val="clear" w:color="auto" w:fill="auto"/>
            <w:vAlign w:val="center"/>
          </w:tcPr>
          <w:p w14:paraId="5EDBF9B1" w14:textId="77777777" w:rsidR="00375569" w:rsidRPr="005317E6" w:rsidRDefault="00375569" w:rsidP="0041000C">
            <w:pPr>
              <w:pStyle w:val="08-Tabelageral"/>
              <w:jc w:val="left"/>
              <w:rPr>
                <w:b w:val="0"/>
              </w:rPr>
            </w:pPr>
            <w:r w:rsidRPr="005317E6">
              <w:t xml:space="preserve">Fluxos </w:t>
            </w:r>
            <w:r>
              <w:t>de Caixa Provenientes d</w:t>
            </w:r>
            <w:r w:rsidRPr="005317E6">
              <w:t xml:space="preserve">as </w:t>
            </w:r>
            <w:r>
              <w:t>Atividades Operacionais</w:t>
            </w:r>
          </w:p>
        </w:tc>
        <w:tc>
          <w:tcPr>
            <w:tcW w:w="567" w:type="dxa"/>
            <w:tcBorders>
              <w:top w:val="single" w:sz="2" w:space="0" w:color="1F4E79" w:themeColor="accent1" w:themeShade="80"/>
              <w:bottom w:val="nil"/>
            </w:tcBorders>
            <w:shd w:val="clear" w:color="auto" w:fill="auto"/>
            <w:vAlign w:val="center"/>
          </w:tcPr>
          <w:p w14:paraId="3806E866" w14:textId="77777777" w:rsidR="00375569" w:rsidRPr="00E0461B" w:rsidRDefault="00375569" w:rsidP="0041000C">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single" w:sz="2" w:space="0" w:color="1F4E79" w:themeColor="accent1" w:themeShade="80"/>
              <w:bottom w:val="nil"/>
            </w:tcBorders>
            <w:shd w:val="clear" w:color="auto" w:fill="auto"/>
            <w:vAlign w:val="center"/>
          </w:tcPr>
          <w:p w14:paraId="7C0E5683" w14:textId="77777777" w:rsidR="00375569" w:rsidRPr="00350BA7" w:rsidRDefault="00375569" w:rsidP="0041000C">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96" w:type="dxa"/>
            <w:tcBorders>
              <w:top w:val="single" w:sz="2" w:space="0" w:color="1F4E79" w:themeColor="accent1" w:themeShade="80"/>
              <w:bottom w:val="nil"/>
            </w:tcBorders>
            <w:shd w:val="clear" w:color="auto" w:fill="auto"/>
            <w:vAlign w:val="center"/>
          </w:tcPr>
          <w:p w14:paraId="4D19C80A" w14:textId="77777777" w:rsidR="00375569" w:rsidRPr="00CF4B29" w:rsidRDefault="00375569" w:rsidP="0041000C">
            <w:pPr>
              <w:pStyle w:val="08-Tabelageral"/>
              <w:cnfStyle w:val="000000000000" w:firstRow="0" w:lastRow="0" w:firstColumn="0" w:lastColumn="0" w:oddVBand="0" w:evenVBand="0" w:oddHBand="0" w:evenHBand="0" w:firstRowFirstColumn="0" w:firstRowLastColumn="0" w:lastRowFirstColumn="0" w:lastRowLastColumn="0"/>
            </w:pPr>
          </w:p>
        </w:tc>
        <w:tc>
          <w:tcPr>
            <w:tcW w:w="282" w:type="dxa"/>
            <w:tcBorders>
              <w:top w:val="single" w:sz="2" w:space="0" w:color="1F4E79" w:themeColor="accent1" w:themeShade="80"/>
              <w:bottom w:val="nil"/>
            </w:tcBorders>
            <w:shd w:val="clear" w:color="auto" w:fill="auto"/>
            <w:vAlign w:val="center"/>
          </w:tcPr>
          <w:p w14:paraId="711C0990" w14:textId="77777777" w:rsidR="00375569" w:rsidRPr="00350BA7" w:rsidRDefault="00375569" w:rsidP="0041000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single" w:sz="2" w:space="0" w:color="1F4E79" w:themeColor="accent1" w:themeShade="80"/>
              <w:bottom w:val="nil"/>
            </w:tcBorders>
            <w:shd w:val="clear" w:color="auto" w:fill="auto"/>
            <w:vAlign w:val="center"/>
          </w:tcPr>
          <w:p w14:paraId="5BA7C2A9" w14:textId="77777777" w:rsidR="00375569" w:rsidRPr="00350BA7" w:rsidRDefault="00375569" w:rsidP="0041000C">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42" w:type="dxa"/>
            <w:tcBorders>
              <w:top w:val="single" w:sz="2" w:space="0" w:color="1F4E79" w:themeColor="accent1" w:themeShade="80"/>
              <w:bottom w:val="nil"/>
            </w:tcBorders>
            <w:shd w:val="clear" w:color="auto" w:fill="auto"/>
            <w:vAlign w:val="center"/>
          </w:tcPr>
          <w:p w14:paraId="4DE3B638" w14:textId="77777777" w:rsidR="00375569" w:rsidRPr="00CF4B29" w:rsidRDefault="00375569" w:rsidP="0041000C">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351E1D" w14:paraId="647F336C" w14:textId="77777777" w:rsidTr="002254D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8D0E11E" w14:textId="77777777" w:rsidR="00375569" w:rsidRPr="00AA4804" w:rsidRDefault="00375569" w:rsidP="00AA4804">
            <w:pPr>
              <w:pStyle w:val="08-Tabelageral"/>
              <w:ind w:left="113"/>
              <w:jc w:val="left"/>
              <w:rPr>
                <w:bCs w:val="0"/>
              </w:rPr>
            </w:pPr>
            <w:r w:rsidRPr="00AA4804">
              <w:rPr>
                <w:bCs w:val="0"/>
              </w:rPr>
              <w:t>Lucro Líquido do Exercício</w:t>
            </w:r>
          </w:p>
        </w:tc>
        <w:tc>
          <w:tcPr>
            <w:tcW w:w="567" w:type="dxa"/>
            <w:tcBorders>
              <w:top w:val="nil"/>
              <w:bottom w:val="nil"/>
            </w:tcBorders>
            <w:shd w:val="clear" w:color="auto" w:fill="auto"/>
            <w:vAlign w:val="center"/>
          </w:tcPr>
          <w:p w14:paraId="70590853" w14:textId="77777777" w:rsidR="00375569" w:rsidRPr="00E0461B" w:rsidRDefault="00375569" w:rsidP="009D5C7C">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bottom w:val="nil"/>
            </w:tcBorders>
            <w:shd w:val="clear" w:color="auto" w:fill="auto"/>
            <w:vAlign w:val="center"/>
          </w:tcPr>
          <w:p w14:paraId="22A13C7C" w14:textId="77777777" w:rsidR="00375569" w:rsidRPr="00351E1D" w:rsidRDefault="00375569" w:rsidP="009D5C7C">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43BCA">
              <w:rPr>
                <w:rFonts w:cs="Arial"/>
                <w:b/>
                <w:szCs w:val="14"/>
              </w:rPr>
              <w:t>3.933.217</w:t>
            </w:r>
          </w:p>
        </w:tc>
        <w:tc>
          <w:tcPr>
            <w:tcW w:w="1196" w:type="dxa"/>
            <w:tcBorders>
              <w:top w:val="nil"/>
              <w:bottom w:val="nil"/>
            </w:tcBorders>
            <w:shd w:val="clear" w:color="auto" w:fill="auto"/>
            <w:vAlign w:val="center"/>
          </w:tcPr>
          <w:p w14:paraId="1E9A1CEB" w14:textId="77777777" w:rsidR="00375569" w:rsidRPr="00351E1D"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b/>
              </w:rPr>
            </w:pPr>
            <w:r w:rsidRPr="008E2F67">
              <w:rPr>
                <w:b/>
              </w:rPr>
              <w:t>3.850.771</w:t>
            </w:r>
          </w:p>
        </w:tc>
        <w:tc>
          <w:tcPr>
            <w:tcW w:w="282" w:type="dxa"/>
            <w:tcBorders>
              <w:top w:val="nil"/>
              <w:bottom w:val="nil"/>
            </w:tcBorders>
            <w:shd w:val="clear" w:color="auto" w:fill="auto"/>
            <w:vAlign w:val="center"/>
          </w:tcPr>
          <w:p w14:paraId="19541BDF" w14:textId="77777777" w:rsidR="00375569" w:rsidRPr="00351E1D"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4" w:type="dxa"/>
            <w:tcBorders>
              <w:top w:val="nil"/>
              <w:bottom w:val="nil"/>
            </w:tcBorders>
            <w:shd w:val="clear" w:color="auto" w:fill="auto"/>
            <w:vAlign w:val="center"/>
          </w:tcPr>
          <w:p w14:paraId="4ABDEBD7" w14:textId="77777777" w:rsidR="00375569" w:rsidRPr="003C294C" w:rsidRDefault="00375569" w:rsidP="009D5C7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343BCA">
              <w:rPr>
                <w:rFonts w:cs="Arial"/>
                <w:b/>
                <w:bCs/>
                <w:szCs w:val="14"/>
              </w:rPr>
              <w:t>3.933.217</w:t>
            </w:r>
          </w:p>
        </w:tc>
        <w:tc>
          <w:tcPr>
            <w:tcW w:w="1242" w:type="dxa"/>
            <w:tcBorders>
              <w:top w:val="nil"/>
              <w:bottom w:val="nil"/>
            </w:tcBorders>
            <w:shd w:val="clear" w:color="auto" w:fill="auto"/>
            <w:vAlign w:val="center"/>
          </w:tcPr>
          <w:p w14:paraId="730D68ED" w14:textId="77777777" w:rsidR="00375569" w:rsidRPr="00CE57AB"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b/>
                <w:bCs/>
              </w:rPr>
            </w:pPr>
            <w:r w:rsidRPr="008A6E76">
              <w:rPr>
                <w:b/>
                <w:bCs/>
              </w:rPr>
              <w:t>3.850.771</w:t>
            </w:r>
          </w:p>
        </w:tc>
      </w:tr>
      <w:tr w:rsidR="00375569" w:rsidRPr="001D6BE8" w14:paraId="27A1E6B5" w14:textId="77777777" w:rsidTr="002254DE">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EE4A2A7" w14:textId="77777777" w:rsidR="00375569" w:rsidRPr="00AA4804" w:rsidRDefault="00375569" w:rsidP="00AA4804">
            <w:pPr>
              <w:pStyle w:val="08-Tabelageral"/>
              <w:ind w:left="113"/>
              <w:jc w:val="left"/>
              <w:rPr>
                <w:bCs w:val="0"/>
              </w:rPr>
            </w:pPr>
            <w:r w:rsidRPr="00AA4804">
              <w:rPr>
                <w:bCs w:val="0"/>
              </w:rPr>
              <w:t>Ajustes ao Lucro:</w:t>
            </w:r>
          </w:p>
        </w:tc>
        <w:tc>
          <w:tcPr>
            <w:tcW w:w="567" w:type="dxa"/>
            <w:tcBorders>
              <w:top w:val="nil"/>
              <w:bottom w:val="nil"/>
            </w:tcBorders>
            <w:shd w:val="clear" w:color="auto" w:fill="auto"/>
            <w:vAlign w:val="center"/>
          </w:tcPr>
          <w:p w14:paraId="2440DA81" w14:textId="77777777" w:rsidR="00375569" w:rsidRPr="00E0461B" w:rsidRDefault="00375569" w:rsidP="009D5C7C">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670B47D3" w14:textId="77777777" w:rsidR="00375569" w:rsidRPr="00350BA7"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36CF5600" w14:textId="77777777" w:rsidR="00375569" w:rsidRPr="00CF4B29" w:rsidRDefault="00375569" w:rsidP="009D5C7C">
            <w:pPr>
              <w:pStyle w:val="08-Tabelageral"/>
              <w:cnfStyle w:val="000000000000" w:firstRow="0" w:lastRow="0" w:firstColumn="0" w:lastColumn="0" w:oddVBand="0" w:evenVBand="0" w:oddHBand="0" w:evenHBand="0" w:firstRowFirstColumn="0" w:firstRowLastColumn="0" w:lastRowFirstColumn="0" w:lastRowLastColumn="0"/>
            </w:pPr>
          </w:p>
        </w:tc>
        <w:tc>
          <w:tcPr>
            <w:tcW w:w="282" w:type="dxa"/>
            <w:tcBorders>
              <w:top w:val="nil"/>
              <w:bottom w:val="nil"/>
            </w:tcBorders>
            <w:shd w:val="clear" w:color="auto" w:fill="auto"/>
            <w:vAlign w:val="center"/>
          </w:tcPr>
          <w:p w14:paraId="4B230A80" w14:textId="77777777" w:rsidR="00375569" w:rsidRPr="00350BA7"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1A56BBCD" w14:textId="77777777" w:rsidR="00375569" w:rsidRPr="00350BA7"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0C6F5F26" w14:textId="77777777" w:rsidR="00375569" w:rsidRPr="00CF4B29" w:rsidRDefault="00375569" w:rsidP="009D5C7C">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1C7112" w14:paraId="73B6383F"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91C868C" w14:textId="77777777" w:rsidR="00375569" w:rsidRPr="001C7112" w:rsidRDefault="00375569" w:rsidP="008E2F67">
            <w:pPr>
              <w:pStyle w:val="08-Tabelageral"/>
              <w:ind w:left="113"/>
              <w:jc w:val="left"/>
              <w:rPr>
                <w:b w:val="0"/>
              </w:rPr>
            </w:pPr>
            <w:r w:rsidRPr="001C7112">
              <w:rPr>
                <w:b w:val="0"/>
              </w:rPr>
              <w:t>Resultado de investimentos em participações societárias</w:t>
            </w:r>
          </w:p>
        </w:tc>
        <w:tc>
          <w:tcPr>
            <w:tcW w:w="567" w:type="dxa"/>
            <w:tcBorders>
              <w:top w:val="nil"/>
              <w:bottom w:val="nil"/>
            </w:tcBorders>
            <w:shd w:val="clear" w:color="auto" w:fill="auto"/>
            <w:vAlign w:val="center"/>
          </w:tcPr>
          <w:p w14:paraId="266265B4"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r w:rsidRPr="00E0461B">
              <w:t>[7.</w:t>
            </w:r>
            <w:r>
              <w:t>b</w:t>
            </w:r>
            <w:r w:rsidRPr="00E0461B">
              <w:t>]</w:t>
            </w:r>
          </w:p>
        </w:tc>
        <w:tc>
          <w:tcPr>
            <w:tcW w:w="1181" w:type="dxa"/>
            <w:tcBorders>
              <w:top w:val="nil"/>
              <w:bottom w:val="nil"/>
            </w:tcBorders>
            <w:shd w:val="clear" w:color="auto" w:fill="auto"/>
            <w:vAlign w:val="center"/>
          </w:tcPr>
          <w:p w14:paraId="27E470C0"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343BCA">
              <w:rPr>
                <w:rFonts w:cs="Arial"/>
                <w:szCs w:val="14"/>
              </w:rPr>
              <w:t>3.923.593</w:t>
            </w:r>
            <w:r>
              <w:rPr>
                <w:rFonts w:cs="Arial"/>
                <w:szCs w:val="14"/>
              </w:rPr>
              <w:t>)</w:t>
            </w:r>
          </w:p>
        </w:tc>
        <w:tc>
          <w:tcPr>
            <w:tcW w:w="1196" w:type="dxa"/>
            <w:tcBorders>
              <w:top w:val="nil"/>
              <w:bottom w:val="nil"/>
            </w:tcBorders>
            <w:shd w:val="clear" w:color="auto" w:fill="auto"/>
            <w:vAlign w:val="center"/>
          </w:tcPr>
          <w:p w14:paraId="01C63EBC"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pPr>
            <w:r w:rsidRPr="00514BF1">
              <w:rPr>
                <w:rFonts w:cs="Arial"/>
                <w:szCs w:val="14"/>
              </w:rPr>
              <w:t>(3.833.384)</w:t>
            </w:r>
          </w:p>
        </w:tc>
        <w:tc>
          <w:tcPr>
            <w:tcW w:w="282" w:type="dxa"/>
            <w:tcBorders>
              <w:top w:val="nil"/>
              <w:bottom w:val="nil"/>
            </w:tcBorders>
            <w:shd w:val="clear" w:color="auto" w:fill="auto"/>
            <w:vAlign w:val="center"/>
          </w:tcPr>
          <w:p w14:paraId="2D6162A1"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0C11740A"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343BCA">
              <w:rPr>
                <w:rFonts w:cs="Arial"/>
                <w:szCs w:val="14"/>
              </w:rPr>
              <w:t>1.830.355</w:t>
            </w:r>
            <w:r>
              <w:rPr>
                <w:rFonts w:cs="Arial"/>
                <w:szCs w:val="14"/>
              </w:rPr>
              <w:t>)</w:t>
            </w:r>
          </w:p>
        </w:tc>
        <w:tc>
          <w:tcPr>
            <w:tcW w:w="1242" w:type="dxa"/>
            <w:tcBorders>
              <w:top w:val="nil"/>
              <w:bottom w:val="nil"/>
            </w:tcBorders>
            <w:shd w:val="clear" w:color="auto" w:fill="auto"/>
            <w:vAlign w:val="center"/>
          </w:tcPr>
          <w:p w14:paraId="149D5AEF"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pPr>
            <w:r w:rsidRPr="008A6E76">
              <w:t>(1.880.490)</w:t>
            </w:r>
          </w:p>
        </w:tc>
      </w:tr>
      <w:tr w:rsidR="00375569" w:rsidRPr="001C7112" w14:paraId="4782DA72"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3098B649" w14:textId="77777777" w:rsidR="00375569" w:rsidRPr="00FF2D19" w:rsidRDefault="00375569" w:rsidP="008E2F67">
            <w:pPr>
              <w:pStyle w:val="08-Tabelageral"/>
              <w:ind w:left="113"/>
              <w:jc w:val="left"/>
              <w:rPr>
                <w:b w:val="0"/>
              </w:rPr>
            </w:pPr>
            <w:r w:rsidRPr="001C7112">
              <w:rPr>
                <w:b w:val="0"/>
              </w:rPr>
              <w:t>Atualização monetária de dividendos</w:t>
            </w:r>
            <w:r>
              <w:rPr>
                <w:b w:val="0"/>
              </w:rPr>
              <w:t xml:space="preserve"> </w:t>
            </w:r>
            <w:r w:rsidRPr="00FF2D19">
              <w:rPr>
                <w:b w:val="0"/>
              </w:rPr>
              <w:t>e juros sobre</w:t>
            </w:r>
          </w:p>
          <w:p w14:paraId="6D95C97C" w14:textId="77777777" w:rsidR="00375569" w:rsidRPr="001C7112" w:rsidRDefault="00375569" w:rsidP="008E2F67">
            <w:pPr>
              <w:pStyle w:val="08-Tabelageral"/>
              <w:ind w:left="113"/>
              <w:jc w:val="left"/>
              <w:rPr>
                <w:b w:val="0"/>
              </w:rPr>
            </w:pPr>
            <w:r w:rsidRPr="00FF2D19">
              <w:rPr>
                <w:b w:val="0"/>
              </w:rPr>
              <w:t>capital próprio</w:t>
            </w:r>
            <w:r>
              <w:rPr>
                <w:b w:val="0"/>
              </w:rPr>
              <w:t xml:space="preserve">, </w:t>
            </w:r>
            <w:r w:rsidRPr="001C7112">
              <w:rPr>
                <w:b w:val="0"/>
              </w:rPr>
              <w:t>líquida</w:t>
            </w:r>
          </w:p>
        </w:tc>
        <w:tc>
          <w:tcPr>
            <w:tcW w:w="567" w:type="dxa"/>
            <w:tcBorders>
              <w:top w:val="nil"/>
              <w:bottom w:val="nil"/>
            </w:tcBorders>
            <w:shd w:val="clear" w:color="auto" w:fill="auto"/>
            <w:vAlign w:val="center"/>
          </w:tcPr>
          <w:p w14:paraId="265F9861"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3C657E4E" w14:textId="77777777" w:rsidR="00375569" w:rsidRPr="001C7112"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r w:rsidRPr="00343BCA">
              <w:rPr>
                <w:rFonts w:cs="Arial"/>
                <w:szCs w:val="14"/>
              </w:rPr>
              <w:t>311</w:t>
            </w:r>
            <w:r>
              <w:rPr>
                <w:rFonts w:cs="Arial"/>
                <w:szCs w:val="14"/>
              </w:rPr>
              <w:t>)</w:t>
            </w:r>
          </w:p>
        </w:tc>
        <w:tc>
          <w:tcPr>
            <w:tcW w:w="1196" w:type="dxa"/>
            <w:tcBorders>
              <w:top w:val="nil"/>
              <w:bottom w:val="nil"/>
            </w:tcBorders>
            <w:shd w:val="clear" w:color="auto" w:fill="auto"/>
            <w:vAlign w:val="center"/>
          </w:tcPr>
          <w:p w14:paraId="1CAB519A" w14:textId="77777777" w:rsidR="00375569" w:rsidRPr="001C7112"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r w:rsidRPr="00514BF1">
              <w:rPr>
                <w:rFonts w:cs="Arial"/>
                <w:szCs w:val="14"/>
              </w:rPr>
              <w:t>10.882</w:t>
            </w:r>
          </w:p>
        </w:tc>
        <w:tc>
          <w:tcPr>
            <w:tcW w:w="282" w:type="dxa"/>
            <w:tcBorders>
              <w:top w:val="nil"/>
              <w:bottom w:val="nil"/>
            </w:tcBorders>
            <w:shd w:val="clear" w:color="auto" w:fill="auto"/>
            <w:vAlign w:val="center"/>
          </w:tcPr>
          <w:p w14:paraId="73663D8F" w14:textId="77777777" w:rsidR="00375569" w:rsidRPr="001C7112"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34549521" w14:textId="77777777" w:rsidR="00375569" w:rsidRPr="001C7112"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343BCA">
              <w:rPr>
                <w:rFonts w:cs="Arial"/>
                <w:szCs w:val="14"/>
              </w:rPr>
              <w:t>2.623</w:t>
            </w:r>
          </w:p>
        </w:tc>
        <w:tc>
          <w:tcPr>
            <w:tcW w:w="1242" w:type="dxa"/>
            <w:tcBorders>
              <w:top w:val="nil"/>
              <w:bottom w:val="nil"/>
            </w:tcBorders>
            <w:shd w:val="clear" w:color="auto" w:fill="auto"/>
            <w:vAlign w:val="center"/>
          </w:tcPr>
          <w:p w14:paraId="2BE9E855" w14:textId="77777777" w:rsidR="00375569" w:rsidRPr="001C7112"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r w:rsidRPr="008A6E76">
              <w:t>24.871</w:t>
            </w:r>
          </w:p>
        </w:tc>
      </w:tr>
      <w:tr w:rsidR="00375569" w:rsidRPr="001C7112" w14:paraId="12BB8228"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20331E4" w14:textId="77777777" w:rsidR="00375569" w:rsidRPr="0082781C" w:rsidRDefault="00375569" w:rsidP="008E2F67">
            <w:pPr>
              <w:pStyle w:val="08-Tabelageral"/>
              <w:ind w:left="113"/>
              <w:jc w:val="left"/>
              <w:rPr>
                <w:b w:val="0"/>
              </w:rPr>
            </w:pPr>
            <w:r w:rsidRPr="003158D8">
              <w:rPr>
                <w:b w:val="0"/>
              </w:rPr>
              <w:t>Atualização monetária dos ativos financeiros ao custo amortizado</w:t>
            </w:r>
          </w:p>
        </w:tc>
        <w:tc>
          <w:tcPr>
            <w:tcW w:w="567" w:type="dxa"/>
            <w:tcBorders>
              <w:top w:val="nil"/>
              <w:bottom w:val="nil"/>
            </w:tcBorders>
            <w:shd w:val="clear" w:color="auto" w:fill="auto"/>
            <w:vAlign w:val="center"/>
          </w:tcPr>
          <w:p w14:paraId="4F9DAF93"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6F6579A3" w14:textId="77777777" w:rsidR="00375569" w:rsidRPr="001C7112"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96" w:type="dxa"/>
            <w:tcBorders>
              <w:top w:val="nil"/>
              <w:bottom w:val="nil"/>
            </w:tcBorders>
            <w:shd w:val="clear" w:color="auto" w:fill="auto"/>
            <w:vAlign w:val="center"/>
          </w:tcPr>
          <w:p w14:paraId="22F84DE4" w14:textId="77777777" w:rsidR="00375569" w:rsidRPr="007F6E05" w:rsidRDefault="00375569" w:rsidP="008E2F67">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2" w:type="dxa"/>
            <w:tcBorders>
              <w:top w:val="nil"/>
              <w:bottom w:val="nil"/>
            </w:tcBorders>
            <w:shd w:val="clear" w:color="auto" w:fill="auto"/>
            <w:vAlign w:val="center"/>
          </w:tcPr>
          <w:p w14:paraId="2AD0D80E" w14:textId="77777777" w:rsidR="00375569" w:rsidRPr="001C7112"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28FD5BB7" w14:textId="77777777" w:rsidR="00375569" w:rsidRPr="001C7112"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343BCA">
              <w:rPr>
                <w:rFonts w:cs="Arial"/>
                <w:szCs w:val="14"/>
              </w:rPr>
              <w:t>6</w:t>
            </w:r>
            <w:r>
              <w:rPr>
                <w:rFonts w:cs="Arial"/>
                <w:szCs w:val="14"/>
              </w:rPr>
              <w:t>.</w:t>
            </w:r>
            <w:r w:rsidRPr="00343BCA">
              <w:rPr>
                <w:rFonts w:cs="Arial"/>
                <w:szCs w:val="14"/>
              </w:rPr>
              <w:t>309</w:t>
            </w:r>
            <w:r>
              <w:rPr>
                <w:rFonts w:cs="Arial"/>
                <w:szCs w:val="14"/>
              </w:rPr>
              <w:t>)</w:t>
            </w:r>
          </w:p>
        </w:tc>
        <w:tc>
          <w:tcPr>
            <w:tcW w:w="1242" w:type="dxa"/>
            <w:tcBorders>
              <w:top w:val="nil"/>
              <w:bottom w:val="nil"/>
            </w:tcBorders>
            <w:shd w:val="clear" w:color="auto" w:fill="auto"/>
            <w:vAlign w:val="center"/>
          </w:tcPr>
          <w:p w14:paraId="1AB45206" w14:textId="77777777" w:rsidR="00375569" w:rsidRPr="007F6E05" w:rsidRDefault="00375569" w:rsidP="008E2F67">
            <w:pPr>
              <w:pStyle w:val="08-Tabelageral"/>
              <w:cnfStyle w:val="000000100000" w:firstRow="0" w:lastRow="0" w:firstColumn="0" w:lastColumn="0" w:oddVBand="0" w:evenVBand="0" w:oddHBand="1" w:evenHBand="0" w:firstRowFirstColumn="0" w:firstRowLastColumn="0" w:lastRowFirstColumn="0" w:lastRowLastColumn="0"/>
            </w:pPr>
            <w:r w:rsidRPr="008A6E76">
              <w:t>(18.377)</w:t>
            </w:r>
          </w:p>
        </w:tc>
      </w:tr>
      <w:tr w:rsidR="00375569" w:rsidRPr="001C7112" w14:paraId="0B1388CD" w14:textId="77777777" w:rsidTr="00087B7C">
        <w:trPr>
          <w:trHeight w:val="93"/>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3E7CE111" w14:textId="77777777" w:rsidR="00375569" w:rsidRPr="001C7112" w:rsidRDefault="00375569" w:rsidP="008E2F67">
            <w:pPr>
              <w:pStyle w:val="08-Tabelageral"/>
              <w:ind w:left="113"/>
              <w:jc w:val="left"/>
              <w:rPr>
                <w:b w:val="0"/>
              </w:rPr>
            </w:pPr>
            <w:r w:rsidRPr="001C7112">
              <w:rPr>
                <w:b w:val="0"/>
              </w:rPr>
              <w:t>Outros ajustes</w:t>
            </w:r>
          </w:p>
        </w:tc>
        <w:tc>
          <w:tcPr>
            <w:tcW w:w="567" w:type="dxa"/>
            <w:tcBorders>
              <w:top w:val="nil"/>
              <w:bottom w:val="nil"/>
            </w:tcBorders>
            <w:shd w:val="clear" w:color="auto" w:fill="auto"/>
            <w:vAlign w:val="center"/>
          </w:tcPr>
          <w:p w14:paraId="57D32D47"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5B7CF068" w14:textId="77777777" w:rsidR="00375569" w:rsidRPr="001C7112"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343BCA">
              <w:rPr>
                <w:rFonts w:cs="Arial"/>
                <w:szCs w:val="14"/>
              </w:rPr>
              <w:t>1.796</w:t>
            </w:r>
          </w:p>
        </w:tc>
        <w:tc>
          <w:tcPr>
            <w:tcW w:w="1196" w:type="dxa"/>
            <w:tcBorders>
              <w:top w:val="nil"/>
              <w:bottom w:val="nil"/>
            </w:tcBorders>
            <w:shd w:val="clear" w:color="auto" w:fill="auto"/>
            <w:vAlign w:val="center"/>
          </w:tcPr>
          <w:p w14:paraId="631FAA09" w14:textId="77777777" w:rsidR="00375569" w:rsidRPr="001C7112"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r w:rsidRPr="00514BF1">
              <w:rPr>
                <w:rFonts w:cs="Arial"/>
                <w:szCs w:val="14"/>
              </w:rPr>
              <w:t>2.09</w:t>
            </w:r>
            <w:r>
              <w:rPr>
                <w:rFonts w:cs="Arial"/>
                <w:szCs w:val="14"/>
              </w:rPr>
              <w:t>4</w:t>
            </w:r>
          </w:p>
        </w:tc>
        <w:tc>
          <w:tcPr>
            <w:tcW w:w="282" w:type="dxa"/>
            <w:tcBorders>
              <w:top w:val="nil"/>
              <w:bottom w:val="nil"/>
            </w:tcBorders>
            <w:shd w:val="clear" w:color="auto" w:fill="auto"/>
            <w:vAlign w:val="center"/>
          </w:tcPr>
          <w:p w14:paraId="50CAF675" w14:textId="77777777" w:rsidR="00375569" w:rsidRPr="001C7112"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155DC285" w14:textId="77777777" w:rsidR="00375569" w:rsidRPr="001C7112"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r w:rsidRPr="00343BCA">
              <w:rPr>
                <w:rFonts w:cs="Arial"/>
                <w:szCs w:val="14"/>
              </w:rPr>
              <w:t>572</w:t>
            </w:r>
            <w:r>
              <w:rPr>
                <w:rFonts w:cs="Arial"/>
                <w:szCs w:val="14"/>
              </w:rPr>
              <w:t>)</w:t>
            </w:r>
          </w:p>
        </w:tc>
        <w:tc>
          <w:tcPr>
            <w:tcW w:w="1242" w:type="dxa"/>
            <w:tcBorders>
              <w:top w:val="nil"/>
              <w:bottom w:val="nil"/>
            </w:tcBorders>
            <w:shd w:val="clear" w:color="auto" w:fill="auto"/>
            <w:vAlign w:val="center"/>
          </w:tcPr>
          <w:p w14:paraId="48FC1DE4" w14:textId="77777777" w:rsidR="00375569" w:rsidRPr="00073BA6"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r w:rsidRPr="008A6E76">
              <w:t>2.158</w:t>
            </w:r>
          </w:p>
        </w:tc>
      </w:tr>
      <w:tr w:rsidR="00375569" w:rsidRPr="009D5C7C" w14:paraId="7FE48EE9"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773D334" w14:textId="77777777" w:rsidR="00375569" w:rsidRPr="00AA4804" w:rsidRDefault="00375569" w:rsidP="00AA4804">
            <w:pPr>
              <w:pStyle w:val="08-Tabelageral"/>
              <w:ind w:left="113"/>
              <w:jc w:val="left"/>
              <w:rPr>
                <w:bCs w:val="0"/>
              </w:rPr>
            </w:pPr>
            <w:r w:rsidRPr="00AA4804">
              <w:rPr>
                <w:bCs w:val="0"/>
              </w:rPr>
              <w:t>Lucro Ajustado</w:t>
            </w:r>
          </w:p>
        </w:tc>
        <w:tc>
          <w:tcPr>
            <w:tcW w:w="567" w:type="dxa"/>
            <w:tcBorders>
              <w:top w:val="nil"/>
              <w:bottom w:val="nil"/>
            </w:tcBorders>
            <w:shd w:val="clear" w:color="auto" w:fill="auto"/>
            <w:vAlign w:val="center"/>
          </w:tcPr>
          <w:p w14:paraId="017A243F"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bottom w:val="nil"/>
            </w:tcBorders>
            <w:shd w:val="clear" w:color="auto" w:fill="auto"/>
            <w:vAlign w:val="center"/>
          </w:tcPr>
          <w:p w14:paraId="45CD3AC3" w14:textId="77777777" w:rsidR="00375569" w:rsidRPr="00CD3714"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43BCA">
              <w:rPr>
                <w:rFonts w:cs="Arial"/>
                <w:b/>
                <w:szCs w:val="14"/>
              </w:rPr>
              <w:t>11.109</w:t>
            </w:r>
          </w:p>
        </w:tc>
        <w:tc>
          <w:tcPr>
            <w:tcW w:w="1196" w:type="dxa"/>
            <w:tcBorders>
              <w:top w:val="nil"/>
              <w:bottom w:val="nil"/>
            </w:tcBorders>
            <w:shd w:val="clear" w:color="auto" w:fill="auto"/>
            <w:vAlign w:val="center"/>
          </w:tcPr>
          <w:p w14:paraId="6D541551" w14:textId="77777777" w:rsidR="00375569" w:rsidRPr="00412E33"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rPr>
            </w:pPr>
            <w:r w:rsidRPr="00514BF1">
              <w:rPr>
                <w:rFonts w:cs="Arial"/>
                <w:b/>
                <w:szCs w:val="14"/>
              </w:rPr>
              <w:t>30.36</w:t>
            </w:r>
            <w:r>
              <w:rPr>
                <w:rFonts w:cs="Arial"/>
                <w:b/>
                <w:szCs w:val="14"/>
              </w:rPr>
              <w:t>3</w:t>
            </w:r>
          </w:p>
        </w:tc>
        <w:tc>
          <w:tcPr>
            <w:tcW w:w="282" w:type="dxa"/>
            <w:tcBorders>
              <w:top w:val="nil"/>
              <w:bottom w:val="nil"/>
            </w:tcBorders>
            <w:shd w:val="clear" w:color="auto" w:fill="auto"/>
            <w:vAlign w:val="center"/>
          </w:tcPr>
          <w:p w14:paraId="4DC2BEDC" w14:textId="77777777" w:rsidR="00375569" w:rsidRPr="00412E33"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4" w:type="dxa"/>
            <w:tcBorders>
              <w:top w:val="nil"/>
              <w:bottom w:val="nil"/>
            </w:tcBorders>
            <w:shd w:val="clear" w:color="auto" w:fill="auto"/>
            <w:vAlign w:val="center"/>
          </w:tcPr>
          <w:p w14:paraId="4320D045" w14:textId="77777777" w:rsidR="00375569" w:rsidRPr="00CE57AB"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343BCA">
              <w:rPr>
                <w:rFonts w:cs="Arial"/>
                <w:b/>
                <w:bCs/>
                <w:szCs w:val="14"/>
              </w:rPr>
              <w:t>2.098.604</w:t>
            </w:r>
          </w:p>
        </w:tc>
        <w:tc>
          <w:tcPr>
            <w:tcW w:w="1242" w:type="dxa"/>
            <w:tcBorders>
              <w:top w:val="nil"/>
              <w:bottom w:val="nil"/>
            </w:tcBorders>
            <w:shd w:val="clear" w:color="auto" w:fill="auto"/>
            <w:vAlign w:val="center"/>
          </w:tcPr>
          <w:p w14:paraId="5CE2B271" w14:textId="77777777" w:rsidR="00375569" w:rsidRPr="009D5C7C"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r w:rsidRPr="008A6E76">
              <w:rPr>
                <w:b/>
                <w:bCs/>
              </w:rPr>
              <w:t>1.978.933</w:t>
            </w:r>
          </w:p>
        </w:tc>
      </w:tr>
      <w:tr w:rsidR="00375569" w:rsidRPr="00AA4804" w14:paraId="497A5DB1" w14:textId="77777777" w:rsidTr="002254DE">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E4B7621" w14:textId="77777777" w:rsidR="00375569" w:rsidRPr="00AA4804" w:rsidRDefault="00375569" w:rsidP="00AA4804">
            <w:pPr>
              <w:pStyle w:val="08-Tabelageral"/>
              <w:ind w:left="113"/>
              <w:jc w:val="left"/>
              <w:rPr>
                <w:bCs w:val="0"/>
              </w:rPr>
            </w:pPr>
            <w:bookmarkStart w:id="19" w:name="_Hlk75777435"/>
            <w:r w:rsidRPr="00AA4804">
              <w:rPr>
                <w:bCs w:val="0"/>
              </w:rPr>
              <w:t xml:space="preserve">Variações Patrimoniais: </w:t>
            </w:r>
          </w:p>
        </w:tc>
        <w:tc>
          <w:tcPr>
            <w:tcW w:w="567" w:type="dxa"/>
            <w:tcBorders>
              <w:top w:val="nil"/>
              <w:bottom w:val="nil"/>
            </w:tcBorders>
            <w:shd w:val="clear" w:color="auto" w:fill="auto"/>
            <w:vAlign w:val="center"/>
          </w:tcPr>
          <w:p w14:paraId="2FFFC900"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c>
          <w:tcPr>
            <w:tcW w:w="1181" w:type="dxa"/>
            <w:tcBorders>
              <w:top w:val="nil"/>
              <w:bottom w:val="nil"/>
            </w:tcBorders>
            <w:shd w:val="clear" w:color="auto" w:fill="auto"/>
            <w:vAlign w:val="center"/>
          </w:tcPr>
          <w:p w14:paraId="02CEC5F8"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c>
          <w:tcPr>
            <w:tcW w:w="1196" w:type="dxa"/>
            <w:tcBorders>
              <w:top w:val="nil"/>
              <w:bottom w:val="nil"/>
            </w:tcBorders>
            <w:shd w:val="clear" w:color="auto" w:fill="auto"/>
            <w:vAlign w:val="center"/>
          </w:tcPr>
          <w:p w14:paraId="518D5AB6"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c>
          <w:tcPr>
            <w:tcW w:w="282" w:type="dxa"/>
            <w:tcBorders>
              <w:top w:val="nil"/>
              <w:bottom w:val="nil"/>
            </w:tcBorders>
            <w:shd w:val="clear" w:color="auto" w:fill="auto"/>
            <w:vAlign w:val="center"/>
          </w:tcPr>
          <w:p w14:paraId="36DDEAFC"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c>
          <w:tcPr>
            <w:tcW w:w="1244" w:type="dxa"/>
            <w:tcBorders>
              <w:top w:val="nil"/>
              <w:bottom w:val="nil"/>
            </w:tcBorders>
            <w:shd w:val="clear" w:color="auto" w:fill="auto"/>
            <w:vAlign w:val="center"/>
          </w:tcPr>
          <w:p w14:paraId="7A8CA17B"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c>
          <w:tcPr>
            <w:tcW w:w="1242" w:type="dxa"/>
            <w:tcBorders>
              <w:top w:val="nil"/>
              <w:bottom w:val="nil"/>
            </w:tcBorders>
            <w:shd w:val="clear" w:color="auto" w:fill="auto"/>
            <w:vAlign w:val="center"/>
          </w:tcPr>
          <w:p w14:paraId="001BE705" w14:textId="77777777" w:rsidR="00375569" w:rsidRPr="00AA4804" w:rsidRDefault="00375569" w:rsidP="00AA4804">
            <w:pPr>
              <w:pStyle w:val="08-Tabelageral"/>
              <w:ind w:left="113"/>
              <w:jc w:val="left"/>
              <w:cnfStyle w:val="000000000000" w:firstRow="0" w:lastRow="0" w:firstColumn="0" w:lastColumn="0" w:oddVBand="0" w:evenVBand="0" w:oddHBand="0" w:evenHBand="0" w:firstRowFirstColumn="0" w:firstRowLastColumn="0" w:lastRowFirstColumn="0" w:lastRowLastColumn="0"/>
              <w:rPr>
                <w:bCs/>
              </w:rPr>
            </w:pPr>
          </w:p>
        </w:tc>
      </w:tr>
      <w:bookmarkEnd w:id="19"/>
      <w:tr w:rsidR="00375569" w:rsidRPr="000E70DE" w14:paraId="54228834"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66935F3" w14:textId="77777777" w:rsidR="00375569" w:rsidRPr="000E70DE" w:rsidRDefault="00375569" w:rsidP="008E2F67">
            <w:pPr>
              <w:pStyle w:val="08-Tabelageral"/>
              <w:ind w:left="113"/>
              <w:jc w:val="left"/>
              <w:rPr>
                <w:b w:val="0"/>
              </w:rPr>
            </w:pPr>
            <w:r w:rsidRPr="000E70DE">
              <w:rPr>
                <w:b w:val="0"/>
              </w:rPr>
              <w:t>Ativos financeiros mensurados ao valor justo por meio do resultado</w:t>
            </w:r>
          </w:p>
        </w:tc>
        <w:tc>
          <w:tcPr>
            <w:tcW w:w="567" w:type="dxa"/>
            <w:tcBorders>
              <w:top w:val="nil"/>
              <w:bottom w:val="nil"/>
            </w:tcBorders>
            <w:shd w:val="clear" w:color="auto" w:fill="auto"/>
            <w:vAlign w:val="center"/>
          </w:tcPr>
          <w:p w14:paraId="3D47B406"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02D210B1"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10.063</w:t>
            </w:r>
            <w:r>
              <w:t>)</w:t>
            </w:r>
          </w:p>
        </w:tc>
        <w:tc>
          <w:tcPr>
            <w:tcW w:w="1196" w:type="dxa"/>
            <w:tcBorders>
              <w:top w:val="nil"/>
              <w:bottom w:val="nil"/>
            </w:tcBorders>
            <w:shd w:val="clear" w:color="auto" w:fill="auto"/>
            <w:vAlign w:val="center"/>
          </w:tcPr>
          <w:p w14:paraId="4FD706DB"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514BF1">
              <w:t>(535)</w:t>
            </w:r>
          </w:p>
        </w:tc>
        <w:tc>
          <w:tcPr>
            <w:tcW w:w="282" w:type="dxa"/>
            <w:tcBorders>
              <w:top w:val="nil"/>
              <w:bottom w:val="nil"/>
            </w:tcBorders>
            <w:shd w:val="clear" w:color="auto" w:fill="auto"/>
            <w:vAlign w:val="center"/>
          </w:tcPr>
          <w:p w14:paraId="072ECE04"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29A21A64"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9E5902">
              <w:t>9.025</w:t>
            </w:r>
            <w:r>
              <w:t>)</w:t>
            </w:r>
          </w:p>
        </w:tc>
        <w:tc>
          <w:tcPr>
            <w:tcW w:w="1242" w:type="dxa"/>
            <w:tcBorders>
              <w:top w:val="nil"/>
              <w:bottom w:val="nil"/>
            </w:tcBorders>
            <w:shd w:val="clear" w:color="auto" w:fill="auto"/>
            <w:vAlign w:val="center"/>
          </w:tcPr>
          <w:p w14:paraId="4ADB24E0"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2813DC">
              <w:t xml:space="preserve"> 455.161 </w:t>
            </w:r>
          </w:p>
        </w:tc>
      </w:tr>
      <w:tr w:rsidR="00375569" w:rsidRPr="000E70DE" w14:paraId="1E4D9968"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4BD02322" w14:textId="77777777" w:rsidR="00375569" w:rsidRPr="000E70DE" w:rsidRDefault="00375569" w:rsidP="008E2F67">
            <w:pPr>
              <w:pStyle w:val="08-Tabelageral"/>
              <w:ind w:left="113"/>
              <w:jc w:val="left"/>
              <w:rPr>
                <w:b w:val="0"/>
              </w:rPr>
            </w:pPr>
            <w:r w:rsidRPr="000E70DE">
              <w:rPr>
                <w:b w:val="0"/>
              </w:rPr>
              <w:t>Ativos por impostos correntes e diferidos</w:t>
            </w:r>
          </w:p>
        </w:tc>
        <w:tc>
          <w:tcPr>
            <w:tcW w:w="567" w:type="dxa"/>
            <w:tcBorders>
              <w:top w:val="nil"/>
              <w:bottom w:val="nil"/>
            </w:tcBorders>
            <w:shd w:val="clear" w:color="auto" w:fill="auto"/>
            <w:vAlign w:val="center"/>
          </w:tcPr>
          <w:p w14:paraId="0AE0ACF1"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68574801"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54122B">
              <w:t>16.190</w:t>
            </w:r>
          </w:p>
        </w:tc>
        <w:tc>
          <w:tcPr>
            <w:tcW w:w="1196" w:type="dxa"/>
            <w:tcBorders>
              <w:top w:val="nil"/>
              <w:bottom w:val="nil"/>
            </w:tcBorders>
            <w:shd w:val="clear" w:color="auto" w:fill="auto"/>
            <w:vAlign w:val="center"/>
          </w:tcPr>
          <w:p w14:paraId="77723FE0"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514BF1">
              <w:t>(26.954)</w:t>
            </w:r>
          </w:p>
        </w:tc>
        <w:tc>
          <w:tcPr>
            <w:tcW w:w="282" w:type="dxa"/>
            <w:tcBorders>
              <w:top w:val="nil"/>
              <w:bottom w:val="nil"/>
            </w:tcBorders>
            <w:shd w:val="clear" w:color="auto" w:fill="auto"/>
            <w:vAlign w:val="center"/>
          </w:tcPr>
          <w:p w14:paraId="75097BB1"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07DB374E"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9E5902">
              <w:t>10.725</w:t>
            </w:r>
          </w:p>
        </w:tc>
        <w:tc>
          <w:tcPr>
            <w:tcW w:w="1242" w:type="dxa"/>
            <w:tcBorders>
              <w:top w:val="nil"/>
              <w:bottom w:val="nil"/>
            </w:tcBorders>
            <w:shd w:val="clear" w:color="auto" w:fill="auto"/>
            <w:vAlign w:val="center"/>
          </w:tcPr>
          <w:p w14:paraId="7FE56481"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2813DC">
              <w:t xml:space="preserve"> (42.467)</w:t>
            </w:r>
          </w:p>
        </w:tc>
      </w:tr>
      <w:tr w:rsidR="00375569" w:rsidRPr="000E70DE" w14:paraId="79FF981A"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202FE07" w14:textId="77777777" w:rsidR="00375569" w:rsidRPr="000E70DE" w:rsidRDefault="00375569" w:rsidP="008E2F67">
            <w:pPr>
              <w:pStyle w:val="08-Tabelageral"/>
              <w:ind w:left="113"/>
              <w:jc w:val="left"/>
              <w:rPr>
                <w:b w:val="0"/>
              </w:rPr>
            </w:pPr>
            <w:r w:rsidRPr="000E70DE">
              <w:rPr>
                <w:b w:val="0"/>
              </w:rPr>
              <w:t>Comissões a receber</w:t>
            </w:r>
          </w:p>
        </w:tc>
        <w:tc>
          <w:tcPr>
            <w:tcW w:w="567" w:type="dxa"/>
            <w:tcBorders>
              <w:top w:val="nil"/>
              <w:bottom w:val="nil"/>
            </w:tcBorders>
            <w:shd w:val="clear" w:color="auto" w:fill="auto"/>
            <w:vAlign w:val="center"/>
          </w:tcPr>
          <w:p w14:paraId="67D824D0"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6A092A55"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w:t>
            </w:r>
          </w:p>
        </w:tc>
        <w:tc>
          <w:tcPr>
            <w:tcW w:w="1196" w:type="dxa"/>
            <w:tcBorders>
              <w:top w:val="nil"/>
              <w:bottom w:val="nil"/>
            </w:tcBorders>
            <w:shd w:val="clear" w:color="auto" w:fill="auto"/>
            <w:vAlign w:val="center"/>
          </w:tcPr>
          <w:p w14:paraId="7CA9F8DC"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2" w:type="dxa"/>
            <w:tcBorders>
              <w:top w:val="nil"/>
              <w:bottom w:val="nil"/>
            </w:tcBorders>
            <w:shd w:val="clear" w:color="auto" w:fill="auto"/>
            <w:vAlign w:val="center"/>
          </w:tcPr>
          <w:p w14:paraId="1FBD0509"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31770083"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9E5902">
              <w:t>92.485</w:t>
            </w:r>
          </w:p>
        </w:tc>
        <w:tc>
          <w:tcPr>
            <w:tcW w:w="1242" w:type="dxa"/>
            <w:tcBorders>
              <w:top w:val="nil"/>
              <w:bottom w:val="nil"/>
            </w:tcBorders>
            <w:shd w:val="clear" w:color="auto" w:fill="auto"/>
            <w:vAlign w:val="center"/>
          </w:tcPr>
          <w:p w14:paraId="3D5B7E0D"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2813DC">
              <w:t xml:space="preserve"> (476.763)</w:t>
            </w:r>
          </w:p>
        </w:tc>
      </w:tr>
      <w:tr w:rsidR="00375569" w:rsidRPr="000E70DE" w14:paraId="3A59DE07"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5D7B266A" w14:textId="77777777" w:rsidR="00375569" w:rsidRPr="000E70DE" w:rsidRDefault="00375569" w:rsidP="008E2F67">
            <w:pPr>
              <w:pStyle w:val="08-Tabelageral"/>
              <w:ind w:left="113"/>
              <w:jc w:val="left"/>
              <w:rPr>
                <w:b w:val="0"/>
              </w:rPr>
            </w:pPr>
            <w:r w:rsidRPr="000E70DE">
              <w:rPr>
                <w:b w:val="0"/>
              </w:rPr>
              <w:t>Outros ativos</w:t>
            </w:r>
          </w:p>
        </w:tc>
        <w:tc>
          <w:tcPr>
            <w:tcW w:w="567" w:type="dxa"/>
            <w:tcBorders>
              <w:top w:val="nil"/>
              <w:bottom w:val="nil"/>
            </w:tcBorders>
            <w:shd w:val="clear" w:color="auto" w:fill="auto"/>
            <w:vAlign w:val="center"/>
          </w:tcPr>
          <w:p w14:paraId="587D8BD8"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636AC76A"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1F57DD">
              <w:t>2.536</w:t>
            </w:r>
            <w:r>
              <w:t>)</w:t>
            </w:r>
          </w:p>
        </w:tc>
        <w:tc>
          <w:tcPr>
            <w:tcW w:w="1196" w:type="dxa"/>
            <w:tcBorders>
              <w:top w:val="nil"/>
              <w:bottom w:val="nil"/>
            </w:tcBorders>
            <w:shd w:val="clear" w:color="auto" w:fill="auto"/>
            <w:vAlign w:val="center"/>
          </w:tcPr>
          <w:p w14:paraId="12712792"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514BF1">
              <w:t>(1.31</w:t>
            </w:r>
            <w:r>
              <w:t>4</w:t>
            </w:r>
            <w:r w:rsidRPr="00514BF1">
              <w:t>)</w:t>
            </w:r>
          </w:p>
        </w:tc>
        <w:tc>
          <w:tcPr>
            <w:tcW w:w="282" w:type="dxa"/>
            <w:tcBorders>
              <w:top w:val="nil"/>
              <w:bottom w:val="nil"/>
            </w:tcBorders>
            <w:shd w:val="clear" w:color="auto" w:fill="auto"/>
            <w:vAlign w:val="center"/>
          </w:tcPr>
          <w:p w14:paraId="1A07BB65"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35ACE3BD"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9E5902">
              <w:t>8.522</w:t>
            </w:r>
            <w:r>
              <w:t>)</w:t>
            </w:r>
          </w:p>
        </w:tc>
        <w:tc>
          <w:tcPr>
            <w:tcW w:w="1242" w:type="dxa"/>
            <w:tcBorders>
              <w:top w:val="nil"/>
              <w:bottom w:val="nil"/>
            </w:tcBorders>
            <w:shd w:val="clear" w:color="auto" w:fill="auto"/>
            <w:vAlign w:val="center"/>
          </w:tcPr>
          <w:p w14:paraId="44A99F87"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2813DC">
              <w:t xml:space="preserve"> (5.028)</w:t>
            </w:r>
          </w:p>
        </w:tc>
      </w:tr>
      <w:tr w:rsidR="00375569" w:rsidRPr="00073BA6" w14:paraId="2805D4FB"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4A7802C" w14:textId="77777777" w:rsidR="00375569" w:rsidRPr="000E70DE" w:rsidRDefault="00375569" w:rsidP="008E2F67">
            <w:pPr>
              <w:pStyle w:val="08-Tabelageral"/>
              <w:ind w:left="113"/>
              <w:jc w:val="left"/>
              <w:rPr>
                <w:b w:val="0"/>
              </w:rPr>
            </w:pPr>
            <w:r w:rsidRPr="000E70DE">
              <w:rPr>
                <w:b w:val="0"/>
              </w:rPr>
              <w:t>Comissões a apropriar</w:t>
            </w:r>
          </w:p>
        </w:tc>
        <w:tc>
          <w:tcPr>
            <w:tcW w:w="567" w:type="dxa"/>
            <w:tcBorders>
              <w:top w:val="nil"/>
              <w:bottom w:val="nil"/>
            </w:tcBorders>
            <w:shd w:val="clear" w:color="auto" w:fill="auto"/>
            <w:vAlign w:val="center"/>
          </w:tcPr>
          <w:p w14:paraId="48ECD25A"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404EB3A4"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96" w:type="dxa"/>
            <w:tcBorders>
              <w:top w:val="nil"/>
              <w:bottom w:val="nil"/>
            </w:tcBorders>
            <w:shd w:val="clear" w:color="auto" w:fill="auto"/>
            <w:vAlign w:val="center"/>
          </w:tcPr>
          <w:p w14:paraId="264E7877"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2" w:type="dxa"/>
            <w:tcBorders>
              <w:top w:val="nil"/>
              <w:bottom w:val="nil"/>
            </w:tcBorders>
            <w:shd w:val="clear" w:color="auto" w:fill="auto"/>
            <w:vAlign w:val="center"/>
          </w:tcPr>
          <w:p w14:paraId="2B703790"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0B1049FC" w14:textId="77777777" w:rsidR="00375569" w:rsidRPr="00073BA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9E5902">
              <w:t>422.419</w:t>
            </w:r>
          </w:p>
        </w:tc>
        <w:tc>
          <w:tcPr>
            <w:tcW w:w="1242" w:type="dxa"/>
            <w:tcBorders>
              <w:top w:val="nil"/>
              <w:bottom w:val="nil"/>
            </w:tcBorders>
            <w:shd w:val="clear" w:color="auto" w:fill="auto"/>
            <w:vAlign w:val="center"/>
          </w:tcPr>
          <w:p w14:paraId="0AF304A5" w14:textId="77777777" w:rsidR="00375569" w:rsidRPr="00073BA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2813DC">
              <w:t xml:space="preserve"> 324.596 </w:t>
            </w:r>
          </w:p>
        </w:tc>
      </w:tr>
      <w:tr w:rsidR="00375569" w:rsidRPr="00073BA6" w14:paraId="09C81490"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2C86D04" w14:textId="77777777" w:rsidR="00375569" w:rsidRPr="000E70DE" w:rsidRDefault="00375569" w:rsidP="008E2F67">
            <w:pPr>
              <w:pStyle w:val="08-Tabelageral"/>
              <w:ind w:left="113"/>
              <w:jc w:val="left"/>
              <w:rPr>
                <w:b w:val="0"/>
              </w:rPr>
            </w:pPr>
            <w:r w:rsidRPr="000E70DE">
              <w:rPr>
                <w:b w:val="0"/>
              </w:rPr>
              <w:t>Passivos por impostos correntes e diferidos</w:t>
            </w:r>
          </w:p>
        </w:tc>
        <w:tc>
          <w:tcPr>
            <w:tcW w:w="567" w:type="dxa"/>
            <w:tcBorders>
              <w:top w:val="nil"/>
              <w:bottom w:val="nil"/>
            </w:tcBorders>
            <w:shd w:val="clear" w:color="auto" w:fill="auto"/>
            <w:vAlign w:val="center"/>
          </w:tcPr>
          <w:p w14:paraId="5E0ADF09"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621B3908"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1F57DD">
              <w:t>362</w:t>
            </w:r>
          </w:p>
        </w:tc>
        <w:tc>
          <w:tcPr>
            <w:tcW w:w="1196" w:type="dxa"/>
            <w:tcBorders>
              <w:top w:val="nil"/>
              <w:bottom w:val="nil"/>
            </w:tcBorders>
            <w:shd w:val="clear" w:color="auto" w:fill="auto"/>
            <w:vAlign w:val="center"/>
          </w:tcPr>
          <w:p w14:paraId="4967D3CE"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514BF1">
              <w:t>(899)</w:t>
            </w:r>
          </w:p>
        </w:tc>
        <w:tc>
          <w:tcPr>
            <w:tcW w:w="282" w:type="dxa"/>
            <w:tcBorders>
              <w:top w:val="nil"/>
              <w:bottom w:val="nil"/>
            </w:tcBorders>
            <w:shd w:val="clear" w:color="auto" w:fill="auto"/>
            <w:vAlign w:val="center"/>
          </w:tcPr>
          <w:p w14:paraId="2F354EE4" w14:textId="77777777" w:rsidR="00375569" w:rsidRPr="000E70DE"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2B205E7D" w14:textId="77777777" w:rsidR="00375569" w:rsidRPr="00073BA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9E5902">
              <w:t>79.569</w:t>
            </w:r>
          </w:p>
        </w:tc>
        <w:tc>
          <w:tcPr>
            <w:tcW w:w="1242" w:type="dxa"/>
            <w:tcBorders>
              <w:top w:val="nil"/>
              <w:bottom w:val="nil"/>
            </w:tcBorders>
            <w:shd w:val="clear" w:color="auto" w:fill="auto"/>
            <w:vAlign w:val="center"/>
          </w:tcPr>
          <w:p w14:paraId="13D5BD33" w14:textId="77777777" w:rsidR="00375569" w:rsidRPr="00073BA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2813DC">
              <w:t xml:space="preserve"> 26.814 </w:t>
            </w:r>
          </w:p>
        </w:tc>
      </w:tr>
      <w:tr w:rsidR="00375569" w:rsidRPr="00073BA6" w14:paraId="24BB875D"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5BC99348" w14:textId="77777777" w:rsidR="00375569" w:rsidRPr="000E70DE" w:rsidRDefault="00375569" w:rsidP="008E2F67">
            <w:pPr>
              <w:pStyle w:val="08-Tabelageral"/>
              <w:ind w:left="113"/>
              <w:jc w:val="left"/>
              <w:rPr>
                <w:b w:val="0"/>
              </w:rPr>
            </w:pPr>
            <w:r w:rsidRPr="000E70DE">
              <w:rPr>
                <w:b w:val="0"/>
              </w:rPr>
              <w:t>Outros passivos</w:t>
            </w:r>
          </w:p>
        </w:tc>
        <w:tc>
          <w:tcPr>
            <w:tcW w:w="567" w:type="dxa"/>
            <w:tcBorders>
              <w:top w:val="nil"/>
              <w:bottom w:val="nil"/>
            </w:tcBorders>
            <w:shd w:val="clear" w:color="auto" w:fill="auto"/>
            <w:vAlign w:val="center"/>
          </w:tcPr>
          <w:p w14:paraId="5F24091F"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047ECD8C"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2.236</w:t>
            </w:r>
          </w:p>
        </w:tc>
        <w:tc>
          <w:tcPr>
            <w:tcW w:w="1196" w:type="dxa"/>
            <w:tcBorders>
              <w:top w:val="nil"/>
              <w:bottom w:val="nil"/>
            </w:tcBorders>
            <w:shd w:val="clear" w:color="auto" w:fill="auto"/>
            <w:vAlign w:val="center"/>
          </w:tcPr>
          <w:p w14:paraId="0FA01AD3"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514BF1">
              <w:t>36</w:t>
            </w:r>
            <w:r>
              <w:t>5</w:t>
            </w:r>
          </w:p>
        </w:tc>
        <w:tc>
          <w:tcPr>
            <w:tcW w:w="282" w:type="dxa"/>
            <w:tcBorders>
              <w:top w:val="nil"/>
              <w:bottom w:val="nil"/>
            </w:tcBorders>
            <w:shd w:val="clear" w:color="auto" w:fill="auto"/>
            <w:vAlign w:val="center"/>
          </w:tcPr>
          <w:p w14:paraId="0C31D584"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6ED8D9A7" w14:textId="77777777" w:rsidR="00375569" w:rsidRPr="000E70DE"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9E5902">
              <w:t>139.500</w:t>
            </w:r>
          </w:p>
        </w:tc>
        <w:tc>
          <w:tcPr>
            <w:tcW w:w="1242" w:type="dxa"/>
            <w:tcBorders>
              <w:top w:val="nil"/>
              <w:bottom w:val="nil"/>
            </w:tcBorders>
            <w:shd w:val="clear" w:color="auto" w:fill="auto"/>
            <w:vAlign w:val="center"/>
          </w:tcPr>
          <w:p w14:paraId="1022DE6C" w14:textId="77777777" w:rsidR="00375569" w:rsidRPr="00073BA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2813DC">
              <w:t xml:space="preserve"> 23.447 </w:t>
            </w:r>
          </w:p>
        </w:tc>
      </w:tr>
      <w:tr w:rsidR="00375569" w:rsidRPr="00073BA6" w14:paraId="2B54D544"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4944C21E" w14:textId="77777777" w:rsidR="00375569" w:rsidRPr="005317E6" w:rsidRDefault="00375569" w:rsidP="008E2F67">
            <w:pPr>
              <w:pStyle w:val="08-Tabelageral"/>
              <w:jc w:val="left"/>
              <w:rPr>
                <w:b w:val="0"/>
              </w:rPr>
            </w:pPr>
            <w:r w:rsidRPr="00D015E4">
              <w:t>Caixa Gerado</w:t>
            </w:r>
            <w:r>
              <w:t xml:space="preserve"> Pelas</w:t>
            </w:r>
            <w:proofErr w:type="gramStart"/>
            <w:r w:rsidRPr="00D015E4">
              <w:t>/(</w:t>
            </w:r>
            <w:proofErr w:type="gramEnd"/>
            <w:r w:rsidRPr="00D015E4">
              <w:t>Consumido</w:t>
            </w:r>
            <w:r>
              <w:t xml:space="preserve"> Nas)</w:t>
            </w:r>
            <w:r w:rsidRPr="00D015E4">
              <w:t xml:space="preserve"> Atividades Operacionais</w:t>
            </w:r>
          </w:p>
        </w:tc>
        <w:tc>
          <w:tcPr>
            <w:tcW w:w="567" w:type="dxa"/>
            <w:tcBorders>
              <w:top w:val="nil"/>
              <w:bottom w:val="nil"/>
            </w:tcBorders>
            <w:shd w:val="clear" w:color="auto" w:fill="auto"/>
            <w:vAlign w:val="center"/>
          </w:tcPr>
          <w:p w14:paraId="6DD7CFBD"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0B497382" w14:textId="77777777" w:rsidR="00375569" w:rsidRPr="008A41F6"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1F57DD">
              <w:rPr>
                <w:rFonts w:cs="Arial"/>
                <w:b/>
                <w:szCs w:val="14"/>
              </w:rPr>
              <w:t>17.298</w:t>
            </w:r>
          </w:p>
        </w:tc>
        <w:tc>
          <w:tcPr>
            <w:tcW w:w="1196" w:type="dxa"/>
            <w:tcBorders>
              <w:top w:val="nil"/>
              <w:bottom w:val="nil"/>
            </w:tcBorders>
            <w:shd w:val="clear" w:color="auto" w:fill="auto"/>
            <w:vAlign w:val="center"/>
          </w:tcPr>
          <w:p w14:paraId="1BE100CB"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
                <w:bCs/>
              </w:rPr>
            </w:pPr>
            <w:r w:rsidRPr="00514BF1">
              <w:rPr>
                <w:rFonts w:cs="Arial"/>
                <w:b/>
                <w:szCs w:val="14"/>
              </w:rPr>
              <w:t>1.026</w:t>
            </w:r>
          </w:p>
        </w:tc>
        <w:tc>
          <w:tcPr>
            <w:tcW w:w="282" w:type="dxa"/>
            <w:tcBorders>
              <w:top w:val="nil"/>
              <w:bottom w:val="nil"/>
            </w:tcBorders>
            <w:shd w:val="clear" w:color="auto" w:fill="auto"/>
            <w:vAlign w:val="center"/>
          </w:tcPr>
          <w:p w14:paraId="21E838ED"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44" w:type="dxa"/>
            <w:tcBorders>
              <w:top w:val="nil"/>
              <w:bottom w:val="nil"/>
            </w:tcBorders>
            <w:shd w:val="clear" w:color="auto" w:fill="auto"/>
            <w:vAlign w:val="center"/>
          </w:tcPr>
          <w:p w14:paraId="64DC9305" w14:textId="77777777" w:rsidR="00375569" w:rsidRPr="006F632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9E5902">
              <w:rPr>
                <w:rFonts w:cs="Arial"/>
                <w:b/>
                <w:szCs w:val="14"/>
              </w:rPr>
              <w:t>2.825.755</w:t>
            </w:r>
          </w:p>
        </w:tc>
        <w:tc>
          <w:tcPr>
            <w:tcW w:w="1242" w:type="dxa"/>
            <w:tcBorders>
              <w:top w:val="nil"/>
              <w:bottom w:val="nil"/>
            </w:tcBorders>
            <w:shd w:val="clear" w:color="auto" w:fill="auto"/>
            <w:vAlign w:val="center"/>
          </w:tcPr>
          <w:p w14:paraId="7D01061F"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
                <w:bCs/>
              </w:rPr>
            </w:pPr>
            <w:r w:rsidRPr="0008697A">
              <w:rPr>
                <w:rFonts w:cs="Arial"/>
                <w:b/>
                <w:szCs w:val="14"/>
              </w:rPr>
              <w:t>2.284.693</w:t>
            </w:r>
          </w:p>
        </w:tc>
      </w:tr>
      <w:tr w:rsidR="00375569" w:rsidRPr="001D6BE8" w14:paraId="5961BF84" w14:textId="77777777" w:rsidTr="002254D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0864ADF" w14:textId="77777777" w:rsidR="00375569" w:rsidRPr="0038031F" w:rsidRDefault="00375569" w:rsidP="0041000C">
            <w:pPr>
              <w:pStyle w:val="08-Tabelageral"/>
              <w:ind w:left="113"/>
              <w:jc w:val="left"/>
              <w:rPr>
                <w:b w:val="0"/>
              </w:rPr>
            </w:pPr>
          </w:p>
        </w:tc>
        <w:tc>
          <w:tcPr>
            <w:tcW w:w="567" w:type="dxa"/>
            <w:tcBorders>
              <w:top w:val="nil"/>
              <w:bottom w:val="nil"/>
            </w:tcBorders>
            <w:shd w:val="clear" w:color="auto" w:fill="auto"/>
            <w:vAlign w:val="center"/>
          </w:tcPr>
          <w:p w14:paraId="6AF33D8D" w14:textId="77777777" w:rsidR="00375569" w:rsidRPr="00E0461B" w:rsidRDefault="00375569" w:rsidP="0041000C">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108D43D6" w14:textId="77777777" w:rsidR="00375569" w:rsidRPr="00350BA7" w:rsidRDefault="00375569" w:rsidP="0041000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167014BA" w14:textId="77777777" w:rsidR="00375569" w:rsidRPr="00CF4B29" w:rsidRDefault="00375569" w:rsidP="0041000C">
            <w:pPr>
              <w:pStyle w:val="08-Tabelageral"/>
              <w:cnfStyle w:val="000000100000" w:firstRow="0" w:lastRow="0" w:firstColumn="0" w:lastColumn="0" w:oddVBand="0" w:evenVBand="0" w:oddHBand="1" w:evenHBand="0" w:firstRowFirstColumn="0" w:firstRowLastColumn="0" w:lastRowFirstColumn="0" w:lastRowLastColumn="0"/>
            </w:pPr>
          </w:p>
        </w:tc>
        <w:tc>
          <w:tcPr>
            <w:tcW w:w="282" w:type="dxa"/>
            <w:tcBorders>
              <w:top w:val="nil"/>
              <w:bottom w:val="nil"/>
            </w:tcBorders>
            <w:shd w:val="clear" w:color="auto" w:fill="auto"/>
            <w:vAlign w:val="center"/>
          </w:tcPr>
          <w:p w14:paraId="64D7EEF2" w14:textId="77777777" w:rsidR="00375569" w:rsidRPr="00350BA7" w:rsidRDefault="00375569" w:rsidP="0041000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4AF6AFC7" w14:textId="77777777" w:rsidR="00375569" w:rsidRPr="00350BA7" w:rsidRDefault="00375569" w:rsidP="0041000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74C2346A" w14:textId="77777777" w:rsidR="00375569" w:rsidRPr="00CF4B29" w:rsidRDefault="00375569" w:rsidP="0041000C">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1D6BE8" w14:paraId="6BB1CD37"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15FD1248" w14:textId="77777777" w:rsidR="00375569" w:rsidRPr="005317E6" w:rsidRDefault="00375569" w:rsidP="008E2F67">
            <w:pPr>
              <w:pStyle w:val="08-Tabelageral"/>
              <w:jc w:val="left"/>
              <w:rPr>
                <w:b w:val="0"/>
              </w:rPr>
            </w:pPr>
            <w:bookmarkStart w:id="20" w:name="_Hlk75777464"/>
            <w:r w:rsidRPr="005317E6">
              <w:t xml:space="preserve">Fluxos </w:t>
            </w:r>
            <w:r>
              <w:t>De Caixa Provenientes das Atividades d</w:t>
            </w:r>
            <w:r w:rsidRPr="005317E6">
              <w:t>e Investimento</w:t>
            </w:r>
          </w:p>
        </w:tc>
        <w:tc>
          <w:tcPr>
            <w:tcW w:w="567" w:type="dxa"/>
            <w:tcBorders>
              <w:top w:val="nil"/>
              <w:bottom w:val="nil"/>
            </w:tcBorders>
            <w:shd w:val="clear" w:color="auto" w:fill="auto"/>
            <w:vAlign w:val="center"/>
          </w:tcPr>
          <w:p w14:paraId="28B31A24"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79FEA394" w14:textId="77777777" w:rsidR="00375569" w:rsidRPr="00350BA7"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38D65010" w14:textId="77777777" w:rsidR="00375569" w:rsidRPr="00010EFA"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282" w:type="dxa"/>
            <w:tcBorders>
              <w:top w:val="nil"/>
              <w:bottom w:val="nil"/>
            </w:tcBorders>
            <w:shd w:val="clear" w:color="auto" w:fill="auto"/>
            <w:vAlign w:val="center"/>
          </w:tcPr>
          <w:p w14:paraId="10CA53DA" w14:textId="77777777" w:rsidR="00375569" w:rsidRPr="00010EFA"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3CFF8419" w14:textId="77777777" w:rsidR="00375569" w:rsidRPr="00010EFA"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317B8BE0" w14:textId="77777777" w:rsidR="00375569" w:rsidRPr="00010EFA"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p>
        </w:tc>
      </w:tr>
      <w:bookmarkEnd w:id="20"/>
      <w:tr w:rsidR="00375569" w:rsidRPr="00215D82" w14:paraId="0354B549"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1F1AA3B4" w14:textId="77777777" w:rsidR="00375569" w:rsidRPr="00215D82" w:rsidRDefault="00375569" w:rsidP="008E2F67">
            <w:pPr>
              <w:pStyle w:val="08-Tabelageral"/>
              <w:ind w:left="113"/>
              <w:jc w:val="left"/>
              <w:rPr>
                <w:b w:val="0"/>
              </w:rPr>
            </w:pPr>
            <w:r w:rsidRPr="00083F7F">
              <w:rPr>
                <w:b w:val="0"/>
              </w:rPr>
              <w:t>Aplicações em ativos financeiros mensurados ao custo amortizado</w:t>
            </w:r>
          </w:p>
        </w:tc>
        <w:tc>
          <w:tcPr>
            <w:tcW w:w="567" w:type="dxa"/>
            <w:tcBorders>
              <w:top w:val="nil"/>
              <w:bottom w:val="nil"/>
            </w:tcBorders>
            <w:shd w:val="clear" w:color="auto" w:fill="auto"/>
            <w:vAlign w:val="center"/>
          </w:tcPr>
          <w:p w14:paraId="5C06F972"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129C6814" w14:textId="77777777" w:rsidR="00375569" w:rsidRPr="0013250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96" w:type="dxa"/>
            <w:tcBorders>
              <w:top w:val="nil"/>
              <w:bottom w:val="nil"/>
            </w:tcBorders>
            <w:shd w:val="clear" w:color="auto" w:fill="auto"/>
            <w:vAlign w:val="center"/>
          </w:tcPr>
          <w:p w14:paraId="15517CB1" w14:textId="77777777" w:rsidR="00375569" w:rsidRPr="006F632C"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2" w:type="dxa"/>
            <w:tcBorders>
              <w:top w:val="nil"/>
              <w:bottom w:val="nil"/>
            </w:tcBorders>
            <w:shd w:val="clear" w:color="auto" w:fill="auto"/>
            <w:vAlign w:val="center"/>
          </w:tcPr>
          <w:p w14:paraId="72295954"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3754F336" w14:textId="77777777" w:rsidR="00375569" w:rsidRPr="00870382"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2" w:type="dxa"/>
            <w:tcBorders>
              <w:top w:val="nil"/>
              <w:bottom w:val="nil"/>
            </w:tcBorders>
            <w:shd w:val="clear" w:color="auto" w:fill="auto"/>
            <w:vAlign w:val="center"/>
          </w:tcPr>
          <w:p w14:paraId="510336A8" w14:textId="77777777" w:rsidR="00375569" w:rsidRPr="00AD0E2D"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F61853">
              <w:t xml:space="preserve"> (200.000)</w:t>
            </w:r>
          </w:p>
        </w:tc>
      </w:tr>
      <w:tr w:rsidR="00375569" w:rsidRPr="00215D82" w14:paraId="6E074E8A"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3BB545C" w14:textId="77777777" w:rsidR="00375569" w:rsidRPr="00083F7F" w:rsidRDefault="00375569" w:rsidP="008E2F67">
            <w:pPr>
              <w:pStyle w:val="08-Tabelageral"/>
              <w:ind w:left="113"/>
              <w:jc w:val="left"/>
            </w:pPr>
            <w:r>
              <w:rPr>
                <w:b w:val="0"/>
              </w:rPr>
              <w:t>Resgates de</w:t>
            </w:r>
            <w:r w:rsidRPr="00083F7F">
              <w:rPr>
                <w:b w:val="0"/>
              </w:rPr>
              <w:t xml:space="preserve"> ativos financeiros mensurados ao custo amortizado</w:t>
            </w:r>
          </w:p>
        </w:tc>
        <w:tc>
          <w:tcPr>
            <w:tcW w:w="567" w:type="dxa"/>
            <w:tcBorders>
              <w:top w:val="nil"/>
              <w:bottom w:val="nil"/>
            </w:tcBorders>
            <w:shd w:val="clear" w:color="auto" w:fill="auto"/>
            <w:vAlign w:val="center"/>
          </w:tcPr>
          <w:p w14:paraId="24A03906"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31B85F5E" w14:textId="77777777" w:rsidR="0037556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96" w:type="dxa"/>
            <w:tcBorders>
              <w:top w:val="nil"/>
              <w:bottom w:val="nil"/>
            </w:tcBorders>
            <w:shd w:val="clear" w:color="auto" w:fill="auto"/>
            <w:vAlign w:val="center"/>
          </w:tcPr>
          <w:p w14:paraId="092F57DE" w14:textId="77777777" w:rsidR="0037556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8E2F67">
              <w:t>--</w:t>
            </w:r>
          </w:p>
        </w:tc>
        <w:tc>
          <w:tcPr>
            <w:tcW w:w="282" w:type="dxa"/>
            <w:tcBorders>
              <w:top w:val="nil"/>
              <w:bottom w:val="nil"/>
            </w:tcBorders>
            <w:shd w:val="clear" w:color="auto" w:fill="auto"/>
            <w:vAlign w:val="center"/>
          </w:tcPr>
          <w:p w14:paraId="784A9465" w14:textId="77777777" w:rsidR="00375569" w:rsidRPr="00010EF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602BE219" w14:textId="77777777" w:rsidR="00375569" w:rsidRPr="00083F7F"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1F57DD">
              <w:t>455.859</w:t>
            </w:r>
          </w:p>
        </w:tc>
        <w:tc>
          <w:tcPr>
            <w:tcW w:w="1242" w:type="dxa"/>
            <w:tcBorders>
              <w:top w:val="nil"/>
              <w:bottom w:val="nil"/>
            </w:tcBorders>
            <w:shd w:val="clear" w:color="auto" w:fill="auto"/>
            <w:vAlign w:val="center"/>
          </w:tcPr>
          <w:p w14:paraId="0E8DB938" w14:textId="77777777" w:rsidR="0037556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F61853">
              <w:t xml:space="preserve"> 293.433 </w:t>
            </w:r>
          </w:p>
        </w:tc>
      </w:tr>
      <w:tr w:rsidR="00375569" w:rsidRPr="00215D82" w14:paraId="17E2AA00"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95D02FD" w14:textId="77777777" w:rsidR="00375569" w:rsidRPr="00215D82" w:rsidRDefault="00375569" w:rsidP="008E2F67">
            <w:pPr>
              <w:pStyle w:val="08-Tabelageral"/>
              <w:ind w:left="113"/>
              <w:jc w:val="left"/>
              <w:rPr>
                <w:b w:val="0"/>
              </w:rPr>
            </w:pPr>
            <w:r w:rsidRPr="00215D82">
              <w:rPr>
                <w:b w:val="0"/>
              </w:rPr>
              <w:t>Dividendos recebidos</w:t>
            </w:r>
          </w:p>
        </w:tc>
        <w:tc>
          <w:tcPr>
            <w:tcW w:w="567" w:type="dxa"/>
            <w:tcBorders>
              <w:top w:val="nil"/>
              <w:bottom w:val="nil"/>
            </w:tcBorders>
            <w:shd w:val="clear" w:color="auto" w:fill="auto"/>
            <w:vAlign w:val="center"/>
          </w:tcPr>
          <w:p w14:paraId="70486B50"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r w:rsidRPr="00E0461B">
              <w:t>[7.b]</w:t>
            </w:r>
          </w:p>
        </w:tc>
        <w:tc>
          <w:tcPr>
            <w:tcW w:w="1181" w:type="dxa"/>
            <w:tcBorders>
              <w:top w:val="nil"/>
              <w:bottom w:val="nil"/>
            </w:tcBorders>
            <w:shd w:val="clear" w:color="auto" w:fill="auto"/>
            <w:vAlign w:val="center"/>
          </w:tcPr>
          <w:p w14:paraId="2549E03D" w14:textId="77777777" w:rsidR="00375569" w:rsidRPr="00EC1904"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2.093.213</w:t>
            </w:r>
          </w:p>
        </w:tc>
        <w:tc>
          <w:tcPr>
            <w:tcW w:w="1196" w:type="dxa"/>
            <w:tcBorders>
              <w:top w:val="nil"/>
              <w:bottom w:val="nil"/>
            </w:tcBorders>
            <w:shd w:val="clear" w:color="auto" w:fill="auto"/>
            <w:vAlign w:val="center"/>
          </w:tcPr>
          <w:p w14:paraId="1E2C4786"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8E2F67">
              <w:t>4.239.591</w:t>
            </w:r>
          </w:p>
        </w:tc>
        <w:tc>
          <w:tcPr>
            <w:tcW w:w="282" w:type="dxa"/>
            <w:tcBorders>
              <w:top w:val="nil"/>
              <w:bottom w:val="nil"/>
            </w:tcBorders>
            <w:shd w:val="clear" w:color="auto" w:fill="auto"/>
            <w:vAlign w:val="center"/>
          </w:tcPr>
          <w:p w14:paraId="23C09E79"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2F8C43AD"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963.364</w:t>
            </w:r>
          </w:p>
        </w:tc>
        <w:tc>
          <w:tcPr>
            <w:tcW w:w="1242" w:type="dxa"/>
            <w:tcBorders>
              <w:top w:val="nil"/>
              <w:bottom w:val="nil"/>
            </w:tcBorders>
            <w:shd w:val="clear" w:color="auto" w:fill="auto"/>
            <w:vAlign w:val="center"/>
          </w:tcPr>
          <w:p w14:paraId="330D14C5"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8A6E76">
              <w:t>1.573.182</w:t>
            </w:r>
          </w:p>
        </w:tc>
      </w:tr>
      <w:tr w:rsidR="00375569" w:rsidRPr="00215D82" w14:paraId="2B36F3D7"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DA09312" w14:textId="77777777" w:rsidR="00375569" w:rsidRPr="008E2F67" w:rsidRDefault="00375569" w:rsidP="008E2F67">
            <w:pPr>
              <w:pStyle w:val="08-Tabelageral"/>
              <w:ind w:left="113"/>
              <w:jc w:val="left"/>
              <w:rPr>
                <w:b w:val="0"/>
                <w:bCs w:val="0"/>
              </w:rPr>
            </w:pPr>
            <w:r w:rsidRPr="008E2F67">
              <w:rPr>
                <w:b w:val="0"/>
                <w:bCs w:val="0"/>
              </w:rPr>
              <w:t>Juros sobre capital próprio recebidos</w:t>
            </w:r>
          </w:p>
        </w:tc>
        <w:tc>
          <w:tcPr>
            <w:tcW w:w="567" w:type="dxa"/>
            <w:tcBorders>
              <w:top w:val="nil"/>
              <w:bottom w:val="nil"/>
            </w:tcBorders>
            <w:shd w:val="clear" w:color="auto" w:fill="auto"/>
            <w:vAlign w:val="center"/>
          </w:tcPr>
          <w:p w14:paraId="443707E9"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r w:rsidRPr="005170D4">
              <w:t>[7.b]</w:t>
            </w:r>
          </w:p>
        </w:tc>
        <w:tc>
          <w:tcPr>
            <w:tcW w:w="1181" w:type="dxa"/>
            <w:tcBorders>
              <w:top w:val="nil"/>
              <w:bottom w:val="nil"/>
            </w:tcBorders>
            <w:shd w:val="clear" w:color="auto" w:fill="auto"/>
            <w:vAlign w:val="center"/>
          </w:tcPr>
          <w:p w14:paraId="0E373E8E" w14:textId="77777777" w:rsidR="00375569" w:rsidRPr="00DD419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96" w:type="dxa"/>
            <w:tcBorders>
              <w:top w:val="nil"/>
              <w:bottom w:val="nil"/>
            </w:tcBorders>
            <w:shd w:val="clear" w:color="auto" w:fill="auto"/>
            <w:vAlign w:val="center"/>
          </w:tcPr>
          <w:p w14:paraId="786776F1" w14:textId="77777777" w:rsidR="00375569" w:rsidRPr="00010EF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2" w:type="dxa"/>
            <w:tcBorders>
              <w:top w:val="nil"/>
              <w:bottom w:val="nil"/>
            </w:tcBorders>
            <w:shd w:val="clear" w:color="auto" w:fill="auto"/>
            <w:vAlign w:val="center"/>
          </w:tcPr>
          <w:p w14:paraId="344B05F2" w14:textId="77777777" w:rsidR="00375569" w:rsidRPr="00010EF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3D2FDB46" w14:textId="77777777" w:rsidR="00375569" w:rsidRPr="005A1043"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1F57DD">
              <w:t>157.732</w:t>
            </w:r>
          </w:p>
        </w:tc>
        <w:tc>
          <w:tcPr>
            <w:tcW w:w="1242" w:type="dxa"/>
            <w:tcBorders>
              <w:top w:val="nil"/>
              <w:bottom w:val="nil"/>
            </w:tcBorders>
            <w:shd w:val="clear" w:color="auto" w:fill="auto"/>
            <w:vAlign w:val="center"/>
          </w:tcPr>
          <w:p w14:paraId="6FFBD568" w14:textId="77777777" w:rsidR="00375569" w:rsidRPr="008A6E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8A6E76">
              <w:t>51.302</w:t>
            </w:r>
          </w:p>
        </w:tc>
      </w:tr>
      <w:tr w:rsidR="00375569" w:rsidRPr="00215D82" w14:paraId="0C9C5D7A"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63538B9" w14:textId="77777777" w:rsidR="00375569" w:rsidRPr="008E2F67" w:rsidRDefault="00375569" w:rsidP="008E2F67">
            <w:pPr>
              <w:pStyle w:val="08-Tabelageral"/>
              <w:ind w:left="113"/>
              <w:jc w:val="left"/>
              <w:rPr>
                <w:b w:val="0"/>
                <w:bCs w:val="0"/>
              </w:rPr>
            </w:pPr>
            <w:r w:rsidRPr="001F57DD">
              <w:rPr>
                <w:b w:val="0"/>
                <w:bCs w:val="0"/>
              </w:rPr>
              <w:t xml:space="preserve">Redução de capital </w:t>
            </w:r>
            <w:r>
              <w:rPr>
                <w:b w:val="0"/>
                <w:bCs w:val="0"/>
              </w:rPr>
              <w:t>r</w:t>
            </w:r>
            <w:r w:rsidRPr="001F57DD">
              <w:rPr>
                <w:b w:val="0"/>
                <w:bCs w:val="0"/>
              </w:rPr>
              <w:t>ecebidos - BB Corretora de Seguros e Adm. de Bens S.A. (BB Corretora)</w:t>
            </w:r>
          </w:p>
        </w:tc>
        <w:tc>
          <w:tcPr>
            <w:tcW w:w="567" w:type="dxa"/>
            <w:tcBorders>
              <w:top w:val="nil"/>
              <w:bottom w:val="nil"/>
            </w:tcBorders>
            <w:shd w:val="clear" w:color="auto" w:fill="auto"/>
            <w:vAlign w:val="center"/>
          </w:tcPr>
          <w:p w14:paraId="72CE0531"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r w:rsidRPr="005170D4">
              <w:t>[7.b]</w:t>
            </w:r>
          </w:p>
        </w:tc>
        <w:tc>
          <w:tcPr>
            <w:tcW w:w="1181" w:type="dxa"/>
            <w:tcBorders>
              <w:top w:val="nil"/>
              <w:bottom w:val="nil"/>
            </w:tcBorders>
            <w:shd w:val="clear" w:color="auto" w:fill="auto"/>
            <w:vAlign w:val="center"/>
          </w:tcPr>
          <w:p w14:paraId="64AA2FE5" w14:textId="77777777" w:rsidR="00375569" w:rsidRPr="00DD419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40.899</w:t>
            </w:r>
          </w:p>
        </w:tc>
        <w:tc>
          <w:tcPr>
            <w:tcW w:w="1196" w:type="dxa"/>
            <w:tcBorders>
              <w:top w:val="nil"/>
              <w:bottom w:val="nil"/>
            </w:tcBorders>
            <w:shd w:val="clear" w:color="auto" w:fill="auto"/>
            <w:vAlign w:val="center"/>
          </w:tcPr>
          <w:p w14:paraId="6FFC5136" w14:textId="77777777" w:rsidR="0037556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2" w:type="dxa"/>
            <w:tcBorders>
              <w:top w:val="nil"/>
              <w:bottom w:val="nil"/>
            </w:tcBorders>
            <w:shd w:val="clear" w:color="auto" w:fill="auto"/>
            <w:vAlign w:val="center"/>
          </w:tcPr>
          <w:p w14:paraId="3DC46979"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330F0D51" w14:textId="77777777" w:rsidR="00375569" w:rsidRPr="005A1043"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2" w:type="dxa"/>
            <w:tcBorders>
              <w:top w:val="nil"/>
              <w:bottom w:val="nil"/>
            </w:tcBorders>
            <w:shd w:val="clear" w:color="auto" w:fill="auto"/>
            <w:vAlign w:val="center"/>
          </w:tcPr>
          <w:p w14:paraId="637EA567" w14:textId="77777777" w:rsidR="00375569" w:rsidRPr="008A6E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r>
      <w:tr w:rsidR="00375569" w:rsidRPr="00215D82" w14:paraId="26F2FCEA"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5BACADD" w14:textId="77777777" w:rsidR="00375569" w:rsidRPr="00717130" w:rsidRDefault="00375569" w:rsidP="008E2F67">
            <w:pPr>
              <w:pStyle w:val="08-Tabelageral"/>
              <w:ind w:left="113"/>
              <w:jc w:val="left"/>
              <w:rPr>
                <w:b w:val="0"/>
                <w:highlight w:val="yellow"/>
              </w:rPr>
            </w:pPr>
            <w:r w:rsidRPr="00C35EB3">
              <w:rPr>
                <w:b w:val="0"/>
              </w:rPr>
              <w:t xml:space="preserve">Aporte de capital social - </w:t>
            </w:r>
            <w:r>
              <w:rPr>
                <w:b w:val="0"/>
              </w:rPr>
              <w:t>Ciclic Corretora de Seguros S.A.</w:t>
            </w:r>
          </w:p>
        </w:tc>
        <w:tc>
          <w:tcPr>
            <w:tcW w:w="567" w:type="dxa"/>
            <w:tcBorders>
              <w:top w:val="nil"/>
              <w:bottom w:val="nil"/>
            </w:tcBorders>
            <w:shd w:val="clear" w:color="auto" w:fill="auto"/>
            <w:vAlign w:val="center"/>
          </w:tcPr>
          <w:p w14:paraId="4A056D4E" w14:textId="77777777" w:rsidR="00375569" w:rsidRPr="00A64C24"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rPr>
                <w:bCs/>
              </w:rPr>
            </w:pPr>
            <w:r w:rsidRPr="00A64C24">
              <w:rPr>
                <w:bCs/>
              </w:rPr>
              <w:t>[7.b]</w:t>
            </w:r>
          </w:p>
        </w:tc>
        <w:tc>
          <w:tcPr>
            <w:tcW w:w="1181" w:type="dxa"/>
            <w:tcBorders>
              <w:top w:val="nil"/>
              <w:bottom w:val="nil"/>
            </w:tcBorders>
            <w:shd w:val="clear" w:color="auto" w:fill="auto"/>
            <w:vAlign w:val="center"/>
          </w:tcPr>
          <w:p w14:paraId="4D3F2E30" w14:textId="77777777" w:rsidR="0037556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196" w:type="dxa"/>
            <w:tcBorders>
              <w:top w:val="nil"/>
              <w:bottom w:val="nil"/>
            </w:tcBorders>
            <w:shd w:val="clear" w:color="auto" w:fill="auto"/>
            <w:vAlign w:val="center"/>
          </w:tcPr>
          <w:p w14:paraId="0BDBD403" w14:textId="77777777" w:rsidR="0037556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2" w:type="dxa"/>
            <w:tcBorders>
              <w:top w:val="nil"/>
              <w:bottom w:val="nil"/>
            </w:tcBorders>
            <w:shd w:val="clear" w:color="auto" w:fill="auto"/>
            <w:vAlign w:val="center"/>
          </w:tcPr>
          <w:p w14:paraId="0B613223" w14:textId="77777777" w:rsidR="00375569" w:rsidRPr="00010EF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2ACD214A" w14:textId="77777777" w:rsidR="00375569" w:rsidRPr="00010EF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2" w:type="dxa"/>
            <w:tcBorders>
              <w:top w:val="nil"/>
              <w:bottom w:val="nil"/>
            </w:tcBorders>
            <w:shd w:val="clear" w:color="auto" w:fill="auto"/>
            <w:vAlign w:val="center"/>
          </w:tcPr>
          <w:p w14:paraId="1A82CCAE" w14:textId="77777777" w:rsidR="00375569" w:rsidRPr="002B6E54"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C76F4F">
              <w:t>(25.599)</w:t>
            </w:r>
          </w:p>
        </w:tc>
      </w:tr>
      <w:tr w:rsidR="00375569" w:rsidRPr="00215D82" w14:paraId="4D8E528E"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52DD5E58" w14:textId="77777777" w:rsidR="00375569" w:rsidRPr="00C23EE0" w:rsidRDefault="00375569" w:rsidP="008E2F67">
            <w:pPr>
              <w:pStyle w:val="08-Tabelageral"/>
              <w:ind w:left="113"/>
              <w:jc w:val="left"/>
              <w:rPr>
                <w:b w:val="0"/>
              </w:rPr>
            </w:pPr>
            <w:r w:rsidRPr="00C23EE0">
              <w:rPr>
                <w:b w:val="0"/>
              </w:rPr>
              <w:t>Aporte de capital social - Brasilprev Seguros e Previdência S.A.</w:t>
            </w:r>
          </w:p>
        </w:tc>
        <w:tc>
          <w:tcPr>
            <w:tcW w:w="567" w:type="dxa"/>
            <w:tcBorders>
              <w:top w:val="nil"/>
              <w:bottom w:val="nil"/>
            </w:tcBorders>
            <w:shd w:val="clear" w:color="auto" w:fill="auto"/>
            <w:vAlign w:val="center"/>
          </w:tcPr>
          <w:p w14:paraId="11793ECC" w14:textId="77777777" w:rsidR="00375569" w:rsidRPr="00A64C24"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Cs/>
              </w:rPr>
            </w:pPr>
            <w:r w:rsidRPr="00A64C24">
              <w:rPr>
                <w:bCs/>
              </w:rPr>
              <w:t>[7.b]</w:t>
            </w:r>
          </w:p>
        </w:tc>
        <w:tc>
          <w:tcPr>
            <w:tcW w:w="1181" w:type="dxa"/>
            <w:tcBorders>
              <w:top w:val="nil"/>
              <w:bottom w:val="nil"/>
            </w:tcBorders>
            <w:shd w:val="clear" w:color="auto" w:fill="auto"/>
            <w:vAlign w:val="center"/>
          </w:tcPr>
          <w:p w14:paraId="736AD001" w14:textId="77777777" w:rsidR="0037556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196" w:type="dxa"/>
            <w:tcBorders>
              <w:top w:val="nil"/>
              <w:bottom w:val="nil"/>
            </w:tcBorders>
            <w:shd w:val="clear" w:color="auto" w:fill="auto"/>
            <w:vAlign w:val="center"/>
          </w:tcPr>
          <w:p w14:paraId="63BAA388" w14:textId="77777777" w:rsidR="0037556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2" w:type="dxa"/>
            <w:tcBorders>
              <w:top w:val="nil"/>
              <w:bottom w:val="nil"/>
            </w:tcBorders>
            <w:shd w:val="clear" w:color="auto" w:fill="auto"/>
            <w:vAlign w:val="center"/>
          </w:tcPr>
          <w:p w14:paraId="0A208B46"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1D8BC15E"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449.969</w:t>
            </w:r>
            <w:r>
              <w:t>)</w:t>
            </w:r>
          </w:p>
        </w:tc>
        <w:tc>
          <w:tcPr>
            <w:tcW w:w="1242" w:type="dxa"/>
            <w:tcBorders>
              <w:top w:val="nil"/>
              <w:bottom w:val="nil"/>
            </w:tcBorders>
            <w:shd w:val="clear" w:color="auto" w:fill="auto"/>
            <w:vAlign w:val="center"/>
          </w:tcPr>
          <w:p w14:paraId="1585EAD3" w14:textId="77777777" w:rsidR="00375569" w:rsidRPr="009E299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C76F4F">
              <w:t>(899.939)</w:t>
            </w:r>
          </w:p>
        </w:tc>
      </w:tr>
      <w:tr w:rsidR="00375569" w:rsidRPr="000C3789" w14:paraId="0A63AB6D"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801EA60" w14:textId="77777777" w:rsidR="00375569" w:rsidRPr="000C3789" w:rsidRDefault="00375569" w:rsidP="008E2F67">
            <w:pPr>
              <w:pStyle w:val="08-Tabelageral"/>
              <w:ind w:left="113"/>
              <w:jc w:val="left"/>
              <w:rPr>
                <w:b w:val="0"/>
                <w:bCs w:val="0"/>
              </w:rPr>
            </w:pPr>
            <w:r w:rsidRPr="000C3789">
              <w:rPr>
                <w:b w:val="0"/>
                <w:bCs w:val="0"/>
              </w:rPr>
              <w:t>Aporte de capital social - Brasilcap Capitalização S.A.</w:t>
            </w:r>
          </w:p>
        </w:tc>
        <w:tc>
          <w:tcPr>
            <w:tcW w:w="567" w:type="dxa"/>
            <w:tcBorders>
              <w:top w:val="nil"/>
              <w:bottom w:val="nil"/>
            </w:tcBorders>
            <w:shd w:val="clear" w:color="auto" w:fill="auto"/>
            <w:vAlign w:val="center"/>
          </w:tcPr>
          <w:p w14:paraId="2C894815" w14:textId="77777777" w:rsidR="00375569" w:rsidRPr="000C3789"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r w:rsidRPr="000C3789">
              <w:t>[7.b]</w:t>
            </w:r>
          </w:p>
        </w:tc>
        <w:tc>
          <w:tcPr>
            <w:tcW w:w="1181" w:type="dxa"/>
            <w:tcBorders>
              <w:top w:val="nil"/>
              <w:bottom w:val="nil"/>
            </w:tcBorders>
            <w:shd w:val="clear" w:color="auto" w:fill="auto"/>
            <w:vAlign w:val="center"/>
          </w:tcPr>
          <w:p w14:paraId="299F13FD" w14:textId="77777777" w:rsidR="00375569" w:rsidRPr="000C378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0C3789">
              <w:t>--</w:t>
            </w:r>
          </w:p>
        </w:tc>
        <w:tc>
          <w:tcPr>
            <w:tcW w:w="1196" w:type="dxa"/>
            <w:tcBorders>
              <w:top w:val="nil"/>
              <w:bottom w:val="nil"/>
            </w:tcBorders>
            <w:shd w:val="clear" w:color="auto" w:fill="auto"/>
            <w:vAlign w:val="center"/>
          </w:tcPr>
          <w:p w14:paraId="56CE99E4" w14:textId="77777777" w:rsidR="00375569" w:rsidRPr="000C378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0C3789">
              <w:t>--</w:t>
            </w:r>
          </w:p>
        </w:tc>
        <w:tc>
          <w:tcPr>
            <w:tcW w:w="282" w:type="dxa"/>
            <w:tcBorders>
              <w:top w:val="nil"/>
              <w:bottom w:val="nil"/>
            </w:tcBorders>
            <w:shd w:val="clear" w:color="auto" w:fill="auto"/>
            <w:vAlign w:val="center"/>
          </w:tcPr>
          <w:p w14:paraId="4EF29685" w14:textId="77777777" w:rsidR="00375569" w:rsidRPr="000C378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4B854C39" w14:textId="77777777" w:rsidR="00375569" w:rsidRPr="000C378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0C3789">
              <w:t>(66.664)</w:t>
            </w:r>
          </w:p>
        </w:tc>
        <w:tc>
          <w:tcPr>
            <w:tcW w:w="1242" w:type="dxa"/>
            <w:tcBorders>
              <w:top w:val="nil"/>
              <w:bottom w:val="nil"/>
            </w:tcBorders>
            <w:shd w:val="clear" w:color="auto" w:fill="auto"/>
            <w:vAlign w:val="center"/>
          </w:tcPr>
          <w:p w14:paraId="53CA13BA" w14:textId="77777777" w:rsidR="00375569" w:rsidRPr="000C3789"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0C3789">
              <w:t>--</w:t>
            </w:r>
          </w:p>
        </w:tc>
      </w:tr>
      <w:tr w:rsidR="00375569" w:rsidRPr="00215D82" w14:paraId="7EE432BD"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CB43ACF" w14:textId="77777777" w:rsidR="00375569" w:rsidRPr="00215D82" w:rsidRDefault="00375569" w:rsidP="008E2F67">
            <w:pPr>
              <w:pStyle w:val="08-Tabelageral"/>
              <w:ind w:left="113"/>
              <w:jc w:val="left"/>
              <w:rPr>
                <w:b w:val="0"/>
              </w:rPr>
            </w:pPr>
            <w:r>
              <w:rPr>
                <w:b w:val="0"/>
              </w:rPr>
              <w:t>Outras</w:t>
            </w:r>
          </w:p>
        </w:tc>
        <w:tc>
          <w:tcPr>
            <w:tcW w:w="567" w:type="dxa"/>
            <w:tcBorders>
              <w:top w:val="nil"/>
              <w:bottom w:val="nil"/>
            </w:tcBorders>
            <w:shd w:val="clear" w:color="auto" w:fill="auto"/>
            <w:vAlign w:val="center"/>
          </w:tcPr>
          <w:p w14:paraId="1940D23F"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bottom w:val="nil"/>
            </w:tcBorders>
            <w:shd w:val="clear" w:color="auto" w:fill="auto"/>
            <w:vAlign w:val="center"/>
          </w:tcPr>
          <w:p w14:paraId="66CE7375" w14:textId="77777777" w:rsidR="0037556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1F57DD">
              <w:t>(286)</w:t>
            </w:r>
          </w:p>
        </w:tc>
        <w:tc>
          <w:tcPr>
            <w:tcW w:w="1196" w:type="dxa"/>
            <w:tcBorders>
              <w:top w:val="nil"/>
              <w:bottom w:val="nil"/>
            </w:tcBorders>
            <w:shd w:val="clear" w:color="auto" w:fill="auto"/>
            <w:vAlign w:val="center"/>
          </w:tcPr>
          <w:p w14:paraId="19302EAA" w14:textId="77777777" w:rsidR="0037556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514BF1">
              <w:t>(357)</w:t>
            </w:r>
          </w:p>
        </w:tc>
        <w:tc>
          <w:tcPr>
            <w:tcW w:w="282" w:type="dxa"/>
            <w:tcBorders>
              <w:top w:val="nil"/>
              <w:bottom w:val="nil"/>
            </w:tcBorders>
            <w:shd w:val="clear" w:color="auto" w:fill="auto"/>
            <w:vAlign w:val="center"/>
          </w:tcPr>
          <w:p w14:paraId="687AFD75"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515A5934" w14:textId="77777777" w:rsidR="00375569" w:rsidRPr="00010EFA"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286</w:t>
            </w:r>
            <w:r>
              <w:t>)</w:t>
            </w:r>
          </w:p>
        </w:tc>
        <w:tc>
          <w:tcPr>
            <w:tcW w:w="1242" w:type="dxa"/>
            <w:tcBorders>
              <w:top w:val="nil"/>
              <w:bottom w:val="nil"/>
            </w:tcBorders>
            <w:shd w:val="clear" w:color="auto" w:fill="auto"/>
            <w:vAlign w:val="center"/>
          </w:tcPr>
          <w:p w14:paraId="121D08B8" w14:textId="77777777" w:rsidR="00375569" w:rsidRPr="002B6E54"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8A6E76">
              <w:t>(357)</w:t>
            </w:r>
          </w:p>
        </w:tc>
      </w:tr>
      <w:tr w:rsidR="00375569" w:rsidRPr="00010EFA" w14:paraId="5C3CBB3E"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137B69D5" w14:textId="77777777" w:rsidR="00375569" w:rsidRPr="005317E6" w:rsidRDefault="00375569" w:rsidP="008E2F67">
            <w:pPr>
              <w:pStyle w:val="08-Tabelageral"/>
              <w:jc w:val="left"/>
              <w:rPr>
                <w:b w:val="0"/>
              </w:rPr>
            </w:pPr>
            <w:r w:rsidRPr="00D015E4">
              <w:t>Caixa Gerad</w:t>
            </w:r>
            <w:r>
              <w:t>o Pelas</w:t>
            </w:r>
            <w:proofErr w:type="gramStart"/>
            <w:r>
              <w:t>/(</w:t>
            </w:r>
            <w:proofErr w:type="gramEnd"/>
            <w:r>
              <w:t>Consumido Nas) Atividades d</w:t>
            </w:r>
            <w:r w:rsidRPr="00D015E4">
              <w:t>e Investimento</w:t>
            </w:r>
          </w:p>
        </w:tc>
        <w:tc>
          <w:tcPr>
            <w:tcW w:w="567" w:type="dxa"/>
            <w:tcBorders>
              <w:top w:val="nil"/>
              <w:bottom w:val="nil"/>
            </w:tcBorders>
            <w:shd w:val="clear" w:color="auto" w:fill="auto"/>
            <w:vAlign w:val="center"/>
          </w:tcPr>
          <w:p w14:paraId="0097DCE3"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5D018F09" w14:textId="77777777" w:rsidR="00375569" w:rsidRPr="00010EFA"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1F57DD">
              <w:rPr>
                <w:rFonts w:cs="Arial"/>
                <w:b/>
                <w:szCs w:val="14"/>
              </w:rPr>
              <w:t>2.133.826</w:t>
            </w:r>
          </w:p>
        </w:tc>
        <w:tc>
          <w:tcPr>
            <w:tcW w:w="1196" w:type="dxa"/>
            <w:tcBorders>
              <w:top w:val="nil"/>
              <w:bottom w:val="nil"/>
            </w:tcBorders>
            <w:shd w:val="clear" w:color="auto" w:fill="auto"/>
            <w:vAlign w:val="center"/>
          </w:tcPr>
          <w:p w14:paraId="1FD92A4F"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
              </w:rPr>
            </w:pPr>
            <w:r w:rsidRPr="007C2F2D">
              <w:rPr>
                <w:rFonts w:cs="Arial"/>
                <w:b/>
                <w:szCs w:val="14"/>
              </w:rPr>
              <w:t>4.239.234</w:t>
            </w:r>
          </w:p>
        </w:tc>
        <w:tc>
          <w:tcPr>
            <w:tcW w:w="282" w:type="dxa"/>
            <w:tcBorders>
              <w:top w:val="nil"/>
              <w:bottom w:val="nil"/>
            </w:tcBorders>
            <w:shd w:val="clear" w:color="auto" w:fill="auto"/>
            <w:vAlign w:val="center"/>
          </w:tcPr>
          <w:p w14:paraId="6938D610"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44" w:type="dxa"/>
            <w:tcBorders>
              <w:top w:val="nil"/>
              <w:bottom w:val="nil"/>
            </w:tcBorders>
            <w:shd w:val="clear" w:color="auto" w:fill="auto"/>
            <w:vAlign w:val="center"/>
          </w:tcPr>
          <w:p w14:paraId="44791AF3" w14:textId="77777777" w:rsidR="00375569" w:rsidRPr="00010EFA"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1F57DD">
              <w:rPr>
                <w:rFonts w:cs="Arial"/>
                <w:b/>
                <w:szCs w:val="14"/>
              </w:rPr>
              <w:t>1.060.036</w:t>
            </w:r>
          </w:p>
        </w:tc>
        <w:tc>
          <w:tcPr>
            <w:tcW w:w="1242" w:type="dxa"/>
            <w:tcBorders>
              <w:top w:val="nil"/>
              <w:bottom w:val="nil"/>
            </w:tcBorders>
            <w:shd w:val="clear" w:color="auto" w:fill="auto"/>
            <w:vAlign w:val="center"/>
          </w:tcPr>
          <w:p w14:paraId="750BAEC5" w14:textId="77777777" w:rsidR="00375569" w:rsidRPr="009D5C7C"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
                <w:bCs/>
              </w:rPr>
            </w:pPr>
            <w:r w:rsidRPr="008A6E76">
              <w:rPr>
                <w:b/>
                <w:bCs/>
              </w:rPr>
              <w:t>792.022</w:t>
            </w:r>
          </w:p>
        </w:tc>
      </w:tr>
      <w:tr w:rsidR="00375569" w:rsidRPr="001D6BE8" w14:paraId="2A0FE70F" w14:textId="77777777" w:rsidTr="002254D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0E82725" w14:textId="77777777" w:rsidR="00375569" w:rsidRPr="00CD3714" w:rsidRDefault="00375569" w:rsidP="00F128AF">
            <w:pPr>
              <w:pStyle w:val="08-Tabelageral"/>
              <w:jc w:val="left"/>
            </w:pPr>
          </w:p>
        </w:tc>
        <w:tc>
          <w:tcPr>
            <w:tcW w:w="567" w:type="dxa"/>
            <w:tcBorders>
              <w:top w:val="nil"/>
              <w:bottom w:val="nil"/>
            </w:tcBorders>
            <w:shd w:val="clear" w:color="auto" w:fill="auto"/>
            <w:vAlign w:val="center"/>
          </w:tcPr>
          <w:p w14:paraId="05328652" w14:textId="77777777" w:rsidR="00375569" w:rsidRPr="00E0461B" w:rsidRDefault="00375569" w:rsidP="00F128AF">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181" w:type="dxa"/>
            <w:tcBorders>
              <w:top w:val="nil"/>
              <w:bottom w:val="nil"/>
            </w:tcBorders>
            <w:shd w:val="clear" w:color="auto" w:fill="auto"/>
            <w:vAlign w:val="center"/>
          </w:tcPr>
          <w:p w14:paraId="7E579D06" w14:textId="77777777" w:rsidR="00375569" w:rsidRPr="00350BA7" w:rsidRDefault="00375569" w:rsidP="00F128A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022FF9F3" w14:textId="77777777" w:rsidR="00375569" w:rsidRPr="00010EFA" w:rsidRDefault="00375569" w:rsidP="00F128AF">
            <w:pPr>
              <w:pStyle w:val="08-Tabelageral"/>
              <w:cnfStyle w:val="000000100000" w:firstRow="0" w:lastRow="0" w:firstColumn="0" w:lastColumn="0" w:oddVBand="0" w:evenVBand="0" w:oddHBand="1" w:evenHBand="0" w:firstRowFirstColumn="0" w:firstRowLastColumn="0" w:lastRowFirstColumn="0" w:lastRowLastColumn="0"/>
            </w:pPr>
          </w:p>
        </w:tc>
        <w:tc>
          <w:tcPr>
            <w:tcW w:w="282" w:type="dxa"/>
            <w:tcBorders>
              <w:top w:val="nil"/>
              <w:bottom w:val="nil"/>
            </w:tcBorders>
            <w:shd w:val="clear" w:color="auto" w:fill="auto"/>
            <w:vAlign w:val="center"/>
          </w:tcPr>
          <w:p w14:paraId="0594A20B" w14:textId="77777777" w:rsidR="00375569" w:rsidRPr="00010EFA" w:rsidRDefault="00375569" w:rsidP="00F128A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32192D68" w14:textId="77777777" w:rsidR="00375569" w:rsidRPr="00010EFA" w:rsidRDefault="00375569" w:rsidP="00F128A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0AEFBC1A" w14:textId="77777777" w:rsidR="00375569" w:rsidRPr="00010EFA" w:rsidRDefault="00375569" w:rsidP="00F128AF">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42427F" w14:paraId="0AADA0D6" w14:textId="77777777" w:rsidTr="002254DE">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3F1FEFB9" w14:textId="77777777" w:rsidR="00375569" w:rsidRPr="0042427F" w:rsidRDefault="00375569" w:rsidP="00F128AF">
            <w:pPr>
              <w:pStyle w:val="08-Tabelageral"/>
              <w:jc w:val="left"/>
            </w:pPr>
            <w:r w:rsidRPr="0042427F">
              <w:t xml:space="preserve">Fluxos </w:t>
            </w:r>
            <w:r>
              <w:t>De Caixa Provenientes das Atividades d</w:t>
            </w:r>
            <w:r w:rsidRPr="0042427F">
              <w:t>e Financiamento</w:t>
            </w:r>
          </w:p>
        </w:tc>
        <w:tc>
          <w:tcPr>
            <w:tcW w:w="567" w:type="dxa"/>
            <w:tcBorders>
              <w:top w:val="nil"/>
              <w:bottom w:val="nil"/>
            </w:tcBorders>
            <w:shd w:val="clear" w:color="auto" w:fill="auto"/>
            <w:vAlign w:val="center"/>
          </w:tcPr>
          <w:p w14:paraId="473C500E" w14:textId="77777777" w:rsidR="00375569" w:rsidRPr="00E0461B" w:rsidRDefault="00375569" w:rsidP="00F128AF">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181" w:type="dxa"/>
            <w:tcBorders>
              <w:top w:val="nil"/>
              <w:bottom w:val="nil"/>
            </w:tcBorders>
            <w:shd w:val="clear" w:color="auto" w:fill="auto"/>
            <w:vAlign w:val="center"/>
          </w:tcPr>
          <w:p w14:paraId="6FD801F3" w14:textId="77777777" w:rsidR="00375569" w:rsidRPr="0042427F"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196" w:type="dxa"/>
            <w:tcBorders>
              <w:top w:val="nil"/>
              <w:bottom w:val="nil"/>
            </w:tcBorders>
            <w:shd w:val="clear" w:color="auto" w:fill="auto"/>
            <w:vAlign w:val="center"/>
          </w:tcPr>
          <w:p w14:paraId="4CCFB173" w14:textId="77777777" w:rsidR="00375569" w:rsidRPr="0042427F"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2" w:type="dxa"/>
            <w:tcBorders>
              <w:top w:val="nil"/>
              <w:bottom w:val="nil"/>
            </w:tcBorders>
            <w:shd w:val="clear" w:color="auto" w:fill="auto"/>
            <w:vAlign w:val="center"/>
          </w:tcPr>
          <w:p w14:paraId="56D77173" w14:textId="77777777" w:rsidR="00375569" w:rsidRPr="0042427F"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44" w:type="dxa"/>
            <w:tcBorders>
              <w:top w:val="nil"/>
              <w:bottom w:val="nil"/>
            </w:tcBorders>
            <w:shd w:val="clear" w:color="auto" w:fill="auto"/>
            <w:vAlign w:val="center"/>
          </w:tcPr>
          <w:p w14:paraId="22283F77" w14:textId="77777777" w:rsidR="00375569" w:rsidRPr="0042427F"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42" w:type="dxa"/>
            <w:tcBorders>
              <w:top w:val="nil"/>
              <w:bottom w:val="nil"/>
            </w:tcBorders>
            <w:shd w:val="clear" w:color="auto" w:fill="auto"/>
            <w:vAlign w:val="center"/>
          </w:tcPr>
          <w:p w14:paraId="7D178747" w14:textId="77777777" w:rsidR="00375569" w:rsidRPr="0042427F"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b/>
              </w:rPr>
            </w:pPr>
          </w:p>
        </w:tc>
      </w:tr>
      <w:tr w:rsidR="00375569" w:rsidRPr="0042427F" w14:paraId="021DACDB"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41FFF6E7" w14:textId="77777777" w:rsidR="00375569" w:rsidRPr="0042427F" w:rsidRDefault="00375569" w:rsidP="008E2F67">
            <w:pPr>
              <w:pStyle w:val="08-Tabelageral"/>
              <w:ind w:left="113"/>
              <w:jc w:val="left"/>
              <w:rPr>
                <w:b w:val="0"/>
              </w:rPr>
            </w:pPr>
            <w:r w:rsidRPr="0042427F">
              <w:rPr>
                <w:b w:val="0"/>
              </w:rPr>
              <w:t>Dividendos pagos</w:t>
            </w:r>
          </w:p>
        </w:tc>
        <w:tc>
          <w:tcPr>
            <w:tcW w:w="567" w:type="dxa"/>
            <w:tcBorders>
              <w:top w:val="nil"/>
              <w:bottom w:val="nil"/>
            </w:tcBorders>
            <w:shd w:val="clear" w:color="auto" w:fill="auto"/>
            <w:vAlign w:val="center"/>
          </w:tcPr>
          <w:p w14:paraId="13AFC87F"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bottom w:val="nil"/>
            </w:tcBorders>
            <w:shd w:val="clear" w:color="auto" w:fill="auto"/>
            <w:vAlign w:val="center"/>
          </w:tcPr>
          <w:p w14:paraId="59AB7C0A" w14:textId="77777777" w:rsidR="00375569" w:rsidRPr="00EC1904"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746E51">
              <w:t>(1.990.675)</w:t>
            </w:r>
          </w:p>
        </w:tc>
        <w:tc>
          <w:tcPr>
            <w:tcW w:w="1196" w:type="dxa"/>
            <w:tcBorders>
              <w:top w:val="nil"/>
              <w:bottom w:val="nil"/>
            </w:tcBorders>
            <w:shd w:val="clear" w:color="auto" w:fill="auto"/>
            <w:vAlign w:val="center"/>
          </w:tcPr>
          <w:p w14:paraId="22C2658D" w14:textId="77777777" w:rsidR="00375569" w:rsidRPr="0042427F"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7C2F2D">
              <w:t>(5.562.658)</w:t>
            </w:r>
          </w:p>
        </w:tc>
        <w:tc>
          <w:tcPr>
            <w:tcW w:w="282" w:type="dxa"/>
            <w:tcBorders>
              <w:top w:val="nil"/>
              <w:bottom w:val="nil"/>
            </w:tcBorders>
            <w:shd w:val="clear" w:color="auto" w:fill="auto"/>
            <w:vAlign w:val="center"/>
          </w:tcPr>
          <w:p w14:paraId="16BE8481" w14:textId="77777777" w:rsidR="00375569" w:rsidRPr="0096650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25EDF7C5" w14:textId="77777777" w:rsidR="00375569" w:rsidRPr="00966509"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746E51">
              <w:t>1.990.675</w:t>
            </w:r>
            <w:r>
              <w:t>)</w:t>
            </w:r>
          </w:p>
        </w:tc>
        <w:tc>
          <w:tcPr>
            <w:tcW w:w="1242" w:type="dxa"/>
            <w:tcBorders>
              <w:top w:val="nil"/>
              <w:bottom w:val="nil"/>
            </w:tcBorders>
            <w:shd w:val="clear" w:color="auto" w:fill="auto"/>
            <w:vAlign w:val="center"/>
          </w:tcPr>
          <w:p w14:paraId="35470F2B" w14:textId="77777777" w:rsidR="00375569" w:rsidRPr="0042427F"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275A1E">
              <w:t>(5.562.658)</w:t>
            </w:r>
          </w:p>
        </w:tc>
      </w:tr>
      <w:tr w:rsidR="00375569" w:rsidRPr="0042427F" w14:paraId="51D4666C" w14:textId="77777777" w:rsidTr="00087B7C">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477D04EE" w14:textId="77777777" w:rsidR="00375569" w:rsidRPr="0041000C" w:rsidRDefault="00375569" w:rsidP="008E2F67">
            <w:pPr>
              <w:pStyle w:val="08-Tabelageral"/>
              <w:jc w:val="left"/>
              <w:rPr>
                <w:b w:val="0"/>
                <w:bCs w:val="0"/>
              </w:rPr>
            </w:pPr>
            <w:r>
              <w:rPr>
                <w:b w:val="0"/>
                <w:bCs w:val="0"/>
              </w:rPr>
              <w:t xml:space="preserve">   </w:t>
            </w:r>
            <w:r w:rsidRPr="0041000C">
              <w:rPr>
                <w:b w:val="0"/>
                <w:bCs w:val="0"/>
              </w:rPr>
              <w:t xml:space="preserve">Pagamento da </w:t>
            </w:r>
            <w:r>
              <w:rPr>
                <w:b w:val="0"/>
                <w:bCs w:val="0"/>
              </w:rPr>
              <w:t>r</w:t>
            </w:r>
            <w:r w:rsidRPr="0041000C">
              <w:rPr>
                <w:b w:val="0"/>
                <w:bCs w:val="0"/>
              </w:rPr>
              <w:t>edução de capital</w:t>
            </w:r>
          </w:p>
        </w:tc>
        <w:tc>
          <w:tcPr>
            <w:tcW w:w="567" w:type="dxa"/>
            <w:tcBorders>
              <w:top w:val="nil"/>
              <w:bottom w:val="nil"/>
            </w:tcBorders>
            <w:shd w:val="clear" w:color="auto" w:fill="auto"/>
            <w:vAlign w:val="center"/>
          </w:tcPr>
          <w:p w14:paraId="22330139"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19C29B43" w14:textId="77777777" w:rsidR="00375569" w:rsidRPr="00DD419A" w:rsidRDefault="00375569" w:rsidP="008E2F67">
            <w:pPr>
              <w:pStyle w:val="08-Tabelageral"/>
              <w:cnfStyle w:val="000000000000" w:firstRow="0" w:lastRow="0" w:firstColumn="0" w:lastColumn="0" w:oddVBand="0" w:evenVBand="0" w:oddHBand="0" w:evenHBand="0" w:firstRowFirstColumn="0" w:firstRowLastColumn="0" w:lastRowFirstColumn="0" w:lastRowLastColumn="0"/>
            </w:pPr>
            <w:r>
              <w:t>--</w:t>
            </w:r>
          </w:p>
        </w:tc>
        <w:tc>
          <w:tcPr>
            <w:tcW w:w="1196" w:type="dxa"/>
            <w:tcBorders>
              <w:top w:val="nil"/>
              <w:bottom w:val="nil"/>
            </w:tcBorders>
            <w:shd w:val="clear" w:color="auto" w:fill="auto"/>
            <w:vAlign w:val="center"/>
          </w:tcPr>
          <w:p w14:paraId="59CB0B9E" w14:textId="77777777" w:rsidR="00375569" w:rsidRPr="00DD419A"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7C2F2D">
              <w:t>(2.699.904)</w:t>
            </w:r>
          </w:p>
        </w:tc>
        <w:tc>
          <w:tcPr>
            <w:tcW w:w="282" w:type="dxa"/>
            <w:tcBorders>
              <w:top w:val="nil"/>
              <w:bottom w:val="nil"/>
            </w:tcBorders>
            <w:shd w:val="clear" w:color="auto" w:fill="auto"/>
            <w:vAlign w:val="center"/>
          </w:tcPr>
          <w:p w14:paraId="5D8981AA" w14:textId="77777777" w:rsidR="00375569" w:rsidRPr="00E841B4"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44" w:type="dxa"/>
            <w:tcBorders>
              <w:top w:val="nil"/>
              <w:bottom w:val="nil"/>
            </w:tcBorders>
            <w:shd w:val="clear" w:color="auto" w:fill="auto"/>
            <w:vAlign w:val="center"/>
          </w:tcPr>
          <w:p w14:paraId="7F404BB8" w14:textId="77777777" w:rsidR="00375569" w:rsidRPr="005A1043"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Cs/>
              </w:rPr>
            </w:pPr>
            <w:r>
              <w:rPr>
                <w:bCs/>
              </w:rPr>
              <w:t>--</w:t>
            </w:r>
          </w:p>
        </w:tc>
        <w:tc>
          <w:tcPr>
            <w:tcW w:w="1242" w:type="dxa"/>
            <w:tcBorders>
              <w:top w:val="nil"/>
              <w:bottom w:val="nil"/>
            </w:tcBorders>
            <w:shd w:val="clear" w:color="auto" w:fill="auto"/>
            <w:vAlign w:val="center"/>
          </w:tcPr>
          <w:p w14:paraId="60A5C070" w14:textId="77777777" w:rsidR="00375569" w:rsidRPr="005A1043" w:rsidRDefault="00375569" w:rsidP="008E2F67">
            <w:pPr>
              <w:pStyle w:val="08-Tabelageral"/>
              <w:cnfStyle w:val="000000000000" w:firstRow="0" w:lastRow="0" w:firstColumn="0" w:lastColumn="0" w:oddVBand="0" w:evenVBand="0" w:oddHBand="0" w:evenHBand="0" w:firstRowFirstColumn="0" w:firstRowLastColumn="0" w:lastRowFirstColumn="0" w:lastRowLastColumn="0"/>
              <w:rPr>
                <w:bCs/>
              </w:rPr>
            </w:pPr>
            <w:r w:rsidRPr="00275A1E">
              <w:t>(2.699.904)</w:t>
            </w:r>
          </w:p>
        </w:tc>
      </w:tr>
      <w:tr w:rsidR="00375569" w:rsidRPr="0042427F" w14:paraId="011924C0" w14:textId="77777777" w:rsidTr="00087B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5C6A1FFD" w14:textId="77777777" w:rsidR="00375569" w:rsidRPr="0042427F" w:rsidRDefault="00375569" w:rsidP="008E2F67">
            <w:pPr>
              <w:pStyle w:val="08-Tabelageral"/>
              <w:jc w:val="left"/>
            </w:pPr>
            <w:r w:rsidRPr="00D015E4">
              <w:t>Caixa Gerad</w:t>
            </w:r>
            <w:r>
              <w:t>o Pelas</w:t>
            </w:r>
            <w:proofErr w:type="gramStart"/>
            <w:r>
              <w:t>/(</w:t>
            </w:r>
            <w:proofErr w:type="gramEnd"/>
            <w:r>
              <w:t>Consumido Nas) Atividades d</w:t>
            </w:r>
            <w:r w:rsidRPr="00D015E4">
              <w:t>e Financiamento</w:t>
            </w:r>
          </w:p>
        </w:tc>
        <w:tc>
          <w:tcPr>
            <w:tcW w:w="567" w:type="dxa"/>
            <w:tcBorders>
              <w:top w:val="nil"/>
              <w:bottom w:val="nil"/>
            </w:tcBorders>
            <w:shd w:val="clear" w:color="auto" w:fill="auto"/>
            <w:vAlign w:val="center"/>
          </w:tcPr>
          <w:p w14:paraId="6E5A162F"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181" w:type="dxa"/>
            <w:tcBorders>
              <w:top w:val="nil"/>
              <w:bottom w:val="nil"/>
            </w:tcBorders>
            <w:shd w:val="clear" w:color="auto" w:fill="auto"/>
            <w:vAlign w:val="center"/>
          </w:tcPr>
          <w:p w14:paraId="1111EAC9" w14:textId="77777777" w:rsidR="00375569" w:rsidRPr="00402062"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rPr>
            </w:pPr>
            <w:r>
              <w:rPr>
                <w:b/>
              </w:rPr>
              <w:t>(</w:t>
            </w:r>
            <w:r w:rsidRPr="00746E51">
              <w:rPr>
                <w:b/>
              </w:rPr>
              <w:t>1.990.675</w:t>
            </w:r>
            <w:r>
              <w:rPr>
                <w:b/>
              </w:rPr>
              <w:t>)</w:t>
            </w:r>
          </w:p>
        </w:tc>
        <w:tc>
          <w:tcPr>
            <w:tcW w:w="1196" w:type="dxa"/>
            <w:tcBorders>
              <w:top w:val="nil"/>
              <w:bottom w:val="nil"/>
            </w:tcBorders>
            <w:shd w:val="clear" w:color="auto" w:fill="auto"/>
            <w:vAlign w:val="center"/>
          </w:tcPr>
          <w:p w14:paraId="7768CF19" w14:textId="77777777" w:rsidR="00375569" w:rsidRPr="009D5C7C"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7C2F2D">
              <w:rPr>
                <w:b/>
              </w:rPr>
              <w:t>(8.262.562)</w:t>
            </w:r>
          </w:p>
        </w:tc>
        <w:tc>
          <w:tcPr>
            <w:tcW w:w="282" w:type="dxa"/>
            <w:tcBorders>
              <w:top w:val="nil"/>
              <w:bottom w:val="nil"/>
            </w:tcBorders>
            <w:shd w:val="clear" w:color="auto" w:fill="auto"/>
            <w:vAlign w:val="center"/>
          </w:tcPr>
          <w:p w14:paraId="0ADDE720" w14:textId="77777777" w:rsidR="00375569" w:rsidRPr="009D5C7C"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44" w:type="dxa"/>
            <w:tcBorders>
              <w:top w:val="nil"/>
              <w:bottom w:val="nil"/>
            </w:tcBorders>
            <w:shd w:val="clear" w:color="auto" w:fill="auto"/>
            <w:vAlign w:val="center"/>
          </w:tcPr>
          <w:p w14:paraId="7DF85F9B" w14:textId="77777777" w:rsidR="00375569" w:rsidRPr="00E841B4"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w:t>
            </w:r>
            <w:r w:rsidRPr="00746E51">
              <w:rPr>
                <w:b/>
                <w:bCs/>
              </w:rPr>
              <w:t>1.990.675</w:t>
            </w:r>
            <w:r>
              <w:rPr>
                <w:b/>
                <w:bCs/>
              </w:rPr>
              <w:t>)</w:t>
            </w:r>
          </w:p>
        </w:tc>
        <w:tc>
          <w:tcPr>
            <w:tcW w:w="1242" w:type="dxa"/>
            <w:tcBorders>
              <w:top w:val="nil"/>
              <w:bottom w:val="nil"/>
            </w:tcBorders>
            <w:shd w:val="clear" w:color="auto" w:fill="auto"/>
            <w:vAlign w:val="center"/>
          </w:tcPr>
          <w:p w14:paraId="3C78CB39" w14:textId="77777777" w:rsidR="00375569" w:rsidRPr="009D5C7C"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r w:rsidRPr="00275A1E">
              <w:rPr>
                <w:b/>
                <w:bCs/>
              </w:rPr>
              <w:t>(8.262.562)</w:t>
            </w:r>
          </w:p>
        </w:tc>
      </w:tr>
      <w:tr w:rsidR="00375569" w:rsidRPr="001D6BE8" w14:paraId="6F7658A9" w14:textId="77777777" w:rsidTr="002254DE">
        <w:trPr>
          <w:trHeight w:val="70"/>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3CA38176" w14:textId="77777777" w:rsidR="00375569" w:rsidRPr="0038031F" w:rsidRDefault="00375569" w:rsidP="00F128AF">
            <w:pPr>
              <w:pStyle w:val="08-Tabelageral"/>
              <w:ind w:left="113"/>
              <w:jc w:val="left"/>
              <w:rPr>
                <w:b w:val="0"/>
              </w:rPr>
            </w:pPr>
          </w:p>
        </w:tc>
        <w:tc>
          <w:tcPr>
            <w:tcW w:w="567" w:type="dxa"/>
            <w:tcBorders>
              <w:top w:val="nil"/>
              <w:bottom w:val="nil"/>
            </w:tcBorders>
            <w:shd w:val="clear" w:color="auto" w:fill="auto"/>
            <w:vAlign w:val="center"/>
          </w:tcPr>
          <w:p w14:paraId="67AA700C" w14:textId="77777777" w:rsidR="00375569" w:rsidRPr="00E0461B" w:rsidRDefault="00375569" w:rsidP="00F128AF">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10995C0C" w14:textId="77777777" w:rsidR="00375569" w:rsidRPr="00350BA7"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666CEA1C" w14:textId="77777777" w:rsidR="00375569" w:rsidRPr="00CF4B29" w:rsidRDefault="00375569" w:rsidP="00F128AF">
            <w:pPr>
              <w:pStyle w:val="08-Tabelageral"/>
              <w:cnfStyle w:val="000000000000" w:firstRow="0" w:lastRow="0" w:firstColumn="0" w:lastColumn="0" w:oddVBand="0" w:evenVBand="0" w:oddHBand="0" w:evenHBand="0" w:firstRowFirstColumn="0" w:firstRowLastColumn="0" w:lastRowFirstColumn="0" w:lastRowLastColumn="0"/>
            </w:pPr>
          </w:p>
        </w:tc>
        <w:tc>
          <w:tcPr>
            <w:tcW w:w="282" w:type="dxa"/>
            <w:tcBorders>
              <w:top w:val="nil"/>
              <w:bottom w:val="nil"/>
            </w:tcBorders>
            <w:shd w:val="clear" w:color="auto" w:fill="auto"/>
            <w:vAlign w:val="center"/>
          </w:tcPr>
          <w:p w14:paraId="7B5E2563" w14:textId="77777777" w:rsidR="00375569" w:rsidRPr="00350BA7"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65CD3269" w14:textId="77777777" w:rsidR="00375569" w:rsidRPr="00350BA7" w:rsidRDefault="00375569" w:rsidP="00F128AF">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0C13D245" w14:textId="77777777" w:rsidR="00375569" w:rsidRPr="00CF4B29" w:rsidRDefault="00375569" w:rsidP="00F128AF">
            <w:pPr>
              <w:pStyle w:val="08-Tabelageral"/>
              <w:cnfStyle w:val="000000000000" w:firstRow="0" w:lastRow="0" w:firstColumn="0" w:lastColumn="0" w:oddVBand="0" w:evenVBand="0" w:oddHBand="0" w:evenHBand="0" w:firstRowFirstColumn="0" w:firstRowLastColumn="0" w:lastRowFirstColumn="0" w:lastRowLastColumn="0"/>
            </w:pPr>
          </w:p>
        </w:tc>
      </w:tr>
      <w:tr w:rsidR="00375569" w:rsidRPr="0091618D" w14:paraId="2BB52AA9" w14:textId="77777777" w:rsidTr="00102B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2A34430F" w14:textId="77777777" w:rsidR="00375569" w:rsidRPr="00354D74" w:rsidRDefault="00375569" w:rsidP="00746E51">
            <w:pPr>
              <w:pStyle w:val="08-Tabelageral"/>
              <w:jc w:val="left"/>
            </w:pPr>
            <w:r w:rsidRPr="00354D74">
              <w:t>Variação L</w:t>
            </w:r>
            <w:r>
              <w:t>íquida de Caixa e Equivalentes d</w:t>
            </w:r>
            <w:r w:rsidRPr="00354D74">
              <w:t>e Caixa</w:t>
            </w:r>
          </w:p>
        </w:tc>
        <w:tc>
          <w:tcPr>
            <w:tcW w:w="567" w:type="dxa"/>
            <w:tcBorders>
              <w:top w:val="nil"/>
              <w:bottom w:val="nil"/>
            </w:tcBorders>
            <w:shd w:val="clear" w:color="auto" w:fill="auto"/>
            <w:vAlign w:val="center"/>
          </w:tcPr>
          <w:p w14:paraId="31FD4D13" w14:textId="77777777" w:rsidR="00375569" w:rsidRPr="00E0461B" w:rsidRDefault="00375569" w:rsidP="00746E51">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left w:val="nil"/>
              <w:bottom w:val="nil"/>
              <w:right w:val="nil"/>
            </w:tcBorders>
            <w:shd w:val="clear" w:color="auto" w:fill="auto"/>
            <w:vAlign w:val="center"/>
          </w:tcPr>
          <w:p w14:paraId="5D829556" w14:textId="77777777" w:rsidR="00375569" w:rsidRPr="007C2F2D" w:rsidRDefault="00375569" w:rsidP="00746E51">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160.449</w:t>
            </w:r>
          </w:p>
        </w:tc>
        <w:tc>
          <w:tcPr>
            <w:tcW w:w="1196" w:type="dxa"/>
            <w:tcBorders>
              <w:top w:val="nil"/>
              <w:bottom w:val="nil"/>
            </w:tcBorders>
            <w:shd w:val="clear" w:color="auto" w:fill="auto"/>
            <w:vAlign w:val="center"/>
          </w:tcPr>
          <w:p w14:paraId="75A7F05C" w14:textId="77777777" w:rsidR="00375569" w:rsidRPr="009D5C7C" w:rsidRDefault="00375569" w:rsidP="00746E51">
            <w:pPr>
              <w:pStyle w:val="08-Tabelageral"/>
              <w:cnfStyle w:val="000000100000" w:firstRow="0" w:lastRow="0" w:firstColumn="0" w:lastColumn="0" w:oddVBand="0" w:evenVBand="0" w:oddHBand="1" w:evenHBand="0" w:firstRowFirstColumn="0" w:firstRowLastColumn="0" w:lastRowFirstColumn="0" w:lastRowLastColumn="0"/>
              <w:rPr>
                <w:b/>
                <w:bCs/>
              </w:rPr>
            </w:pPr>
            <w:r w:rsidRPr="007C2F2D">
              <w:rPr>
                <w:b/>
              </w:rPr>
              <w:t xml:space="preserve"> (4.022.302)</w:t>
            </w:r>
          </w:p>
        </w:tc>
        <w:tc>
          <w:tcPr>
            <w:tcW w:w="282" w:type="dxa"/>
            <w:tcBorders>
              <w:top w:val="nil"/>
              <w:bottom w:val="nil"/>
            </w:tcBorders>
            <w:shd w:val="clear" w:color="auto" w:fill="auto"/>
            <w:vAlign w:val="center"/>
          </w:tcPr>
          <w:p w14:paraId="46BCFDBF" w14:textId="77777777" w:rsidR="00375569" w:rsidRPr="006F632C" w:rsidRDefault="00375569" w:rsidP="00746E51">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44" w:type="dxa"/>
            <w:tcBorders>
              <w:top w:val="nil"/>
              <w:left w:val="nil"/>
              <w:bottom w:val="nil"/>
              <w:right w:val="nil"/>
            </w:tcBorders>
            <w:shd w:val="clear" w:color="auto" w:fill="auto"/>
            <w:vAlign w:val="center"/>
          </w:tcPr>
          <w:p w14:paraId="5B5F59D5" w14:textId="77777777" w:rsidR="00375569" w:rsidRPr="005A1043" w:rsidRDefault="00375569" w:rsidP="00746E51">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1.895.116</w:t>
            </w:r>
          </w:p>
        </w:tc>
        <w:tc>
          <w:tcPr>
            <w:tcW w:w="1242" w:type="dxa"/>
            <w:tcBorders>
              <w:top w:val="nil"/>
              <w:bottom w:val="nil"/>
            </w:tcBorders>
            <w:shd w:val="clear" w:color="auto" w:fill="auto"/>
            <w:vAlign w:val="center"/>
          </w:tcPr>
          <w:p w14:paraId="74062B39" w14:textId="77777777" w:rsidR="00375569" w:rsidRPr="005A1043" w:rsidRDefault="00375569" w:rsidP="00746E51">
            <w:pPr>
              <w:pStyle w:val="08-Tabelageral"/>
              <w:cnfStyle w:val="000000100000" w:firstRow="0" w:lastRow="0" w:firstColumn="0" w:lastColumn="0" w:oddVBand="0" w:evenVBand="0" w:oddHBand="1" w:evenHBand="0" w:firstRowFirstColumn="0" w:firstRowLastColumn="0" w:lastRowFirstColumn="0" w:lastRowLastColumn="0"/>
              <w:rPr>
                <w:b/>
                <w:bCs/>
              </w:rPr>
            </w:pPr>
            <w:r w:rsidRPr="00275A1E">
              <w:rPr>
                <w:b/>
              </w:rPr>
              <w:t xml:space="preserve"> (5.185.847)</w:t>
            </w:r>
          </w:p>
        </w:tc>
      </w:tr>
      <w:tr w:rsidR="00375569" w:rsidRPr="00354D74" w14:paraId="517AD728" w14:textId="77777777" w:rsidTr="00102BD4">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0326019" w14:textId="77777777" w:rsidR="00375569" w:rsidRPr="00354D74" w:rsidRDefault="00375569" w:rsidP="00746E51">
            <w:pPr>
              <w:pStyle w:val="08-Tabelageral"/>
              <w:ind w:left="113"/>
              <w:jc w:val="left"/>
              <w:rPr>
                <w:b w:val="0"/>
              </w:rPr>
            </w:pPr>
            <w:r w:rsidRPr="00354D74">
              <w:rPr>
                <w:b w:val="0"/>
              </w:rPr>
              <w:t>Início do</w:t>
            </w:r>
            <w:r>
              <w:t xml:space="preserve"> </w:t>
            </w:r>
            <w:r>
              <w:rPr>
                <w:b w:val="0"/>
              </w:rPr>
              <w:t>e</w:t>
            </w:r>
            <w:r w:rsidRPr="00174B05">
              <w:rPr>
                <w:b w:val="0"/>
              </w:rPr>
              <w:t>xercício</w:t>
            </w:r>
          </w:p>
        </w:tc>
        <w:tc>
          <w:tcPr>
            <w:tcW w:w="567" w:type="dxa"/>
            <w:tcBorders>
              <w:top w:val="nil"/>
              <w:bottom w:val="nil"/>
            </w:tcBorders>
            <w:shd w:val="clear" w:color="auto" w:fill="auto"/>
            <w:vAlign w:val="center"/>
          </w:tcPr>
          <w:p w14:paraId="079D7C99" w14:textId="77777777" w:rsidR="00375569" w:rsidRPr="0035074B" w:rsidRDefault="00375569" w:rsidP="00746E51">
            <w:pPr>
              <w:pStyle w:val="08-Tabelageral"/>
              <w:jc w:val="left"/>
              <w:cnfStyle w:val="000000000000" w:firstRow="0" w:lastRow="0" w:firstColumn="0" w:lastColumn="0" w:oddVBand="0" w:evenVBand="0" w:oddHBand="0" w:evenHBand="0" w:firstRowFirstColumn="0" w:firstRowLastColumn="0" w:lastRowFirstColumn="0" w:lastRowLastColumn="0"/>
              <w:rPr>
                <w:bCs/>
              </w:rPr>
            </w:pPr>
            <w:r w:rsidRPr="0035074B">
              <w:rPr>
                <w:bCs/>
              </w:rPr>
              <w:t>[15]</w:t>
            </w:r>
          </w:p>
        </w:tc>
        <w:tc>
          <w:tcPr>
            <w:tcW w:w="1181" w:type="dxa"/>
            <w:tcBorders>
              <w:top w:val="nil"/>
              <w:left w:val="nil"/>
              <w:bottom w:val="nil"/>
              <w:right w:val="nil"/>
            </w:tcBorders>
            <w:shd w:val="clear" w:color="auto" w:fill="auto"/>
            <w:vAlign w:val="center"/>
          </w:tcPr>
          <w:p w14:paraId="3FC1A112" w14:textId="77777777" w:rsidR="00375569" w:rsidRPr="00EC1904" w:rsidRDefault="00375569" w:rsidP="00746E51">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208.893</w:t>
            </w:r>
          </w:p>
        </w:tc>
        <w:tc>
          <w:tcPr>
            <w:tcW w:w="1196" w:type="dxa"/>
            <w:tcBorders>
              <w:top w:val="nil"/>
              <w:bottom w:val="nil"/>
            </w:tcBorders>
            <w:shd w:val="clear" w:color="auto" w:fill="auto"/>
            <w:vAlign w:val="center"/>
          </w:tcPr>
          <w:p w14:paraId="024CFED1" w14:textId="77777777" w:rsidR="00375569" w:rsidRPr="00354D74" w:rsidRDefault="00375569" w:rsidP="00746E51">
            <w:pPr>
              <w:pStyle w:val="08-Tabelageral"/>
              <w:ind w:left="113"/>
              <w:cnfStyle w:val="000000000000" w:firstRow="0" w:lastRow="0" w:firstColumn="0" w:lastColumn="0" w:oddVBand="0" w:evenVBand="0" w:oddHBand="0" w:evenHBand="0" w:firstRowFirstColumn="0" w:firstRowLastColumn="0" w:lastRowFirstColumn="0" w:lastRowLastColumn="0"/>
            </w:pPr>
            <w:r w:rsidRPr="00E53B3F">
              <w:t xml:space="preserve"> 4.231.195 </w:t>
            </w:r>
          </w:p>
        </w:tc>
        <w:tc>
          <w:tcPr>
            <w:tcW w:w="282" w:type="dxa"/>
            <w:tcBorders>
              <w:top w:val="nil"/>
              <w:bottom w:val="nil"/>
            </w:tcBorders>
            <w:shd w:val="clear" w:color="auto" w:fill="auto"/>
            <w:vAlign w:val="center"/>
          </w:tcPr>
          <w:p w14:paraId="5ED85225" w14:textId="77777777" w:rsidR="00375569" w:rsidRPr="00354D74" w:rsidRDefault="00375569" w:rsidP="00746E51">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left w:val="nil"/>
              <w:bottom w:val="nil"/>
              <w:right w:val="nil"/>
            </w:tcBorders>
            <w:shd w:val="clear" w:color="auto" w:fill="auto"/>
            <w:vAlign w:val="center"/>
          </w:tcPr>
          <w:p w14:paraId="2BD43474" w14:textId="77777777" w:rsidR="00375569" w:rsidRPr="00354D74" w:rsidRDefault="00375569" w:rsidP="00746E51">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2.195.445</w:t>
            </w:r>
          </w:p>
        </w:tc>
        <w:tc>
          <w:tcPr>
            <w:tcW w:w="1242" w:type="dxa"/>
            <w:tcBorders>
              <w:top w:val="nil"/>
              <w:bottom w:val="nil"/>
            </w:tcBorders>
            <w:shd w:val="clear" w:color="auto" w:fill="auto"/>
            <w:vAlign w:val="center"/>
          </w:tcPr>
          <w:p w14:paraId="06ED1CE9" w14:textId="77777777" w:rsidR="00375569" w:rsidRPr="00354D74" w:rsidRDefault="00375569" w:rsidP="00746E51">
            <w:pPr>
              <w:pStyle w:val="08-Tabelageral"/>
              <w:ind w:left="113"/>
              <w:cnfStyle w:val="000000000000" w:firstRow="0" w:lastRow="0" w:firstColumn="0" w:lastColumn="0" w:oddVBand="0" w:evenVBand="0" w:oddHBand="0" w:evenHBand="0" w:firstRowFirstColumn="0" w:firstRowLastColumn="0" w:lastRowFirstColumn="0" w:lastRowLastColumn="0"/>
            </w:pPr>
            <w:r w:rsidRPr="008900A8">
              <w:t xml:space="preserve"> 7.381.292 </w:t>
            </w:r>
          </w:p>
        </w:tc>
      </w:tr>
      <w:tr w:rsidR="00375569" w:rsidRPr="00354D74" w14:paraId="241F7DA7" w14:textId="77777777" w:rsidTr="00102B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709D026E" w14:textId="77777777" w:rsidR="00375569" w:rsidRPr="00354D74" w:rsidRDefault="00375569" w:rsidP="00746E51">
            <w:pPr>
              <w:pStyle w:val="08-Tabelageral"/>
              <w:ind w:left="113"/>
              <w:jc w:val="left"/>
              <w:rPr>
                <w:b w:val="0"/>
              </w:rPr>
            </w:pPr>
            <w:r w:rsidRPr="00354D74">
              <w:rPr>
                <w:b w:val="0"/>
              </w:rPr>
              <w:t xml:space="preserve">Fim do </w:t>
            </w:r>
            <w:r>
              <w:rPr>
                <w:b w:val="0"/>
              </w:rPr>
              <w:t>e</w:t>
            </w:r>
            <w:r w:rsidRPr="00174B05">
              <w:rPr>
                <w:b w:val="0"/>
              </w:rPr>
              <w:t>xercício</w:t>
            </w:r>
          </w:p>
        </w:tc>
        <w:tc>
          <w:tcPr>
            <w:tcW w:w="567" w:type="dxa"/>
            <w:tcBorders>
              <w:top w:val="nil"/>
              <w:bottom w:val="nil"/>
            </w:tcBorders>
            <w:shd w:val="clear" w:color="auto" w:fill="auto"/>
            <w:vAlign w:val="center"/>
          </w:tcPr>
          <w:p w14:paraId="52731B30" w14:textId="77777777" w:rsidR="00375569" w:rsidRPr="0035074B" w:rsidRDefault="00375569" w:rsidP="00746E51">
            <w:pPr>
              <w:pStyle w:val="08-Tabelageral"/>
              <w:jc w:val="left"/>
              <w:cnfStyle w:val="000000100000" w:firstRow="0" w:lastRow="0" w:firstColumn="0" w:lastColumn="0" w:oddVBand="0" w:evenVBand="0" w:oddHBand="1" w:evenHBand="0" w:firstRowFirstColumn="0" w:firstRowLastColumn="0" w:lastRowFirstColumn="0" w:lastRowLastColumn="0"/>
              <w:rPr>
                <w:bCs/>
              </w:rPr>
            </w:pPr>
            <w:r w:rsidRPr="0035074B">
              <w:rPr>
                <w:bCs/>
              </w:rPr>
              <w:t>[15]</w:t>
            </w:r>
          </w:p>
        </w:tc>
        <w:tc>
          <w:tcPr>
            <w:tcW w:w="1181" w:type="dxa"/>
            <w:tcBorders>
              <w:top w:val="nil"/>
              <w:left w:val="nil"/>
              <w:bottom w:val="nil"/>
              <w:right w:val="nil"/>
            </w:tcBorders>
            <w:shd w:val="clear" w:color="auto" w:fill="auto"/>
            <w:vAlign w:val="center"/>
          </w:tcPr>
          <w:p w14:paraId="24E6E990" w14:textId="77777777" w:rsidR="00375569" w:rsidRPr="00EC1904" w:rsidRDefault="00375569" w:rsidP="00746E51">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369.342</w:t>
            </w:r>
          </w:p>
        </w:tc>
        <w:tc>
          <w:tcPr>
            <w:tcW w:w="1196" w:type="dxa"/>
            <w:tcBorders>
              <w:top w:val="nil"/>
              <w:bottom w:val="nil"/>
            </w:tcBorders>
            <w:shd w:val="clear" w:color="auto" w:fill="auto"/>
            <w:vAlign w:val="center"/>
          </w:tcPr>
          <w:p w14:paraId="499B0D15" w14:textId="77777777" w:rsidR="00375569" w:rsidRPr="00354D74" w:rsidRDefault="00375569" w:rsidP="00746E51">
            <w:pPr>
              <w:pStyle w:val="08-Tabelageral"/>
              <w:ind w:left="113"/>
              <w:cnfStyle w:val="000000100000" w:firstRow="0" w:lastRow="0" w:firstColumn="0" w:lastColumn="0" w:oddVBand="0" w:evenVBand="0" w:oddHBand="1" w:evenHBand="0" w:firstRowFirstColumn="0" w:firstRowLastColumn="0" w:lastRowFirstColumn="0" w:lastRowLastColumn="0"/>
            </w:pPr>
            <w:r w:rsidRPr="00E53B3F">
              <w:t xml:space="preserve"> 208.893 </w:t>
            </w:r>
          </w:p>
        </w:tc>
        <w:tc>
          <w:tcPr>
            <w:tcW w:w="282" w:type="dxa"/>
            <w:tcBorders>
              <w:top w:val="nil"/>
              <w:bottom w:val="nil"/>
            </w:tcBorders>
            <w:shd w:val="clear" w:color="auto" w:fill="auto"/>
            <w:vAlign w:val="center"/>
          </w:tcPr>
          <w:p w14:paraId="5C51BB50" w14:textId="77777777" w:rsidR="00375569" w:rsidRPr="00354D74" w:rsidRDefault="00375569" w:rsidP="00746E51">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left w:val="nil"/>
              <w:bottom w:val="nil"/>
              <w:right w:val="nil"/>
            </w:tcBorders>
            <w:shd w:val="clear" w:color="auto" w:fill="auto"/>
            <w:vAlign w:val="center"/>
          </w:tcPr>
          <w:p w14:paraId="468BE05A" w14:textId="77777777" w:rsidR="00375569" w:rsidRPr="00354D74" w:rsidRDefault="00375569" w:rsidP="00746E51">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4.090.561</w:t>
            </w:r>
          </w:p>
        </w:tc>
        <w:tc>
          <w:tcPr>
            <w:tcW w:w="1242" w:type="dxa"/>
            <w:tcBorders>
              <w:top w:val="nil"/>
              <w:bottom w:val="nil"/>
            </w:tcBorders>
            <w:shd w:val="clear" w:color="auto" w:fill="auto"/>
            <w:vAlign w:val="center"/>
          </w:tcPr>
          <w:p w14:paraId="7F2AB2EF" w14:textId="77777777" w:rsidR="00375569" w:rsidRPr="00354D74" w:rsidRDefault="00375569" w:rsidP="00746E51">
            <w:pPr>
              <w:pStyle w:val="08-Tabelageral"/>
              <w:ind w:left="113"/>
              <w:cnfStyle w:val="000000100000" w:firstRow="0" w:lastRow="0" w:firstColumn="0" w:lastColumn="0" w:oddVBand="0" w:evenVBand="0" w:oddHBand="1" w:evenHBand="0" w:firstRowFirstColumn="0" w:firstRowLastColumn="0" w:lastRowFirstColumn="0" w:lastRowLastColumn="0"/>
            </w:pPr>
            <w:r w:rsidRPr="008900A8">
              <w:t xml:space="preserve"> 2.195.445 </w:t>
            </w:r>
          </w:p>
        </w:tc>
      </w:tr>
      <w:tr w:rsidR="00375569" w:rsidRPr="00354D74" w14:paraId="4587A7F7" w14:textId="77777777" w:rsidTr="00102BD4">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672428D6" w14:textId="77777777" w:rsidR="00375569" w:rsidRPr="00354D74" w:rsidRDefault="00375569" w:rsidP="00746E51">
            <w:pPr>
              <w:pStyle w:val="08-Tabelageral"/>
              <w:jc w:val="left"/>
            </w:pPr>
            <w:r w:rsidRPr="00354D74">
              <w:t>Aumento</w:t>
            </w:r>
            <w:r>
              <w:t>/(Redução) de Caixa e Equivalentes d</w:t>
            </w:r>
            <w:r w:rsidRPr="00354D74">
              <w:t>e Caixa</w:t>
            </w:r>
          </w:p>
        </w:tc>
        <w:tc>
          <w:tcPr>
            <w:tcW w:w="567" w:type="dxa"/>
            <w:tcBorders>
              <w:top w:val="nil"/>
              <w:bottom w:val="nil"/>
            </w:tcBorders>
            <w:shd w:val="clear" w:color="auto" w:fill="auto"/>
            <w:vAlign w:val="center"/>
          </w:tcPr>
          <w:p w14:paraId="713F8A48" w14:textId="77777777" w:rsidR="00375569" w:rsidRPr="00E0461B" w:rsidRDefault="00375569" w:rsidP="00746E51">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181" w:type="dxa"/>
            <w:tcBorders>
              <w:top w:val="nil"/>
              <w:left w:val="nil"/>
              <w:bottom w:val="nil"/>
              <w:right w:val="nil"/>
            </w:tcBorders>
            <w:shd w:val="clear" w:color="auto" w:fill="auto"/>
            <w:vAlign w:val="center"/>
          </w:tcPr>
          <w:p w14:paraId="2DA8E59E" w14:textId="77777777" w:rsidR="00375569" w:rsidRPr="007C2F2D" w:rsidRDefault="00375569" w:rsidP="00746E51">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b/>
                <w:bCs/>
                <w:color w:val="000000"/>
                <w:szCs w:val="14"/>
              </w:rPr>
              <w:t>160.449</w:t>
            </w:r>
          </w:p>
        </w:tc>
        <w:tc>
          <w:tcPr>
            <w:tcW w:w="1196" w:type="dxa"/>
            <w:tcBorders>
              <w:top w:val="nil"/>
              <w:bottom w:val="nil"/>
            </w:tcBorders>
            <w:shd w:val="clear" w:color="auto" w:fill="auto"/>
            <w:vAlign w:val="center"/>
          </w:tcPr>
          <w:p w14:paraId="437DA2CF" w14:textId="77777777" w:rsidR="00375569" w:rsidRPr="009D5C7C" w:rsidRDefault="00375569" w:rsidP="00746E51">
            <w:pPr>
              <w:pStyle w:val="08-Tabelageral"/>
              <w:cnfStyle w:val="000000000000" w:firstRow="0" w:lastRow="0" w:firstColumn="0" w:lastColumn="0" w:oddVBand="0" w:evenVBand="0" w:oddHBand="0" w:evenHBand="0" w:firstRowFirstColumn="0" w:firstRowLastColumn="0" w:lastRowFirstColumn="0" w:lastRowLastColumn="0"/>
              <w:rPr>
                <w:b/>
                <w:bCs/>
              </w:rPr>
            </w:pPr>
            <w:r w:rsidRPr="007C2F2D">
              <w:rPr>
                <w:b/>
              </w:rPr>
              <w:t xml:space="preserve"> (4.022.302)</w:t>
            </w:r>
          </w:p>
        </w:tc>
        <w:tc>
          <w:tcPr>
            <w:tcW w:w="282" w:type="dxa"/>
            <w:tcBorders>
              <w:top w:val="nil"/>
              <w:bottom w:val="nil"/>
            </w:tcBorders>
            <w:shd w:val="clear" w:color="auto" w:fill="auto"/>
            <w:vAlign w:val="center"/>
          </w:tcPr>
          <w:p w14:paraId="45DBB2D2" w14:textId="77777777" w:rsidR="00375569" w:rsidRPr="009D5C7C" w:rsidRDefault="00375569" w:rsidP="00746E51">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244" w:type="dxa"/>
            <w:tcBorders>
              <w:top w:val="nil"/>
              <w:left w:val="nil"/>
              <w:bottom w:val="nil"/>
              <w:right w:val="nil"/>
            </w:tcBorders>
            <w:shd w:val="clear" w:color="auto" w:fill="auto"/>
            <w:vAlign w:val="center"/>
          </w:tcPr>
          <w:p w14:paraId="1867F10B" w14:textId="77777777" w:rsidR="00375569" w:rsidRPr="005A1043" w:rsidRDefault="00375569" w:rsidP="00746E51">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b/>
                <w:bCs/>
                <w:color w:val="000000"/>
                <w:szCs w:val="14"/>
              </w:rPr>
              <w:t>1.895.116</w:t>
            </w:r>
          </w:p>
        </w:tc>
        <w:tc>
          <w:tcPr>
            <w:tcW w:w="1242" w:type="dxa"/>
            <w:tcBorders>
              <w:top w:val="nil"/>
              <w:bottom w:val="nil"/>
            </w:tcBorders>
            <w:shd w:val="clear" w:color="auto" w:fill="auto"/>
            <w:vAlign w:val="center"/>
          </w:tcPr>
          <w:p w14:paraId="6696E2CC" w14:textId="77777777" w:rsidR="00375569" w:rsidRPr="005A1043" w:rsidRDefault="00375569" w:rsidP="00746E51">
            <w:pPr>
              <w:pStyle w:val="08-Tabelageral"/>
              <w:cnfStyle w:val="000000000000" w:firstRow="0" w:lastRow="0" w:firstColumn="0" w:lastColumn="0" w:oddVBand="0" w:evenVBand="0" w:oddHBand="0" w:evenHBand="0" w:firstRowFirstColumn="0" w:firstRowLastColumn="0" w:lastRowFirstColumn="0" w:lastRowLastColumn="0"/>
              <w:rPr>
                <w:b/>
                <w:bCs/>
              </w:rPr>
            </w:pPr>
            <w:r w:rsidRPr="00275A1E">
              <w:rPr>
                <w:b/>
              </w:rPr>
              <w:t xml:space="preserve"> (5.185.847)</w:t>
            </w:r>
          </w:p>
        </w:tc>
      </w:tr>
      <w:tr w:rsidR="00375569" w:rsidRPr="001D6BE8" w14:paraId="2D271950" w14:textId="77777777" w:rsidTr="002254D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043923D" w14:textId="77777777" w:rsidR="00375569" w:rsidRPr="0038031F" w:rsidRDefault="00375569" w:rsidP="009D5C7C">
            <w:pPr>
              <w:pStyle w:val="08-Tabelageral"/>
              <w:ind w:left="113"/>
              <w:jc w:val="left"/>
              <w:rPr>
                <w:b w:val="0"/>
              </w:rPr>
            </w:pPr>
          </w:p>
        </w:tc>
        <w:tc>
          <w:tcPr>
            <w:tcW w:w="567" w:type="dxa"/>
            <w:tcBorders>
              <w:top w:val="nil"/>
              <w:bottom w:val="nil"/>
            </w:tcBorders>
            <w:shd w:val="clear" w:color="auto" w:fill="auto"/>
            <w:vAlign w:val="center"/>
          </w:tcPr>
          <w:p w14:paraId="3B4DEA07" w14:textId="77777777" w:rsidR="00375569" w:rsidRPr="00E0461B" w:rsidRDefault="00375569" w:rsidP="009D5C7C">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181" w:type="dxa"/>
            <w:tcBorders>
              <w:top w:val="nil"/>
              <w:bottom w:val="nil"/>
            </w:tcBorders>
            <w:shd w:val="clear" w:color="auto" w:fill="auto"/>
            <w:vAlign w:val="center"/>
          </w:tcPr>
          <w:p w14:paraId="3717ED68" w14:textId="77777777" w:rsidR="00375569" w:rsidRPr="00350BA7"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2BFB6EFF" w14:textId="77777777" w:rsidR="00375569" w:rsidRPr="00CF4B29" w:rsidRDefault="00375569" w:rsidP="009D5C7C">
            <w:pPr>
              <w:pStyle w:val="08-Tabelageral"/>
              <w:cnfStyle w:val="000000100000" w:firstRow="0" w:lastRow="0" w:firstColumn="0" w:lastColumn="0" w:oddVBand="0" w:evenVBand="0" w:oddHBand="1" w:evenHBand="0" w:firstRowFirstColumn="0" w:firstRowLastColumn="0" w:lastRowFirstColumn="0" w:lastRowLastColumn="0"/>
            </w:pPr>
          </w:p>
        </w:tc>
        <w:tc>
          <w:tcPr>
            <w:tcW w:w="282" w:type="dxa"/>
            <w:tcBorders>
              <w:top w:val="nil"/>
              <w:bottom w:val="nil"/>
            </w:tcBorders>
            <w:shd w:val="clear" w:color="auto" w:fill="auto"/>
            <w:vAlign w:val="center"/>
          </w:tcPr>
          <w:p w14:paraId="67DDF9A9" w14:textId="77777777" w:rsidR="00375569" w:rsidRPr="00350BA7"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49BFBE1B" w14:textId="77777777" w:rsidR="00375569" w:rsidRPr="00350BA7" w:rsidRDefault="00375569" w:rsidP="009D5C7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5BECF95C" w14:textId="77777777" w:rsidR="00375569" w:rsidRPr="00CF4B29" w:rsidRDefault="00375569" w:rsidP="009D5C7C">
            <w:pPr>
              <w:pStyle w:val="08-Tabelageral"/>
              <w:cnfStyle w:val="000000100000" w:firstRow="0" w:lastRow="0" w:firstColumn="0" w:lastColumn="0" w:oddVBand="0" w:evenVBand="0" w:oddHBand="1" w:evenHBand="0" w:firstRowFirstColumn="0" w:firstRowLastColumn="0" w:lastRowFirstColumn="0" w:lastRowLastColumn="0"/>
            </w:pPr>
          </w:p>
        </w:tc>
      </w:tr>
      <w:tr w:rsidR="00375569" w:rsidRPr="00354D74" w14:paraId="31791FBB" w14:textId="77777777" w:rsidTr="002254DE">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5002D233" w14:textId="77777777" w:rsidR="00375569" w:rsidRPr="00354D74" w:rsidRDefault="00375569" w:rsidP="009D5C7C">
            <w:pPr>
              <w:pStyle w:val="08-Tabelageral"/>
              <w:jc w:val="left"/>
            </w:pPr>
            <w:r w:rsidRPr="00354D74">
              <w:t xml:space="preserve">Informações </w:t>
            </w:r>
            <w:r>
              <w:t>Complementares d</w:t>
            </w:r>
            <w:r w:rsidRPr="00354D74">
              <w:t>as Operações</w:t>
            </w:r>
          </w:p>
        </w:tc>
        <w:tc>
          <w:tcPr>
            <w:tcW w:w="567" w:type="dxa"/>
            <w:tcBorders>
              <w:top w:val="nil"/>
              <w:bottom w:val="nil"/>
            </w:tcBorders>
            <w:shd w:val="clear" w:color="auto" w:fill="auto"/>
            <w:vAlign w:val="center"/>
          </w:tcPr>
          <w:p w14:paraId="1746DAF4" w14:textId="77777777" w:rsidR="00375569" w:rsidRPr="00E0461B" w:rsidRDefault="00375569" w:rsidP="009D5C7C">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181" w:type="dxa"/>
            <w:tcBorders>
              <w:top w:val="nil"/>
              <w:bottom w:val="nil"/>
            </w:tcBorders>
            <w:shd w:val="clear" w:color="auto" w:fill="auto"/>
            <w:vAlign w:val="center"/>
          </w:tcPr>
          <w:p w14:paraId="144A6FC0" w14:textId="77777777" w:rsidR="00375569" w:rsidRPr="007B017E"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96" w:type="dxa"/>
            <w:tcBorders>
              <w:top w:val="nil"/>
              <w:bottom w:val="nil"/>
            </w:tcBorders>
            <w:shd w:val="clear" w:color="auto" w:fill="auto"/>
            <w:vAlign w:val="center"/>
          </w:tcPr>
          <w:p w14:paraId="06ADD991" w14:textId="77777777" w:rsidR="00375569" w:rsidRPr="007B017E"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82" w:type="dxa"/>
            <w:tcBorders>
              <w:top w:val="nil"/>
              <w:bottom w:val="nil"/>
            </w:tcBorders>
            <w:shd w:val="clear" w:color="auto" w:fill="auto"/>
            <w:vAlign w:val="center"/>
          </w:tcPr>
          <w:p w14:paraId="568047B9" w14:textId="77777777" w:rsidR="00375569" w:rsidRPr="007B017E"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4" w:type="dxa"/>
            <w:tcBorders>
              <w:top w:val="nil"/>
              <w:bottom w:val="nil"/>
            </w:tcBorders>
            <w:shd w:val="clear" w:color="auto" w:fill="auto"/>
            <w:vAlign w:val="center"/>
          </w:tcPr>
          <w:p w14:paraId="124C58F4" w14:textId="77777777" w:rsidR="00375569" w:rsidRPr="007B017E"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2" w:type="dxa"/>
            <w:tcBorders>
              <w:top w:val="nil"/>
              <w:bottom w:val="nil"/>
            </w:tcBorders>
            <w:shd w:val="clear" w:color="auto" w:fill="auto"/>
            <w:vAlign w:val="center"/>
          </w:tcPr>
          <w:p w14:paraId="15FD4CD4" w14:textId="77777777" w:rsidR="00375569" w:rsidRPr="007B017E" w:rsidRDefault="00375569" w:rsidP="009D5C7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r>
      <w:tr w:rsidR="00375569" w:rsidRPr="00354D74" w14:paraId="69FC2BF2" w14:textId="77777777" w:rsidTr="00343B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EC3240D" w14:textId="77777777" w:rsidR="00375569" w:rsidRPr="00354D74" w:rsidRDefault="00375569" w:rsidP="008E2F67">
            <w:pPr>
              <w:pStyle w:val="08-Tabelageral"/>
              <w:ind w:left="113"/>
              <w:jc w:val="left"/>
              <w:rPr>
                <w:b w:val="0"/>
              </w:rPr>
            </w:pPr>
            <w:r w:rsidRPr="00354D74">
              <w:rPr>
                <w:b w:val="0"/>
              </w:rPr>
              <w:t xml:space="preserve">Imposto de Renda pago no </w:t>
            </w:r>
            <w:r w:rsidRPr="00174B05">
              <w:rPr>
                <w:b w:val="0"/>
              </w:rPr>
              <w:t>exercício</w:t>
            </w:r>
          </w:p>
        </w:tc>
        <w:tc>
          <w:tcPr>
            <w:tcW w:w="567" w:type="dxa"/>
            <w:tcBorders>
              <w:top w:val="nil"/>
              <w:bottom w:val="nil"/>
            </w:tcBorders>
            <w:shd w:val="clear" w:color="auto" w:fill="auto"/>
            <w:vAlign w:val="center"/>
          </w:tcPr>
          <w:p w14:paraId="6F4AB567"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181" w:type="dxa"/>
            <w:tcBorders>
              <w:top w:val="nil"/>
              <w:bottom w:val="nil"/>
            </w:tcBorders>
            <w:shd w:val="clear" w:color="auto" w:fill="auto"/>
            <w:vAlign w:val="center"/>
          </w:tcPr>
          <w:p w14:paraId="201E107A" w14:textId="77777777" w:rsidR="00375569" w:rsidRPr="00A825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AA1BE8">
              <w:t>(1.254)</w:t>
            </w:r>
          </w:p>
        </w:tc>
        <w:tc>
          <w:tcPr>
            <w:tcW w:w="1196" w:type="dxa"/>
            <w:tcBorders>
              <w:top w:val="nil"/>
              <w:bottom w:val="nil"/>
            </w:tcBorders>
            <w:shd w:val="clear" w:color="auto" w:fill="auto"/>
          </w:tcPr>
          <w:p w14:paraId="3C6AED11" w14:textId="77777777" w:rsidR="00375569" w:rsidRPr="00A825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9716DA">
              <w:t xml:space="preserve"> (1.175)</w:t>
            </w:r>
          </w:p>
        </w:tc>
        <w:tc>
          <w:tcPr>
            <w:tcW w:w="282" w:type="dxa"/>
            <w:tcBorders>
              <w:top w:val="nil"/>
              <w:bottom w:val="nil"/>
            </w:tcBorders>
            <w:shd w:val="clear" w:color="auto" w:fill="auto"/>
            <w:vAlign w:val="center"/>
          </w:tcPr>
          <w:p w14:paraId="6D15695C" w14:textId="77777777" w:rsidR="00375569" w:rsidRPr="00A825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4" w:type="dxa"/>
            <w:tcBorders>
              <w:top w:val="nil"/>
              <w:bottom w:val="nil"/>
            </w:tcBorders>
            <w:shd w:val="clear" w:color="auto" w:fill="auto"/>
            <w:vAlign w:val="center"/>
          </w:tcPr>
          <w:p w14:paraId="6977D37F" w14:textId="77777777" w:rsidR="00375569" w:rsidRPr="00A825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F2498E">
              <w:t>698.971</w:t>
            </w:r>
            <w:r>
              <w:t>)</w:t>
            </w:r>
          </w:p>
        </w:tc>
        <w:tc>
          <w:tcPr>
            <w:tcW w:w="1242" w:type="dxa"/>
            <w:tcBorders>
              <w:top w:val="nil"/>
              <w:bottom w:val="nil"/>
            </w:tcBorders>
            <w:shd w:val="clear" w:color="auto" w:fill="auto"/>
          </w:tcPr>
          <w:p w14:paraId="34F9B0B0" w14:textId="77777777" w:rsidR="00375569" w:rsidRPr="00A82576" w:rsidRDefault="00375569" w:rsidP="008E2F67">
            <w:pPr>
              <w:pStyle w:val="08-Tabelageral"/>
              <w:ind w:left="113"/>
              <w:cnfStyle w:val="000000100000" w:firstRow="0" w:lastRow="0" w:firstColumn="0" w:lastColumn="0" w:oddVBand="0" w:evenVBand="0" w:oddHBand="1" w:evenHBand="0" w:firstRowFirstColumn="0" w:firstRowLastColumn="0" w:lastRowFirstColumn="0" w:lastRowLastColumn="0"/>
            </w:pPr>
            <w:r w:rsidRPr="00EF310F">
              <w:t xml:space="preserve"> (666.364)</w:t>
            </w:r>
          </w:p>
        </w:tc>
      </w:tr>
      <w:tr w:rsidR="00375569" w:rsidRPr="00354D74" w14:paraId="3A95FAB7" w14:textId="77777777" w:rsidTr="00343BCA">
        <w:trPr>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shd w:val="clear" w:color="auto" w:fill="auto"/>
            <w:vAlign w:val="center"/>
          </w:tcPr>
          <w:p w14:paraId="0A2EE538" w14:textId="77777777" w:rsidR="00375569" w:rsidRPr="00354D74" w:rsidRDefault="00375569" w:rsidP="008E2F67">
            <w:pPr>
              <w:pStyle w:val="08-Tabelageral"/>
              <w:ind w:left="113"/>
              <w:jc w:val="left"/>
              <w:rPr>
                <w:b w:val="0"/>
              </w:rPr>
            </w:pPr>
            <w:r w:rsidRPr="00354D74">
              <w:rPr>
                <w:b w:val="0"/>
              </w:rPr>
              <w:t xml:space="preserve">Contribuição Social paga no </w:t>
            </w:r>
            <w:r w:rsidRPr="00174B05">
              <w:rPr>
                <w:b w:val="0"/>
              </w:rPr>
              <w:t>exercício</w:t>
            </w:r>
          </w:p>
        </w:tc>
        <w:tc>
          <w:tcPr>
            <w:tcW w:w="567" w:type="dxa"/>
            <w:tcBorders>
              <w:top w:val="nil"/>
              <w:bottom w:val="nil"/>
            </w:tcBorders>
            <w:shd w:val="clear" w:color="auto" w:fill="auto"/>
            <w:vAlign w:val="center"/>
          </w:tcPr>
          <w:p w14:paraId="441C43F3" w14:textId="77777777" w:rsidR="00375569" w:rsidRPr="00E0461B" w:rsidRDefault="00375569" w:rsidP="008E2F67">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181" w:type="dxa"/>
            <w:tcBorders>
              <w:top w:val="nil"/>
              <w:bottom w:val="nil"/>
            </w:tcBorders>
            <w:shd w:val="clear" w:color="auto" w:fill="auto"/>
            <w:vAlign w:val="center"/>
          </w:tcPr>
          <w:p w14:paraId="0B679A5F" w14:textId="77777777" w:rsidR="00375569" w:rsidRPr="00A825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AA1BE8">
              <w:t>(845)</w:t>
            </w:r>
          </w:p>
        </w:tc>
        <w:tc>
          <w:tcPr>
            <w:tcW w:w="1196" w:type="dxa"/>
            <w:tcBorders>
              <w:top w:val="nil"/>
              <w:bottom w:val="nil"/>
            </w:tcBorders>
            <w:shd w:val="clear" w:color="auto" w:fill="auto"/>
          </w:tcPr>
          <w:p w14:paraId="2099E0DE" w14:textId="77777777" w:rsidR="00375569" w:rsidRPr="00A825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9716DA">
              <w:t xml:space="preserve"> (2.725)</w:t>
            </w:r>
          </w:p>
        </w:tc>
        <w:tc>
          <w:tcPr>
            <w:tcW w:w="282" w:type="dxa"/>
            <w:tcBorders>
              <w:top w:val="nil"/>
              <w:bottom w:val="nil"/>
            </w:tcBorders>
            <w:shd w:val="clear" w:color="auto" w:fill="auto"/>
            <w:vAlign w:val="center"/>
          </w:tcPr>
          <w:p w14:paraId="4A545A86" w14:textId="77777777" w:rsidR="00375569" w:rsidRPr="00A825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4" w:type="dxa"/>
            <w:tcBorders>
              <w:top w:val="nil"/>
              <w:bottom w:val="nil"/>
            </w:tcBorders>
            <w:shd w:val="clear" w:color="auto" w:fill="auto"/>
            <w:vAlign w:val="center"/>
          </w:tcPr>
          <w:p w14:paraId="21219129" w14:textId="77777777" w:rsidR="00375569" w:rsidRPr="00A825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F2498E">
              <w:t>285.15</w:t>
            </w:r>
            <w:r>
              <w:t>5)</w:t>
            </w:r>
          </w:p>
        </w:tc>
        <w:tc>
          <w:tcPr>
            <w:tcW w:w="1242" w:type="dxa"/>
            <w:tcBorders>
              <w:top w:val="nil"/>
              <w:bottom w:val="nil"/>
            </w:tcBorders>
            <w:shd w:val="clear" w:color="auto" w:fill="auto"/>
          </w:tcPr>
          <w:p w14:paraId="1FCA9A81" w14:textId="77777777" w:rsidR="00375569" w:rsidRPr="00A82576" w:rsidRDefault="00375569" w:rsidP="008E2F67">
            <w:pPr>
              <w:pStyle w:val="08-Tabelageral"/>
              <w:ind w:left="113"/>
              <w:cnfStyle w:val="000000000000" w:firstRow="0" w:lastRow="0" w:firstColumn="0" w:lastColumn="0" w:oddVBand="0" w:evenVBand="0" w:oddHBand="0" w:evenHBand="0" w:firstRowFirstColumn="0" w:firstRowLastColumn="0" w:lastRowFirstColumn="0" w:lastRowLastColumn="0"/>
            </w:pPr>
            <w:r w:rsidRPr="00EF310F">
              <w:t xml:space="preserve"> (271.344)</w:t>
            </w:r>
          </w:p>
        </w:tc>
      </w:tr>
      <w:tr w:rsidR="00375569" w:rsidRPr="001D6BE8" w14:paraId="5CA61A20" w14:textId="77777777" w:rsidTr="00343B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27" w:type="dxa"/>
            <w:tcBorders>
              <w:top w:val="nil"/>
              <w:bottom w:val="single" w:sz="2" w:space="0" w:color="1F4E79" w:themeColor="accent1" w:themeShade="80"/>
            </w:tcBorders>
            <w:shd w:val="clear" w:color="auto" w:fill="auto"/>
            <w:vAlign w:val="center"/>
          </w:tcPr>
          <w:p w14:paraId="26C00CA2" w14:textId="77777777" w:rsidR="00375569" w:rsidRPr="00A82576" w:rsidRDefault="00375569" w:rsidP="008E2F67">
            <w:pPr>
              <w:pStyle w:val="08-Tabelageral"/>
              <w:jc w:val="left"/>
              <w:rPr>
                <w:rFonts w:cs="Arial"/>
                <w:szCs w:val="14"/>
              </w:rPr>
            </w:pPr>
            <w:r w:rsidRPr="00A82576">
              <w:rPr>
                <w:rFonts w:cs="Arial"/>
                <w:szCs w:val="14"/>
              </w:rPr>
              <w:t xml:space="preserve">Total </w:t>
            </w:r>
            <w:r>
              <w:rPr>
                <w:rFonts w:cs="Arial"/>
                <w:szCs w:val="14"/>
              </w:rPr>
              <w:t>d</w:t>
            </w:r>
            <w:r w:rsidRPr="00A82576">
              <w:rPr>
                <w:rFonts w:cs="Arial"/>
                <w:szCs w:val="14"/>
              </w:rPr>
              <w:t>os Tributos Pagos</w:t>
            </w:r>
          </w:p>
        </w:tc>
        <w:tc>
          <w:tcPr>
            <w:tcW w:w="567" w:type="dxa"/>
            <w:tcBorders>
              <w:top w:val="nil"/>
              <w:bottom w:val="single" w:sz="2" w:space="0" w:color="1F4E79" w:themeColor="accent1" w:themeShade="80"/>
            </w:tcBorders>
            <w:shd w:val="clear" w:color="auto" w:fill="auto"/>
            <w:vAlign w:val="center"/>
          </w:tcPr>
          <w:p w14:paraId="30B167A3" w14:textId="77777777" w:rsidR="00375569" w:rsidRPr="00E0461B" w:rsidRDefault="00375569" w:rsidP="008E2F67">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181" w:type="dxa"/>
            <w:tcBorders>
              <w:top w:val="nil"/>
              <w:bottom w:val="single" w:sz="2" w:space="0" w:color="1F4E79" w:themeColor="accent1" w:themeShade="80"/>
            </w:tcBorders>
            <w:shd w:val="clear" w:color="auto" w:fill="auto"/>
            <w:vAlign w:val="center"/>
          </w:tcPr>
          <w:p w14:paraId="20E1A851" w14:textId="77777777" w:rsidR="00375569" w:rsidRPr="00DD419A"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1BE8">
              <w:rPr>
                <w:rFonts w:cs="Arial"/>
                <w:b/>
                <w:szCs w:val="14"/>
              </w:rPr>
              <w:t>(2.099)</w:t>
            </w:r>
          </w:p>
        </w:tc>
        <w:tc>
          <w:tcPr>
            <w:tcW w:w="1196" w:type="dxa"/>
            <w:tcBorders>
              <w:top w:val="nil"/>
              <w:bottom w:val="single" w:sz="2" w:space="0" w:color="1F4E79" w:themeColor="accent1" w:themeShade="80"/>
            </w:tcBorders>
            <w:shd w:val="clear" w:color="auto" w:fill="auto"/>
          </w:tcPr>
          <w:p w14:paraId="0C02E593" w14:textId="77777777" w:rsidR="00375569" w:rsidRPr="008E2F67"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r w:rsidRPr="008E2F67">
              <w:rPr>
                <w:b/>
                <w:bCs/>
              </w:rPr>
              <w:t xml:space="preserve"> (3.900)</w:t>
            </w:r>
          </w:p>
        </w:tc>
        <w:tc>
          <w:tcPr>
            <w:tcW w:w="282" w:type="dxa"/>
            <w:tcBorders>
              <w:top w:val="nil"/>
              <w:bottom w:val="single" w:sz="2" w:space="0" w:color="1F4E79" w:themeColor="accent1" w:themeShade="80"/>
            </w:tcBorders>
            <w:shd w:val="clear" w:color="auto" w:fill="auto"/>
            <w:vAlign w:val="center"/>
          </w:tcPr>
          <w:p w14:paraId="662DEA14" w14:textId="77777777" w:rsidR="00375569" w:rsidRPr="008E2F67"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44" w:type="dxa"/>
            <w:tcBorders>
              <w:top w:val="nil"/>
              <w:bottom w:val="single" w:sz="2" w:space="0" w:color="1F4E79" w:themeColor="accent1" w:themeShade="80"/>
            </w:tcBorders>
            <w:shd w:val="clear" w:color="auto" w:fill="auto"/>
            <w:vAlign w:val="center"/>
          </w:tcPr>
          <w:p w14:paraId="0A79EB84" w14:textId="77777777" w:rsidR="00375569" w:rsidRPr="008E2F67"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w:t>
            </w:r>
            <w:r w:rsidRPr="00F2498E">
              <w:rPr>
                <w:rFonts w:cs="Arial"/>
                <w:b/>
                <w:bCs/>
                <w:szCs w:val="14"/>
              </w:rPr>
              <w:t>984.12</w:t>
            </w:r>
            <w:r>
              <w:rPr>
                <w:rFonts w:cs="Arial"/>
                <w:b/>
                <w:bCs/>
                <w:szCs w:val="14"/>
              </w:rPr>
              <w:t>6)</w:t>
            </w:r>
          </w:p>
        </w:tc>
        <w:tc>
          <w:tcPr>
            <w:tcW w:w="1242" w:type="dxa"/>
            <w:tcBorders>
              <w:top w:val="nil"/>
              <w:bottom w:val="single" w:sz="2" w:space="0" w:color="1F4E79" w:themeColor="accent1" w:themeShade="80"/>
            </w:tcBorders>
            <w:shd w:val="clear" w:color="auto" w:fill="auto"/>
          </w:tcPr>
          <w:p w14:paraId="024CF02A" w14:textId="77777777" w:rsidR="00375569" w:rsidRPr="008A6E76" w:rsidRDefault="00375569" w:rsidP="008E2F67">
            <w:pPr>
              <w:pStyle w:val="08-Tabelageral"/>
              <w:cnfStyle w:val="000000100000" w:firstRow="0" w:lastRow="0" w:firstColumn="0" w:lastColumn="0" w:oddVBand="0" w:evenVBand="0" w:oddHBand="1" w:evenHBand="0" w:firstRowFirstColumn="0" w:firstRowLastColumn="0" w:lastRowFirstColumn="0" w:lastRowLastColumn="0"/>
              <w:rPr>
                <w:b/>
                <w:bCs/>
              </w:rPr>
            </w:pPr>
            <w:r w:rsidRPr="008A6E76">
              <w:rPr>
                <w:b/>
                <w:bCs/>
              </w:rPr>
              <w:t xml:space="preserve"> (937.708)</w:t>
            </w:r>
          </w:p>
        </w:tc>
      </w:tr>
    </w:tbl>
    <w:p w14:paraId="6B453789" w14:textId="77777777" w:rsidR="00375569" w:rsidRDefault="00375569" w:rsidP="000943EC">
      <w:pPr>
        <w:rPr>
          <w:rFonts w:cs="Arial"/>
          <w:sz w:val="14"/>
          <w:szCs w:val="14"/>
        </w:rPr>
        <w:sectPr w:rsidR="00375569" w:rsidSect="00A66A99">
          <w:pgSz w:w="11906" w:h="16838" w:code="9"/>
          <w:pgMar w:top="1134" w:right="1134" w:bottom="851" w:left="1134" w:header="851" w:footer="284" w:gutter="0"/>
          <w:cols w:space="708"/>
          <w:docGrid w:linePitch="360"/>
        </w:sectPr>
      </w:pPr>
      <w:r w:rsidRPr="00E16BE7">
        <w:rPr>
          <w:rFonts w:cs="Arial"/>
          <w:sz w:val="14"/>
          <w:szCs w:val="14"/>
        </w:rPr>
        <w:t>As notas explicativas são parte integrante das demonstrações contábeis</w:t>
      </w:r>
      <w:r>
        <w:rPr>
          <w:rFonts w:cs="Arial"/>
          <w:sz w:val="14"/>
          <w:szCs w:val="14"/>
        </w:rPr>
        <w:t>.</w:t>
      </w:r>
    </w:p>
    <w:p w14:paraId="5970618D" w14:textId="77777777" w:rsidR="00375569" w:rsidRPr="00B21797" w:rsidRDefault="00375569" w:rsidP="00F97A88">
      <w:pPr>
        <w:pStyle w:val="02-TtulodeNota"/>
      </w:pPr>
      <w:bookmarkStart w:id="21" w:name="_Toc94861056"/>
      <w:r w:rsidRPr="00F97A88">
        <w:rPr>
          <w:color w:val="1F4E79" w:themeColor="accent1" w:themeShade="80"/>
        </w:rPr>
        <w:lastRenderedPageBreak/>
        <w:t>DEMONSTRAÇÃO DAS MUTAÇÕES DO PATRIMÔNIO LÍQUIDO</w:t>
      </w:r>
      <w:bookmarkEnd w:id="21"/>
    </w:p>
    <w:p w14:paraId="475B55E2" w14:textId="77777777" w:rsidR="00375569" w:rsidRPr="000E5124" w:rsidRDefault="00375569" w:rsidP="00491848">
      <w:pPr>
        <w:spacing w:after="0" w:line="240" w:lineRule="auto"/>
        <w:ind w:right="-31"/>
        <w:jc w:val="right"/>
        <w:rPr>
          <w:rFonts w:eastAsia="Times New Roman" w:cs="Times New Roman"/>
          <w:b/>
          <w:spacing w:val="-2"/>
          <w:sz w:val="14"/>
          <w:szCs w:val="14"/>
          <w:lang w:eastAsia="pt-BR"/>
        </w:rPr>
      </w:pPr>
      <w:r w:rsidRPr="000E5124">
        <w:rPr>
          <w:rFonts w:eastAsia="Times New Roman" w:cs="Times New Roman"/>
          <w:b/>
          <w:spacing w:val="-2"/>
          <w:sz w:val="14"/>
          <w:szCs w:val="14"/>
          <w:lang w:eastAsia="pt-BR"/>
        </w:rPr>
        <w:t xml:space="preserve">R$ mil </w:t>
      </w:r>
    </w:p>
    <w:tbl>
      <w:tblPr>
        <w:tblStyle w:val="TabeladeLista6Colorida-nfase510"/>
        <w:tblW w:w="15026" w:type="dxa"/>
        <w:jc w:val="center"/>
        <w:tblInd w:w="0" w:type="dxa"/>
        <w:tblLayout w:type="fixed"/>
        <w:tblLook w:val="04A0" w:firstRow="1" w:lastRow="0" w:firstColumn="1" w:lastColumn="0" w:noHBand="0" w:noVBand="1"/>
      </w:tblPr>
      <w:tblGrid>
        <w:gridCol w:w="3832"/>
        <w:gridCol w:w="884"/>
        <w:gridCol w:w="1325"/>
        <w:gridCol w:w="1032"/>
        <w:gridCol w:w="1326"/>
        <w:gridCol w:w="1917"/>
        <w:gridCol w:w="1165"/>
        <w:gridCol w:w="1190"/>
        <w:gridCol w:w="1190"/>
        <w:gridCol w:w="1165"/>
      </w:tblGrid>
      <w:tr w:rsidR="00375569" w:rsidRPr="003E112B" w14:paraId="3F25ADA0" w14:textId="77777777" w:rsidTr="00097291">
        <w:trPr>
          <w:cnfStyle w:val="100000000000" w:firstRow="1" w:lastRow="0" w:firstColumn="0" w:lastColumn="0" w:oddVBand="0" w:evenVBand="0" w:oddHBand="0" w:evenHBand="0" w:firstRowFirstColumn="0" w:firstRowLastColumn="0" w:lastRowFirstColumn="0" w:lastRowLastColumn="0"/>
          <w:trHeight w:hRule="exact" w:val="309"/>
          <w:jc w:val="center"/>
        </w:trPr>
        <w:tc>
          <w:tcPr>
            <w:cnfStyle w:val="001000000000" w:firstRow="0" w:lastRow="0" w:firstColumn="1" w:lastColumn="0" w:oddVBand="0" w:evenVBand="0" w:oddHBand="0" w:evenHBand="0" w:firstRowFirstColumn="0" w:firstRowLastColumn="0" w:lastRowFirstColumn="0" w:lastRowLastColumn="0"/>
            <w:tcW w:w="3832" w:type="dxa"/>
            <w:vMerge w:val="restart"/>
            <w:tcBorders>
              <w:top w:val="single" w:sz="2" w:space="0" w:color="1F4E79" w:themeColor="accent1" w:themeShade="80"/>
            </w:tcBorders>
            <w:shd w:val="clear" w:color="auto" w:fill="auto"/>
            <w:vAlign w:val="center"/>
          </w:tcPr>
          <w:p w14:paraId="15FA9C04" w14:textId="77777777" w:rsidR="00375569" w:rsidRPr="00F97A88" w:rsidRDefault="00375569" w:rsidP="000333CB">
            <w:pPr>
              <w:rPr>
                <w:rFonts w:cs="Arial"/>
                <w:bCs w:val="0"/>
                <w:sz w:val="14"/>
                <w:szCs w:val="14"/>
              </w:rPr>
            </w:pPr>
            <w:r w:rsidRPr="00F97A88">
              <w:rPr>
                <w:rFonts w:cs="Arial"/>
                <w:bCs w:val="0"/>
                <w:sz w:val="14"/>
                <w:szCs w:val="14"/>
              </w:rPr>
              <w:t>EVENTO</w:t>
            </w:r>
          </w:p>
        </w:tc>
        <w:tc>
          <w:tcPr>
            <w:tcW w:w="884" w:type="dxa"/>
            <w:vMerge w:val="restart"/>
            <w:tcBorders>
              <w:top w:val="single" w:sz="2" w:space="0" w:color="1F4E79" w:themeColor="accent1" w:themeShade="80"/>
            </w:tcBorders>
            <w:shd w:val="clear" w:color="auto" w:fill="auto"/>
            <w:vAlign w:val="center"/>
          </w:tcPr>
          <w:p w14:paraId="4A4001EC"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97A88">
              <w:rPr>
                <w:rFonts w:cs="Arial"/>
                <w:bCs w:val="0"/>
                <w:sz w:val="14"/>
                <w:szCs w:val="14"/>
              </w:rPr>
              <w:t>Nota</w:t>
            </w:r>
          </w:p>
        </w:tc>
        <w:tc>
          <w:tcPr>
            <w:tcW w:w="1325" w:type="dxa"/>
            <w:vMerge w:val="restart"/>
            <w:tcBorders>
              <w:top w:val="single" w:sz="2" w:space="0" w:color="1F4E79" w:themeColor="accent1" w:themeShade="80"/>
            </w:tcBorders>
            <w:shd w:val="clear" w:color="auto" w:fill="auto"/>
            <w:vAlign w:val="center"/>
          </w:tcPr>
          <w:p w14:paraId="1496849E"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F97A88">
              <w:rPr>
                <w:rFonts w:cs="Arial"/>
                <w:sz w:val="14"/>
                <w:szCs w:val="14"/>
              </w:rPr>
              <w:t>Capital Social</w:t>
            </w:r>
          </w:p>
        </w:tc>
        <w:tc>
          <w:tcPr>
            <w:tcW w:w="1032" w:type="dxa"/>
            <w:vMerge w:val="restart"/>
            <w:tcBorders>
              <w:top w:val="single" w:sz="2" w:space="0" w:color="1F4E79" w:themeColor="accent1" w:themeShade="80"/>
            </w:tcBorders>
            <w:shd w:val="clear" w:color="auto" w:fill="auto"/>
            <w:vAlign w:val="center"/>
          </w:tcPr>
          <w:p w14:paraId="6D6A589E"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F97A88">
              <w:rPr>
                <w:rFonts w:cs="Arial"/>
                <w:sz w:val="14"/>
                <w:szCs w:val="14"/>
              </w:rPr>
              <w:t>Reservas de Capital</w:t>
            </w:r>
          </w:p>
        </w:tc>
        <w:tc>
          <w:tcPr>
            <w:tcW w:w="3243" w:type="dxa"/>
            <w:gridSpan w:val="2"/>
            <w:tcBorders>
              <w:top w:val="single" w:sz="2" w:space="0" w:color="1F4E79" w:themeColor="accent1" w:themeShade="80"/>
              <w:bottom w:val="single" w:sz="2" w:space="0" w:color="1F4E79" w:themeColor="accent1" w:themeShade="80"/>
            </w:tcBorders>
            <w:shd w:val="clear" w:color="auto" w:fill="auto"/>
            <w:vAlign w:val="center"/>
          </w:tcPr>
          <w:p w14:paraId="23D6A095"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97A88">
              <w:rPr>
                <w:rFonts w:cs="Arial"/>
                <w:bCs w:val="0"/>
                <w:sz w:val="14"/>
                <w:szCs w:val="14"/>
              </w:rPr>
              <w:t>Reservas de Lucros</w:t>
            </w:r>
          </w:p>
        </w:tc>
        <w:tc>
          <w:tcPr>
            <w:tcW w:w="1165" w:type="dxa"/>
            <w:vMerge w:val="restart"/>
            <w:tcBorders>
              <w:top w:val="single" w:sz="2" w:space="0" w:color="1F4E79" w:themeColor="accent1" w:themeShade="80"/>
            </w:tcBorders>
            <w:shd w:val="clear" w:color="auto" w:fill="auto"/>
            <w:vAlign w:val="center"/>
          </w:tcPr>
          <w:p w14:paraId="7BDB3F47"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97A88">
              <w:rPr>
                <w:rFonts w:cs="Arial"/>
                <w:bCs w:val="0"/>
                <w:sz w:val="14"/>
                <w:szCs w:val="14"/>
              </w:rPr>
              <w:t>Ações em Tesouraria</w:t>
            </w:r>
          </w:p>
        </w:tc>
        <w:tc>
          <w:tcPr>
            <w:tcW w:w="1190" w:type="dxa"/>
            <w:vMerge w:val="restart"/>
            <w:tcBorders>
              <w:top w:val="single" w:sz="2" w:space="0" w:color="1F4E79" w:themeColor="accent1" w:themeShade="80"/>
            </w:tcBorders>
            <w:shd w:val="clear" w:color="auto" w:fill="auto"/>
          </w:tcPr>
          <w:p w14:paraId="25178E1E"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F97A88">
              <w:rPr>
                <w:rFonts w:cs="Arial"/>
                <w:bCs w:val="0"/>
                <w:sz w:val="14"/>
                <w:szCs w:val="14"/>
              </w:rPr>
              <w:t>Outros Resultados Abrangentes Acumulados</w:t>
            </w:r>
          </w:p>
        </w:tc>
        <w:tc>
          <w:tcPr>
            <w:tcW w:w="1190" w:type="dxa"/>
            <w:vMerge w:val="restart"/>
            <w:tcBorders>
              <w:top w:val="single" w:sz="2" w:space="0" w:color="1F4E79" w:themeColor="accent1" w:themeShade="80"/>
            </w:tcBorders>
            <w:shd w:val="clear" w:color="auto" w:fill="auto"/>
            <w:vAlign w:val="center"/>
          </w:tcPr>
          <w:p w14:paraId="13B3CA2D" w14:textId="77777777" w:rsidR="00375569" w:rsidRPr="00F97A88" w:rsidRDefault="00375569" w:rsidP="000333CB">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F97A88">
              <w:rPr>
                <w:rFonts w:cs="Arial"/>
                <w:sz w:val="14"/>
                <w:szCs w:val="14"/>
              </w:rPr>
              <w:t>Lucros ou Prejuízos Acumulados</w:t>
            </w:r>
          </w:p>
        </w:tc>
        <w:tc>
          <w:tcPr>
            <w:tcW w:w="1165" w:type="dxa"/>
            <w:vMerge w:val="restart"/>
            <w:tcBorders>
              <w:top w:val="single" w:sz="2" w:space="0" w:color="1F4E79" w:themeColor="accent1" w:themeShade="80"/>
            </w:tcBorders>
            <w:shd w:val="clear" w:color="auto" w:fill="auto"/>
            <w:vAlign w:val="center"/>
          </w:tcPr>
          <w:p w14:paraId="735FD971" w14:textId="77777777" w:rsidR="00375569" w:rsidRPr="00F97A88" w:rsidRDefault="00375569" w:rsidP="000333CB">
            <w:pPr>
              <w:ind w:right="-110"/>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97A88">
              <w:rPr>
                <w:rFonts w:cs="Arial"/>
                <w:bCs w:val="0"/>
                <w:sz w:val="14"/>
                <w:szCs w:val="14"/>
              </w:rPr>
              <w:t>Total</w:t>
            </w:r>
          </w:p>
        </w:tc>
      </w:tr>
      <w:tr w:rsidR="00375569" w:rsidRPr="003E112B" w14:paraId="7C6A5F3E" w14:textId="77777777" w:rsidTr="00097291">
        <w:trPr>
          <w:cnfStyle w:val="000000100000" w:firstRow="0" w:lastRow="0" w:firstColumn="0" w:lastColumn="0" w:oddVBand="0" w:evenVBand="0" w:oddHBand="1" w:evenHBand="0" w:firstRowFirstColumn="0" w:firstRowLastColumn="0" w:lastRowFirstColumn="0" w:lastRowLastColumn="0"/>
          <w:trHeight w:hRule="exact" w:val="408"/>
          <w:jc w:val="center"/>
        </w:trPr>
        <w:tc>
          <w:tcPr>
            <w:cnfStyle w:val="001000000000" w:firstRow="0" w:lastRow="0" w:firstColumn="1" w:lastColumn="0" w:oddVBand="0" w:evenVBand="0" w:oddHBand="0" w:evenHBand="0" w:firstRowFirstColumn="0" w:firstRowLastColumn="0" w:lastRowFirstColumn="0" w:lastRowLastColumn="0"/>
            <w:tcW w:w="3832" w:type="dxa"/>
            <w:vMerge/>
            <w:tcBorders>
              <w:bottom w:val="single" w:sz="2" w:space="0" w:color="1F4E79" w:themeColor="accent1" w:themeShade="80"/>
            </w:tcBorders>
            <w:shd w:val="clear" w:color="auto" w:fill="auto"/>
            <w:vAlign w:val="center"/>
          </w:tcPr>
          <w:p w14:paraId="2382AA6B" w14:textId="77777777" w:rsidR="00375569" w:rsidRPr="00F97A88" w:rsidRDefault="00375569" w:rsidP="000333CB">
            <w:pPr>
              <w:rPr>
                <w:rFonts w:cs="Arial"/>
                <w:sz w:val="14"/>
                <w:szCs w:val="14"/>
              </w:rPr>
            </w:pPr>
          </w:p>
        </w:tc>
        <w:tc>
          <w:tcPr>
            <w:tcW w:w="884" w:type="dxa"/>
            <w:vMerge/>
            <w:tcBorders>
              <w:bottom w:val="single" w:sz="2" w:space="0" w:color="1F4E79" w:themeColor="accent1" w:themeShade="80"/>
            </w:tcBorders>
            <w:shd w:val="clear" w:color="auto" w:fill="auto"/>
            <w:vAlign w:val="center"/>
          </w:tcPr>
          <w:p w14:paraId="66D095CC"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325" w:type="dxa"/>
            <w:vMerge/>
            <w:tcBorders>
              <w:bottom w:val="single" w:sz="2" w:space="0" w:color="1F4E79" w:themeColor="accent1" w:themeShade="80"/>
            </w:tcBorders>
            <w:shd w:val="clear" w:color="auto" w:fill="auto"/>
            <w:vAlign w:val="center"/>
          </w:tcPr>
          <w:p w14:paraId="6B0FA586"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032" w:type="dxa"/>
            <w:vMerge/>
            <w:tcBorders>
              <w:bottom w:val="single" w:sz="2" w:space="0" w:color="1F4E79" w:themeColor="accent1" w:themeShade="80"/>
            </w:tcBorders>
            <w:shd w:val="clear" w:color="auto" w:fill="auto"/>
            <w:vAlign w:val="center"/>
          </w:tcPr>
          <w:p w14:paraId="524DED88"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326" w:type="dxa"/>
            <w:tcBorders>
              <w:top w:val="single" w:sz="2" w:space="0" w:color="1F4E79" w:themeColor="accent1" w:themeShade="80"/>
              <w:bottom w:val="single" w:sz="2" w:space="0" w:color="1F4E79" w:themeColor="accent1" w:themeShade="80"/>
            </w:tcBorders>
            <w:shd w:val="clear" w:color="auto" w:fill="auto"/>
            <w:vAlign w:val="center"/>
          </w:tcPr>
          <w:p w14:paraId="129E4AF5"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97A88">
              <w:rPr>
                <w:rFonts w:cs="Arial"/>
                <w:b/>
                <w:sz w:val="14"/>
                <w:szCs w:val="14"/>
              </w:rPr>
              <w:t>Reserva Legal</w:t>
            </w:r>
          </w:p>
        </w:tc>
        <w:tc>
          <w:tcPr>
            <w:tcW w:w="1917" w:type="dxa"/>
            <w:tcBorders>
              <w:top w:val="single" w:sz="2" w:space="0" w:color="1F4E79" w:themeColor="accent1" w:themeShade="80"/>
              <w:bottom w:val="single" w:sz="2" w:space="0" w:color="1F4E79" w:themeColor="accent1" w:themeShade="80"/>
            </w:tcBorders>
            <w:shd w:val="clear" w:color="auto" w:fill="auto"/>
            <w:vAlign w:val="center"/>
          </w:tcPr>
          <w:p w14:paraId="5DAE5698"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97A88">
              <w:rPr>
                <w:rFonts w:cs="Arial"/>
                <w:b/>
                <w:sz w:val="14"/>
                <w:szCs w:val="14"/>
              </w:rPr>
              <w:t>Reservas Estatutárias</w:t>
            </w:r>
          </w:p>
        </w:tc>
        <w:tc>
          <w:tcPr>
            <w:tcW w:w="1165" w:type="dxa"/>
            <w:vMerge/>
            <w:tcBorders>
              <w:bottom w:val="single" w:sz="2" w:space="0" w:color="1F4E79" w:themeColor="accent1" w:themeShade="80"/>
            </w:tcBorders>
            <w:shd w:val="clear" w:color="auto" w:fill="auto"/>
          </w:tcPr>
          <w:p w14:paraId="043CEAE7"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90" w:type="dxa"/>
            <w:vMerge/>
            <w:tcBorders>
              <w:bottom w:val="single" w:sz="2" w:space="0" w:color="1F4E79" w:themeColor="accent1" w:themeShade="80"/>
            </w:tcBorders>
            <w:shd w:val="clear" w:color="auto" w:fill="auto"/>
          </w:tcPr>
          <w:p w14:paraId="300C3FB0"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190" w:type="dxa"/>
            <w:vMerge/>
            <w:tcBorders>
              <w:bottom w:val="single" w:sz="2" w:space="0" w:color="1F4E79" w:themeColor="accent1" w:themeShade="80"/>
            </w:tcBorders>
            <w:shd w:val="clear" w:color="auto" w:fill="auto"/>
            <w:vAlign w:val="center"/>
          </w:tcPr>
          <w:p w14:paraId="60F41D60"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65" w:type="dxa"/>
            <w:vMerge/>
            <w:tcBorders>
              <w:bottom w:val="single" w:sz="2" w:space="0" w:color="1F4E79" w:themeColor="accent1" w:themeShade="80"/>
            </w:tcBorders>
            <w:shd w:val="clear" w:color="auto" w:fill="auto"/>
            <w:vAlign w:val="center"/>
          </w:tcPr>
          <w:p w14:paraId="1017CEEF" w14:textId="77777777" w:rsidR="00375569" w:rsidRPr="00F97A88" w:rsidRDefault="00375569" w:rsidP="000333CB">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375569" w:rsidRPr="006150D2" w14:paraId="22923E6C" w14:textId="77777777" w:rsidTr="00097291">
        <w:trPr>
          <w:cnfStyle w:val="000000010000" w:firstRow="0" w:lastRow="0" w:firstColumn="0" w:lastColumn="0" w:oddVBand="0" w:evenVBand="0" w:oddHBand="0" w:evenHBand="1"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3832" w:type="dxa"/>
            <w:tcBorders>
              <w:top w:val="single" w:sz="2" w:space="0" w:color="1F4E79" w:themeColor="accent1" w:themeShade="80"/>
              <w:bottom w:val="nil"/>
            </w:tcBorders>
            <w:shd w:val="clear" w:color="auto" w:fill="auto"/>
            <w:vAlign w:val="center"/>
          </w:tcPr>
          <w:p w14:paraId="17D4C51D" w14:textId="77777777" w:rsidR="00375569" w:rsidRPr="00F97A88" w:rsidRDefault="00375569" w:rsidP="000333CB">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Saldos em 31.12.2019</w:t>
            </w:r>
          </w:p>
        </w:tc>
        <w:tc>
          <w:tcPr>
            <w:tcW w:w="884" w:type="dxa"/>
            <w:tcBorders>
              <w:top w:val="single" w:sz="2" w:space="0" w:color="1F4E79" w:themeColor="accent1" w:themeShade="80"/>
              <w:bottom w:val="nil"/>
            </w:tcBorders>
            <w:shd w:val="clear" w:color="auto" w:fill="auto"/>
            <w:vAlign w:val="center"/>
          </w:tcPr>
          <w:p w14:paraId="589A991D" w14:textId="77777777" w:rsidR="00375569" w:rsidRPr="00F97A88" w:rsidRDefault="00375569" w:rsidP="000333CB">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p>
        </w:tc>
        <w:tc>
          <w:tcPr>
            <w:tcW w:w="1325" w:type="dxa"/>
            <w:tcBorders>
              <w:top w:val="single" w:sz="2" w:space="0" w:color="1F4E79" w:themeColor="accent1" w:themeShade="80"/>
              <w:bottom w:val="nil"/>
            </w:tcBorders>
            <w:shd w:val="clear" w:color="auto" w:fill="auto"/>
            <w:vAlign w:val="center"/>
          </w:tcPr>
          <w:p w14:paraId="3DF0D47D"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3.396.767</w:t>
            </w:r>
          </w:p>
        </w:tc>
        <w:tc>
          <w:tcPr>
            <w:tcW w:w="1032" w:type="dxa"/>
            <w:tcBorders>
              <w:top w:val="single" w:sz="2" w:space="0" w:color="1F4E79" w:themeColor="accent1" w:themeShade="80"/>
              <w:bottom w:val="nil"/>
            </w:tcBorders>
            <w:shd w:val="clear" w:color="auto" w:fill="auto"/>
            <w:vAlign w:val="center"/>
          </w:tcPr>
          <w:p w14:paraId="5B1488EA"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1.117</w:t>
            </w:r>
          </w:p>
        </w:tc>
        <w:tc>
          <w:tcPr>
            <w:tcW w:w="1326" w:type="dxa"/>
            <w:tcBorders>
              <w:top w:val="single" w:sz="2" w:space="0" w:color="1F4E79" w:themeColor="accent1" w:themeShade="80"/>
              <w:bottom w:val="nil"/>
            </w:tcBorders>
            <w:shd w:val="clear" w:color="auto" w:fill="auto"/>
            <w:vAlign w:val="center"/>
          </w:tcPr>
          <w:p w14:paraId="3DD55A1E"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679.354</w:t>
            </w:r>
          </w:p>
        </w:tc>
        <w:tc>
          <w:tcPr>
            <w:tcW w:w="1917" w:type="dxa"/>
            <w:tcBorders>
              <w:top w:val="single" w:sz="2" w:space="0" w:color="1F4E79" w:themeColor="accent1" w:themeShade="80"/>
              <w:bottom w:val="nil"/>
            </w:tcBorders>
            <w:shd w:val="clear" w:color="auto" w:fill="auto"/>
            <w:vAlign w:val="center"/>
          </w:tcPr>
          <w:p w14:paraId="3CEEF3F6"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1.226.371</w:t>
            </w:r>
          </w:p>
        </w:tc>
        <w:tc>
          <w:tcPr>
            <w:tcW w:w="1165" w:type="dxa"/>
            <w:tcBorders>
              <w:top w:val="single" w:sz="2" w:space="0" w:color="1F4E79" w:themeColor="accent1" w:themeShade="80"/>
              <w:bottom w:val="nil"/>
            </w:tcBorders>
            <w:shd w:val="clear" w:color="auto" w:fill="auto"/>
            <w:vAlign w:val="center"/>
          </w:tcPr>
          <w:p w14:paraId="3611EDA6"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(83.306)</w:t>
            </w:r>
          </w:p>
        </w:tc>
        <w:tc>
          <w:tcPr>
            <w:tcW w:w="1190" w:type="dxa"/>
            <w:tcBorders>
              <w:top w:val="single" w:sz="2" w:space="0" w:color="1F4E79" w:themeColor="accent1" w:themeShade="80"/>
              <w:bottom w:val="nil"/>
            </w:tcBorders>
            <w:shd w:val="clear" w:color="auto" w:fill="auto"/>
            <w:vAlign w:val="center"/>
          </w:tcPr>
          <w:p w14:paraId="68D6C581"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28.451</w:t>
            </w:r>
          </w:p>
        </w:tc>
        <w:tc>
          <w:tcPr>
            <w:tcW w:w="1190" w:type="dxa"/>
            <w:tcBorders>
              <w:top w:val="single" w:sz="2" w:space="0" w:color="1F4E79" w:themeColor="accent1" w:themeShade="80"/>
              <w:bottom w:val="nil"/>
            </w:tcBorders>
            <w:shd w:val="clear" w:color="auto" w:fill="auto"/>
            <w:vAlign w:val="center"/>
          </w:tcPr>
          <w:p w14:paraId="1263DBA7"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w:t>
            </w:r>
          </w:p>
        </w:tc>
        <w:tc>
          <w:tcPr>
            <w:tcW w:w="1165" w:type="dxa"/>
            <w:tcBorders>
              <w:top w:val="single" w:sz="2" w:space="0" w:color="1F4E79" w:themeColor="accent1" w:themeShade="80"/>
              <w:bottom w:val="nil"/>
            </w:tcBorders>
            <w:shd w:val="clear" w:color="auto" w:fill="auto"/>
            <w:vAlign w:val="center"/>
          </w:tcPr>
          <w:p w14:paraId="1BEE5DD4"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5.248.754</w:t>
            </w:r>
          </w:p>
        </w:tc>
      </w:tr>
      <w:tr w:rsidR="00375569" w:rsidRPr="005D7FCB" w14:paraId="13827E8F" w14:textId="77777777" w:rsidTr="00097291">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5F7175BF" w14:textId="77777777" w:rsidR="00375569" w:rsidRPr="00F97A88" w:rsidRDefault="00375569" w:rsidP="000333CB">
            <w:pPr>
              <w:keepNext/>
              <w:keepLines/>
              <w:spacing w:before="40" w:after="40"/>
              <w:ind w:left="113"/>
              <w:rPr>
                <w:rFonts w:eastAsia="Times New Roman" w:cs="Arial"/>
                <w:b w:val="0"/>
                <w:bCs w:val="0"/>
                <w:spacing w:val="-2"/>
                <w:sz w:val="14"/>
                <w:szCs w:val="14"/>
                <w:lang w:eastAsia="pt-BR"/>
              </w:rPr>
            </w:pPr>
            <w:r w:rsidRPr="00F97A88">
              <w:rPr>
                <w:rFonts w:eastAsia="Times New Roman" w:cs="Arial"/>
                <w:b w:val="0"/>
                <w:bCs w:val="0"/>
                <w:spacing w:val="-2"/>
                <w:sz w:val="14"/>
                <w:szCs w:val="14"/>
                <w:lang w:eastAsia="pt-BR"/>
              </w:rPr>
              <w:t>Transações com pagamento baseado em ações</w:t>
            </w:r>
          </w:p>
        </w:tc>
        <w:tc>
          <w:tcPr>
            <w:tcW w:w="884" w:type="dxa"/>
            <w:tcBorders>
              <w:top w:val="nil"/>
              <w:bottom w:val="nil"/>
            </w:tcBorders>
            <w:shd w:val="clear" w:color="auto" w:fill="auto"/>
            <w:vAlign w:val="center"/>
          </w:tcPr>
          <w:p w14:paraId="1EBF094A"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325" w:type="dxa"/>
            <w:tcBorders>
              <w:top w:val="nil"/>
              <w:bottom w:val="nil"/>
            </w:tcBorders>
            <w:shd w:val="clear" w:color="auto" w:fill="auto"/>
            <w:vAlign w:val="center"/>
          </w:tcPr>
          <w:p w14:paraId="21D41AC0"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6112FA6F"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471</w:t>
            </w:r>
          </w:p>
        </w:tc>
        <w:tc>
          <w:tcPr>
            <w:tcW w:w="1326" w:type="dxa"/>
            <w:tcBorders>
              <w:top w:val="nil"/>
              <w:bottom w:val="nil"/>
            </w:tcBorders>
            <w:shd w:val="clear" w:color="auto" w:fill="auto"/>
            <w:vAlign w:val="center"/>
          </w:tcPr>
          <w:p w14:paraId="301E677E"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19750738"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39A2BCE5"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718</w:t>
            </w:r>
          </w:p>
        </w:tc>
        <w:tc>
          <w:tcPr>
            <w:tcW w:w="1190" w:type="dxa"/>
            <w:tcBorders>
              <w:top w:val="nil"/>
              <w:bottom w:val="nil"/>
            </w:tcBorders>
            <w:shd w:val="clear" w:color="auto" w:fill="auto"/>
            <w:vAlign w:val="center"/>
          </w:tcPr>
          <w:p w14:paraId="333576F5"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25215FB6"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0C618045"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spacing w:val="-2"/>
                <w:sz w:val="14"/>
                <w:szCs w:val="14"/>
                <w:lang w:eastAsia="pt-BR"/>
              </w:rPr>
              <w:t>1.189</w:t>
            </w:r>
          </w:p>
        </w:tc>
      </w:tr>
      <w:tr w:rsidR="00375569" w:rsidRPr="003E112B" w14:paraId="010BE6E8" w14:textId="77777777" w:rsidTr="00097291">
        <w:trPr>
          <w:cnfStyle w:val="000000010000" w:firstRow="0" w:lastRow="0" w:firstColumn="0" w:lastColumn="0" w:oddVBand="0" w:evenVBand="0" w:oddHBand="0" w:evenHBand="1"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103DDCDD" w14:textId="77777777" w:rsidR="00375569" w:rsidRPr="00F97A88" w:rsidRDefault="00375569" w:rsidP="000333CB">
            <w:pPr>
              <w:keepNext/>
              <w:keepLines/>
              <w:spacing w:before="40" w:after="40"/>
              <w:ind w:left="113"/>
              <w:rPr>
                <w:rFonts w:eastAsia="Times New Roman" w:cs="Arial"/>
                <w:b w:val="0"/>
                <w:spacing w:val="-2"/>
                <w:sz w:val="14"/>
                <w:szCs w:val="14"/>
                <w:lang w:eastAsia="pt-BR"/>
              </w:rPr>
            </w:pPr>
            <w:r w:rsidRPr="00F97A88">
              <w:rPr>
                <w:rFonts w:eastAsia="Times New Roman" w:cs="Arial"/>
                <w:b w:val="0"/>
                <w:spacing w:val="-2"/>
                <w:sz w:val="14"/>
                <w:szCs w:val="14"/>
                <w:lang w:eastAsia="pt-BR"/>
              </w:rPr>
              <w:t>Outros resultados abrangentes</w:t>
            </w:r>
          </w:p>
        </w:tc>
        <w:tc>
          <w:tcPr>
            <w:tcW w:w="884" w:type="dxa"/>
            <w:tcBorders>
              <w:top w:val="nil"/>
              <w:bottom w:val="nil"/>
            </w:tcBorders>
            <w:shd w:val="clear" w:color="auto" w:fill="auto"/>
            <w:vAlign w:val="center"/>
          </w:tcPr>
          <w:p w14:paraId="304EC481"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highlight w:val="yellow"/>
                <w:lang w:eastAsia="pt-BR"/>
              </w:rPr>
            </w:pPr>
          </w:p>
        </w:tc>
        <w:tc>
          <w:tcPr>
            <w:tcW w:w="1325" w:type="dxa"/>
            <w:tcBorders>
              <w:top w:val="nil"/>
              <w:bottom w:val="nil"/>
            </w:tcBorders>
            <w:shd w:val="clear" w:color="auto" w:fill="auto"/>
            <w:vAlign w:val="center"/>
          </w:tcPr>
          <w:p w14:paraId="58D567DF"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0DFEBC24"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326" w:type="dxa"/>
            <w:tcBorders>
              <w:top w:val="nil"/>
              <w:bottom w:val="nil"/>
            </w:tcBorders>
            <w:shd w:val="clear" w:color="auto" w:fill="auto"/>
            <w:vAlign w:val="center"/>
          </w:tcPr>
          <w:p w14:paraId="00847AA9"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7562671B"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5B1A5C1D"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1D4C99BB"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(15.569)</w:t>
            </w:r>
          </w:p>
        </w:tc>
        <w:tc>
          <w:tcPr>
            <w:tcW w:w="1190" w:type="dxa"/>
            <w:tcBorders>
              <w:top w:val="nil"/>
              <w:bottom w:val="nil"/>
            </w:tcBorders>
            <w:shd w:val="clear" w:color="auto" w:fill="auto"/>
            <w:vAlign w:val="center"/>
          </w:tcPr>
          <w:p w14:paraId="1EB26291"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3C7C2107" w14:textId="77777777" w:rsidR="00375569" w:rsidRPr="00F97A88" w:rsidRDefault="00375569" w:rsidP="000333C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(15.569)</w:t>
            </w:r>
          </w:p>
        </w:tc>
      </w:tr>
      <w:tr w:rsidR="00375569" w:rsidRPr="006150D2" w14:paraId="0C33DB7F" w14:textId="77777777" w:rsidTr="00097291">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40A61232" w14:textId="77777777" w:rsidR="00375569" w:rsidRPr="00F97A88" w:rsidRDefault="00375569" w:rsidP="000333CB">
            <w:pPr>
              <w:keepNext/>
              <w:keepLines/>
              <w:spacing w:before="40" w:after="40"/>
              <w:ind w:left="113"/>
              <w:rPr>
                <w:rFonts w:eastAsia="Times New Roman" w:cs="Arial"/>
                <w:spacing w:val="-2"/>
                <w:sz w:val="14"/>
                <w:szCs w:val="14"/>
                <w:lang w:eastAsia="pt-BR"/>
              </w:rPr>
            </w:pPr>
            <w:r w:rsidRPr="00F97A88">
              <w:rPr>
                <w:rFonts w:eastAsia="Times New Roman" w:cs="Arial"/>
                <w:b w:val="0"/>
                <w:spacing w:val="-2"/>
                <w:sz w:val="14"/>
                <w:szCs w:val="14"/>
                <w:lang w:eastAsia="pt-BR"/>
              </w:rPr>
              <w:t>Dividendos prescritos</w:t>
            </w:r>
          </w:p>
        </w:tc>
        <w:tc>
          <w:tcPr>
            <w:tcW w:w="884" w:type="dxa"/>
            <w:tcBorders>
              <w:top w:val="nil"/>
              <w:bottom w:val="nil"/>
            </w:tcBorders>
            <w:shd w:val="clear" w:color="auto" w:fill="auto"/>
            <w:vAlign w:val="center"/>
          </w:tcPr>
          <w:p w14:paraId="3E14DFAF"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[25.d]</w:t>
            </w:r>
          </w:p>
        </w:tc>
        <w:tc>
          <w:tcPr>
            <w:tcW w:w="1325" w:type="dxa"/>
            <w:tcBorders>
              <w:top w:val="nil"/>
              <w:bottom w:val="nil"/>
            </w:tcBorders>
            <w:shd w:val="clear" w:color="auto" w:fill="auto"/>
            <w:vAlign w:val="center"/>
          </w:tcPr>
          <w:p w14:paraId="41D60182"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4A04B643"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326" w:type="dxa"/>
            <w:tcBorders>
              <w:top w:val="nil"/>
              <w:bottom w:val="nil"/>
            </w:tcBorders>
            <w:shd w:val="clear" w:color="auto" w:fill="auto"/>
            <w:vAlign w:val="center"/>
          </w:tcPr>
          <w:p w14:paraId="31D1009B"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3A111319"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3C16894A"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479DA23E"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0565ED82"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42</w:t>
            </w:r>
          </w:p>
        </w:tc>
        <w:tc>
          <w:tcPr>
            <w:tcW w:w="1165" w:type="dxa"/>
            <w:tcBorders>
              <w:top w:val="nil"/>
              <w:bottom w:val="nil"/>
            </w:tcBorders>
            <w:shd w:val="clear" w:color="auto" w:fill="auto"/>
            <w:vAlign w:val="center"/>
          </w:tcPr>
          <w:p w14:paraId="3255448E" w14:textId="77777777" w:rsidR="00375569" w:rsidRPr="00F97A88" w:rsidRDefault="00375569" w:rsidP="000333C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42</w:t>
            </w:r>
          </w:p>
        </w:tc>
      </w:tr>
      <w:tr w:rsidR="00375569" w:rsidRPr="006150D2" w14:paraId="5F6D9ABA" w14:textId="77777777" w:rsidTr="00097291">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3C785DCB" w14:textId="77777777" w:rsidR="00375569" w:rsidRPr="00F97A88" w:rsidRDefault="00375569" w:rsidP="00097291">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Lucro Líquido do Exercício</w:t>
            </w:r>
          </w:p>
        </w:tc>
        <w:tc>
          <w:tcPr>
            <w:tcW w:w="884" w:type="dxa"/>
            <w:tcBorders>
              <w:top w:val="nil"/>
              <w:bottom w:val="nil"/>
            </w:tcBorders>
            <w:shd w:val="clear" w:color="auto" w:fill="auto"/>
            <w:vAlign w:val="center"/>
          </w:tcPr>
          <w:p w14:paraId="70B31999"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[25.c]</w:t>
            </w:r>
          </w:p>
        </w:tc>
        <w:tc>
          <w:tcPr>
            <w:tcW w:w="1325" w:type="dxa"/>
            <w:tcBorders>
              <w:top w:val="nil"/>
              <w:bottom w:val="nil"/>
            </w:tcBorders>
            <w:shd w:val="clear" w:color="auto" w:fill="auto"/>
            <w:vAlign w:val="center"/>
          </w:tcPr>
          <w:p w14:paraId="21E9EF28"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26888CA7"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326" w:type="dxa"/>
            <w:tcBorders>
              <w:top w:val="nil"/>
              <w:bottom w:val="nil"/>
            </w:tcBorders>
            <w:shd w:val="clear" w:color="auto" w:fill="auto"/>
            <w:vAlign w:val="center"/>
          </w:tcPr>
          <w:p w14:paraId="5F88A235"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nil"/>
              <w:bottom w:val="nil"/>
            </w:tcBorders>
            <w:shd w:val="clear" w:color="auto" w:fill="auto"/>
            <w:vAlign w:val="center"/>
          </w:tcPr>
          <w:p w14:paraId="17C3A64B"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65" w:type="dxa"/>
            <w:tcBorders>
              <w:top w:val="nil"/>
              <w:bottom w:val="nil"/>
            </w:tcBorders>
            <w:shd w:val="clear" w:color="auto" w:fill="auto"/>
            <w:vAlign w:val="center"/>
          </w:tcPr>
          <w:p w14:paraId="47CF5952"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78A282F7"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0D873851"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3.850.771</w:t>
            </w:r>
          </w:p>
        </w:tc>
        <w:tc>
          <w:tcPr>
            <w:tcW w:w="1165" w:type="dxa"/>
            <w:tcBorders>
              <w:top w:val="nil"/>
              <w:bottom w:val="nil"/>
            </w:tcBorders>
            <w:shd w:val="clear" w:color="auto" w:fill="auto"/>
            <w:vAlign w:val="center"/>
          </w:tcPr>
          <w:p w14:paraId="17883533" w14:textId="77777777" w:rsidR="00375569" w:rsidRPr="00F97A88" w:rsidRDefault="00375569" w:rsidP="0009729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3.850.771</w:t>
            </w:r>
          </w:p>
        </w:tc>
      </w:tr>
      <w:tr w:rsidR="00375569" w:rsidRPr="006150D2" w14:paraId="02BE1C12" w14:textId="77777777" w:rsidTr="00097291">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0AD5AA10" w14:textId="77777777" w:rsidR="00375569" w:rsidRPr="00F97A88" w:rsidRDefault="00375569" w:rsidP="00097291">
            <w:pPr>
              <w:keepNext/>
              <w:keepLines/>
              <w:spacing w:before="40" w:after="40"/>
              <w:ind w:left="113"/>
              <w:rPr>
                <w:rFonts w:eastAsia="Times New Roman" w:cs="Arial"/>
                <w:spacing w:val="-2"/>
                <w:sz w:val="14"/>
                <w:szCs w:val="14"/>
                <w:lang w:eastAsia="pt-BR"/>
              </w:rPr>
            </w:pPr>
            <w:r w:rsidRPr="00F97A88">
              <w:rPr>
                <w:rFonts w:eastAsia="Times New Roman" w:cs="Arial"/>
                <w:b w:val="0"/>
                <w:bCs w:val="0"/>
                <w:spacing w:val="-2"/>
                <w:sz w:val="14"/>
                <w:szCs w:val="14"/>
                <w:lang w:eastAsia="pt-BR"/>
              </w:rPr>
              <w:t>Destinações - Reservas de Lucros</w:t>
            </w:r>
          </w:p>
        </w:tc>
        <w:tc>
          <w:tcPr>
            <w:tcW w:w="884" w:type="dxa"/>
            <w:tcBorders>
              <w:top w:val="nil"/>
              <w:bottom w:val="nil"/>
            </w:tcBorders>
            <w:shd w:val="clear" w:color="auto" w:fill="auto"/>
            <w:vAlign w:val="center"/>
          </w:tcPr>
          <w:p w14:paraId="41E9EF25"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25" w:type="dxa"/>
            <w:tcBorders>
              <w:top w:val="nil"/>
              <w:bottom w:val="nil"/>
            </w:tcBorders>
            <w:shd w:val="clear" w:color="auto" w:fill="auto"/>
            <w:vAlign w:val="center"/>
          </w:tcPr>
          <w:p w14:paraId="46883549"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7270F900"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326" w:type="dxa"/>
            <w:tcBorders>
              <w:top w:val="nil"/>
              <w:bottom w:val="nil"/>
            </w:tcBorders>
            <w:shd w:val="clear" w:color="auto" w:fill="auto"/>
            <w:vAlign w:val="center"/>
          </w:tcPr>
          <w:p w14:paraId="730D59C7"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nil"/>
              <w:bottom w:val="nil"/>
            </w:tcBorders>
            <w:shd w:val="clear" w:color="auto" w:fill="auto"/>
            <w:vAlign w:val="center"/>
          </w:tcPr>
          <w:p w14:paraId="623A0CF8"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1.155.231</w:t>
            </w:r>
          </w:p>
        </w:tc>
        <w:tc>
          <w:tcPr>
            <w:tcW w:w="1165" w:type="dxa"/>
            <w:tcBorders>
              <w:top w:val="nil"/>
              <w:bottom w:val="nil"/>
            </w:tcBorders>
            <w:shd w:val="clear" w:color="auto" w:fill="auto"/>
            <w:vAlign w:val="center"/>
          </w:tcPr>
          <w:p w14:paraId="681072AA"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5A0BC52A"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1097BB32"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(1.155.231)</w:t>
            </w:r>
          </w:p>
        </w:tc>
        <w:tc>
          <w:tcPr>
            <w:tcW w:w="1165" w:type="dxa"/>
            <w:tcBorders>
              <w:top w:val="nil"/>
              <w:bottom w:val="nil"/>
            </w:tcBorders>
            <w:shd w:val="clear" w:color="auto" w:fill="auto"/>
            <w:vAlign w:val="center"/>
          </w:tcPr>
          <w:p w14:paraId="27F525F6" w14:textId="77777777" w:rsidR="00375569" w:rsidRPr="00F97A88" w:rsidRDefault="00375569" w:rsidP="0009729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r>
      <w:tr w:rsidR="00375569" w:rsidRPr="006150D2" w14:paraId="257AE08C" w14:textId="77777777" w:rsidTr="00097291">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52479FE0" w14:textId="77777777" w:rsidR="00375569" w:rsidRPr="00F97A88" w:rsidRDefault="00375569" w:rsidP="00D32C10">
            <w:pPr>
              <w:keepNext/>
              <w:keepLines/>
              <w:spacing w:before="40" w:after="40"/>
              <w:ind w:left="113"/>
              <w:rPr>
                <w:rFonts w:eastAsia="Times New Roman" w:cs="Arial"/>
                <w:spacing w:val="-2"/>
                <w:sz w:val="14"/>
                <w:szCs w:val="14"/>
                <w:lang w:eastAsia="pt-BR"/>
              </w:rPr>
            </w:pPr>
            <w:r w:rsidRPr="00F97A88">
              <w:rPr>
                <w:rFonts w:eastAsia="Times New Roman" w:cs="Arial"/>
                <w:b w:val="0"/>
                <w:spacing w:val="-2"/>
                <w:sz w:val="14"/>
                <w:szCs w:val="14"/>
                <w:lang w:eastAsia="pt-BR"/>
              </w:rPr>
              <w:t xml:space="preserve">                     - Dividendos intermediários pagos</w:t>
            </w:r>
          </w:p>
        </w:tc>
        <w:tc>
          <w:tcPr>
            <w:tcW w:w="884" w:type="dxa"/>
            <w:tcBorders>
              <w:top w:val="nil"/>
              <w:bottom w:val="nil"/>
            </w:tcBorders>
            <w:shd w:val="clear" w:color="auto" w:fill="auto"/>
            <w:vAlign w:val="center"/>
          </w:tcPr>
          <w:p w14:paraId="20CD3D34"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Cs/>
                <w:spacing w:val="-2"/>
                <w:sz w:val="14"/>
                <w:szCs w:val="14"/>
                <w:lang w:eastAsia="pt-BR"/>
              </w:rPr>
              <w:t>[25.d]</w:t>
            </w:r>
          </w:p>
        </w:tc>
        <w:tc>
          <w:tcPr>
            <w:tcW w:w="1325" w:type="dxa"/>
            <w:tcBorders>
              <w:top w:val="nil"/>
              <w:bottom w:val="nil"/>
            </w:tcBorders>
            <w:shd w:val="clear" w:color="auto" w:fill="auto"/>
            <w:vAlign w:val="center"/>
          </w:tcPr>
          <w:p w14:paraId="7CB1C2C9"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4A8AA37D"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326" w:type="dxa"/>
            <w:tcBorders>
              <w:top w:val="nil"/>
              <w:bottom w:val="nil"/>
            </w:tcBorders>
            <w:shd w:val="clear" w:color="auto" w:fill="auto"/>
            <w:vAlign w:val="center"/>
          </w:tcPr>
          <w:p w14:paraId="43AEBFA9"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nil"/>
              <w:bottom w:val="nil"/>
            </w:tcBorders>
            <w:shd w:val="clear" w:color="auto" w:fill="auto"/>
            <w:vAlign w:val="center"/>
          </w:tcPr>
          <w:p w14:paraId="21FB9AA7"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65" w:type="dxa"/>
            <w:tcBorders>
              <w:top w:val="nil"/>
              <w:bottom w:val="nil"/>
            </w:tcBorders>
            <w:shd w:val="clear" w:color="auto" w:fill="auto"/>
            <w:vAlign w:val="center"/>
          </w:tcPr>
          <w:p w14:paraId="4C68AD7E"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66D496C9"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04A978F6"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bCs/>
                <w:spacing w:val="-2"/>
                <w:sz w:val="14"/>
                <w:szCs w:val="14"/>
                <w:lang w:eastAsia="pt-BR"/>
              </w:rPr>
              <w:t>(1.747.565)</w:t>
            </w:r>
          </w:p>
        </w:tc>
        <w:tc>
          <w:tcPr>
            <w:tcW w:w="1165" w:type="dxa"/>
            <w:tcBorders>
              <w:top w:val="nil"/>
              <w:bottom w:val="nil"/>
            </w:tcBorders>
            <w:shd w:val="clear" w:color="auto" w:fill="auto"/>
            <w:vAlign w:val="center"/>
          </w:tcPr>
          <w:p w14:paraId="749223F8" w14:textId="77777777" w:rsidR="00375569" w:rsidRPr="00F97A88" w:rsidRDefault="00375569" w:rsidP="00D32C1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bCs/>
                <w:spacing w:val="-2"/>
                <w:sz w:val="14"/>
                <w:szCs w:val="14"/>
                <w:lang w:eastAsia="pt-BR"/>
              </w:rPr>
              <w:t>(1.747.565)</w:t>
            </w:r>
          </w:p>
        </w:tc>
      </w:tr>
      <w:tr w:rsidR="00375569" w:rsidRPr="006150D2" w14:paraId="5044F32B" w14:textId="77777777" w:rsidTr="00097291">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760533A5" w14:textId="77777777" w:rsidR="00375569" w:rsidRPr="00F97A88" w:rsidRDefault="00375569" w:rsidP="00D32C10">
            <w:pPr>
              <w:keepNext/>
              <w:keepLines/>
              <w:spacing w:before="40" w:after="40"/>
              <w:ind w:left="113"/>
              <w:rPr>
                <w:rFonts w:eastAsia="Times New Roman" w:cs="Arial"/>
                <w:b w:val="0"/>
                <w:bCs w:val="0"/>
                <w:spacing w:val="-2"/>
                <w:sz w:val="14"/>
                <w:szCs w:val="14"/>
                <w:lang w:eastAsia="pt-BR"/>
              </w:rPr>
            </w:pPr>
            <w:r w:rsidRPr="00F97A88">
              <w:rPr>
                <w:rFonts w:eastAsia="Times New Roman" w:cs="Arial"/>
                <w:b w:val="0"/>
                <w:bCs w:val="0"/>
                <w:spacing w:val="-2"/>
                <w:sz w:val="14"/>
                <w:szCs w:val="14"/>
                <w:lang w:eastAsia="pt-BR"/>
              </w:rPr>
              <w:t xml:space="preserve">                     - Dividendos propostos a pagar</w:t>
            </w:r>
          </w:p>
        </w:tc>
        <w:tc>
          <w:tcPr>
            <w:tcW w:w="884" w:type="dxa"/>
            <w:tcBorders>
              <w:top w:val="nil"/>
              <w:bottom w:val="nil"/>
            </w:tcBorders>
            <w:shd w:val="clear" w:color="auto" w:fill="auto"/>
            <w:vAlign w:val="center"/>
          </w:tcPr>
          <w:p w14:paraId="409B4A83"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[25.d]</w:t>
            </w:r>
          </w:p>
        </w:tc>
        <w:tc>
          <w:tcPr>
            <w:tcW w:w="1325" w:type="dxa"/>
            <w:tcBorders>
              <w:top w:val="nil"/>
              <w:bottom w:val="nil"/>
            </w:tcBorders>
            <w:shd w:val="clear" w:color="auto" w:fill="auto"/>
            <w:vAlign w:val="center"/>
          </w:tcPr>
          <w:p w14:paraId="208649F3"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5ACFB842"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326" w:type="dxa"/>
            <w:tcBorders>
              <w:top w:val="nil"/>
              <w:bottom w:val="nil"/>
            </w:tcBorders>
            <w:shd w:val="clear" w:color="auto" w:fill="auto"/>
            <w:vAlign w:val="center"/>
          </w:tcPr>
          <w:p w14:paraId="6DDC92AB"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nil"/>
              <w:bottom w:val="nil"/>
            </w:tcBorders>
            <w:shd w:val="clear" w:color="auto" w:fill="auto"/>
            <w:vAlign w:val="center"/>
          </w:tcPr>
          <w:p w14:paraId="41F38A08"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65" w:type="dxa"/>
            <w:tcBorders>
              <w:top w:val="nil"/>
              <w:bottom w:val="nil"/>
            </w:tcBorders>
            <w:shd w:val="clear" w:color="auto" w:fill="auto"/>
            <w:vAlign w:val="center"/>
          </w:tcPr>
          <w:p w14:paraId="37031B91"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0D45482B"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35EE5FD4"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(948.017)</w:t>
            </w:r>
          </w:p>
        </w:tc>
        <w:tc>
          <w:tcPr>
            <w:tcW w:w="1165" w:type="dxa"/>
            <w:tcBorders>
              <w:top w:val="nil"/>
              <w:bottom w:val="nil"/>
            </w:tcBorders>
            <w:shd w:val="clear" w:color="auto" w:fill="auto"/>
            <w:vAlign w:val="center"/>
          </w:tcPr>
          <w:p w14:paraId="14DF296D" w14:textId="77777777" w:rsidR="00375569" w:rsidRPr="00F97A88" w:rsidRDefault="00375569" w:rsidP="00D32C1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(948.017)</w:t>
            </w:r>
          </w:p>
        </w:tc>
      </w:tr>
      <w:tr w:rsidR="00375569" w:rsidRPr="006150D2" w14:paraId="1284023D" w14:textId="77777777" w:rsidTr="00097291">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single" w:sz="4" w:space="0" w:color="1F4E79" w:themeColor="accent1" w:themeShade="80"/>
            </w:tcBorders>
            <w:shd w:val="clear" w:color="auto" w:fill="auto"/>
            <w:vAlign w:val="center"/>
          </w:tcPr>
          <w:p w14:paraId="003197C9" w14:textId="77777777" w:rsidR="00375569" w:rsidRPr="00F97A88" w:rsidRDefault="00375569" w:rsidP="00373DF0">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Saldos em 31.12.2020</w:t>
            </w:r>
          </w:p>
        </w:tc>
        <w:tc>
          <w:tcPr>
            <w:tcW w:w="884" w:type="dxa"/>
            <w:tcBorders>
              <w:top w:val="nil"/>
              <w:bottom w:val="single" w:sz="4" w:space="0" w:color="1F4E79" w:themeColor="accent1" w:themeShade="80"/>
            </w:tcBorders>
            <w:shd w:val="clear" w:color="auto" w:fill="auto"/>
            <w:vAlign w:val="center"/>
          </w:tcPr>
          <w:p w14:paraId="0998A15C"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325" w:type="dxa"/>
            <w:tcBorders>
              <w:top w:val="nil"/>
              <w:bottom w:val="single" w:sz="4" w:space="0" w:color="1F4E79" w:themeColor="accent1" w:themeShade="80"/>
            </w:tcBorders>
            <w:shd w:val="clear" w:color="auto" w:fill="auto"/>
            <w:vAlign w:val="center"/>
          </w:tcPr>
          <w:p w14:paraId="3F7307C3"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3.396.767</w:t>
            </w:r>
          </w:p>
        </w:tc>
        <w:tc>
          <w:tcPr>
            <w:tcW w:w="1032" w:type="dxa"/>
            <w:tcBorders>
              <w:top w:val="nil"/>
              <w:bottom w:val="single" w:sz="4" w:space="0" w:color="1F4E79" w:themeColor="accent1" w:themeShade="80"/>
            </w:tcBorders>
            <w:shd w:val="clear" w:color="auto" w:fill="auto"/>
            <w:vAlign w:val="center"/>
          </w:tcPr>
          <w:p w14:paraId="3AFD94AE"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1.588</w:t>
            </w:r>
          </w:p>
        </w:tc>
        <w:tc>
          <w:tcPr>
            <w:tcW w:w="1326" w:type="dxa"/>
            <w:tcBorders>
              <w:top w:val="nil"/>
              <w:bottom w:val="single" w:sz="4" w:space="0" w:color="1F4E79" w:themeColor="accent1" w:themeShade="80"/>
            </w:tcBorders>
            <w:shd w:val="clear" w:color="auto" w:fill="auto"/>
            <w:vAlign w:val="center"/>
          </w:tcPr>
          <w:p w14:paraId="2D3DA164"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679.354</w:t>
            </w:r>
          </w:p>
        </w:tc>
        <w:tc>
          <w:tcPr>
            <w:tcW w:w="1917" w:type="dxa"/>
            <w:tcBorders>
              <w:top w:val="nil"/>
              <w:bottom w:val="single" w:sz="4" w:space="0" w:color="1F4E79" w:themeColor="accent1" w:themeShade="80"/>
            </w:tcBorders>
            <w:shd w:val="clear" w:color="auto" w:fill="auto"/>
            <w:vAlign w:val="center"/>
          </w:tcPr>
          <w:p w14:paraId="30654C6D"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2.381.602</w:t>
            </w:r>
          </w:p>
        </w:tc>
        <w:tc>
          <w:tcPr>
            <w:tcW w:w="1165" w:type="dxa"/>
            <w:tcBorders>
              <w:top w:val="nil"/>
              <w:bottom w:val="single" w:sz="4" w:space="0" w:color="1F4E79" w:themeColor="accent1" w:themeShade="80"/>
            </w:tcBorders>
            <w:shd w:val="clear" w:color="auto" w:fill="auto"/>
            <w:vAlign w:val="center"/>
          </w:tcPr>
          <w:p w14:paraId="3931B5EF"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(82.588)</w:t>
            </w:r>
          </w:p>
        </w:tc>
        <w:tc>
          <w:tcPr>
            <w:tcW w:w="1190" w:type="dxa"/>
            <w:tcBorders>
              <w:top w:val="nil"/>
              <w:bottom w:val="single" w:sz="4" w:space="0" w:color="1F4E79" w:themeColor="accent1" w:themeShade="80"/>
            </w:tcBorders>
            <w:shd w:val="clear" w:color="auto" w:fill="auto"/>
            <w:vAlign w:val="center"/>
          </w:tcPr>
          <w:p w14:paraId="431D5E7A"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12.882</w:t>
            </w:r>
          </w:p>
        </w:tc>
        <w:tc>
          <w:tcPr>
            <w:tcW w:w="1190" w:type="dxa"/>
            <w:tcBorders>
              <w:top w:val="nil"/>
              <w:bottom w:val="single" w:sz="4" w:space="0" w:color="1F4E79" w:themeColor="accent1" w:themeShade="80"/>
            </w:tcBorders>
            <w:shd w:val="clear" w:color="auto" w:fill="auto"/>
            <w:vAlign w:val="center"/>
          </w:tcPr>
          <w:p w14:paraId="58BE4131"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w:t>
            </w:r>
          </w:p>
        </w:tc>
        <w:tc>
          <w:tcPr>
            <w:tcW w:w="1165" w:type="dxa"/>
            <w:tcBorders>
              <w:top w:val="nil"/>
              <w:bottom w:val="single" w:sz="4" w:space="0" w:color="1F4E79" w:themeColor="accent1" w:themeShade="80"/>
            </w:tcBorders>
            <w:shd w:val="clear" w:color="auto" w:fill="auto"/>
            <w:vAlign w:val="center"/>
          </w:tcPr>
          <w:p w14:paraId="15D7CA99" w14:textId="77777777" w:rsidR="00375569" w:rsidRPr="00F97A88" w:rsidRDefault="00375569" w:rsidP="00373DF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6.389.605</w:t>
            </w:r>
          </w:p>
        </w:tc>
      </w:tr>
      <w:tr w:rsidR="00375569" w:rsidRPr="006150D2" w14:paraId="063AFEA1" w14:textId="77777777" w:rsidTr="00097291">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1F4E79" w:themeColor="accent1" w:themeShade="80"/>
              <w:bottom w:val="single" w:sz="4" w:space="0" w:color="1F4E79" w:themeColor="accent1" w:themeShade="80"/>
            </w:tcBorders>
            <w:shd w:val="clear" w:color="auto" w:fill="auto"/>
            <w:vAlign w:val="center"/>
          </w:tcPr>
          <w:p w14:paraId="6D56898B" w14:textId="77777777" w:rsidR="00375569" w:rsidRPr="00F97A88" w:rsidRDefault="00375569" w:rsidP="00F152CD">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Mutações do Exercício</w:t>
            </w:r>
          </w:p>
        </w:tc>
        <w:tc>
          <w:tcPr>
            <w:tcW w:w="884" w:type="dxa"/>
            <w:tcBorders>
              <w:top w:val="single" w:sz="4" w:space="0" w:color="1F4E79" w:themeColor="accent1" w:themeShade="80"/>
              <w:bottom w:val="single" w:sz="4" w:space="0" w:color="1F4E79" w:themeColor="accent1" w:themeShade="80"/>
            </w:tcBorders>
            <w:shd w:val="clear" w:color="auto" w:fill="auto"/>
            <w:vAlign w:val="center"/>
          </w:tcPr>
          <w:p w14:paraId="2BE779DB"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25" w:type="dxa"/>
            <w:tcBorders>
              <w:top w:val="single" w:sz="4" w:space="0" w:color="1F4E79" w:themeColor="accent1" w:themeShade="80"/>
              <w:bottom w:val="single" w:sz="4" w:space="0" w:color="1F4E79" w:themeColor="accent1" w:themeShade="80"/>
            </w:tcBorders>
            <w:shd w:val="clear" w:color="auto" w:fill="auto"/>
            <w:vAlign w:val="center"/>
          </w:tcPr>
          <w:p w14:paraId="6A3A90C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w:t>
            </w:r>
          </w:p>
        </w:tc>
        <w:tc>
          <w:tcPr>
            <w:tcW w:w="1032" w:type="dxa"/>
            <w:tcBorders>
              <w:top w:val="single" w:sz="4" w:space="0" w:color="1F4E79" w:themeColor="accent1" w:themeShade="80"/>
              <w:bottom w:val="single" w:sz="4" w:space="0" w:color="1F4E79" w:themeColor="accent1" w:themeShade="80"/>
            </w:tcBorders>
            <w:shd w:val="clear" w:color="auto" w:fill="auto"/>
            <w:vAlign w:val="center"/>
          </w:tcPr>
          <w:p w14:paraId="63D255A0"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471</w:t>
            </w:r>
          </w:p>
        </w:tc>
        <w:tc>
          <w:tcPr>
            <w:tcW w:w="1326" w:type="dxa"/>
            <w:tcBorders>
              <w:top w:val="single" w:sz="4" w:space="0" w:color="1F4E79" w:themeColor="accent1" w:themeShade="80"/>
              <w:bottom w:val="single" w:sz="4" w:space="0" w:color="1F4E79" w:themeColor="accent1" w:themeShade="80"/>
            </w:tcBorders>
            <w:shd w:val="clear" w:color="auto" w:fill="auto"/>
            <w:vAlign w:val="center"/>
          </w:tcPr>
          <w:p w14:paraId="172BC1B4"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w:t>
            </w:r>
          </w:p>
        </w:tc>
        <w:tc>
          <w:tcPr>
            <w:tcW w:w="1917" w:type="dxa"/>
            <w:tcBorders>
              <w:top w:val="single" w:sz="4" w:space="0" w:color="1F4E79" w:themeColor="accent1" w:themeShade="80"/>
              <w:bottom w:val="single" w:sz="4" w:space="0" w:color="1F4E79" w:themeColor="accent1" w:themeShade="80"/>
            </w:tcBorders>
            <w:shd w:val="clear" w:color="auto" w:fill="auto"/>
            <w:vAlign w:val="center"/>
          </w:tcPr>
          <w:p w14:paraId="04B2E36C"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1.155.231</w:t>
            </w:r>
          </w:p>
        </w:tc>
        <w:tc>
          <w:tcPr>
            <w:tcW w:w="1165" w:type="dxa"/>
            <w:tcBorders>
              <w:top w:val="single" w:sz="4" w:space="0" w:color="1F4E79" w:themeColor="accent1" w:themeShade="80"/>
              <w:bottom w:val="single" w:sz="4" w:space="0" w:color="1F4E79" w:themeColor="accent1" w:themeShade="80"/>
            </w:tcBorders>
            <w:shd w:val="clear" w:color="auto" w:fill="auto"/>
            <w:vAlign w:val="center"/>
          </w:tcPr>
          <w:p w14:paraId="5DCB4F38"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718</w:t>
            </w:r>
          </w:p>
        </w:tc>
        <w:tc>
          <w:tcPr>
            <w:tcW w:w="1190" w:type="dxa"/>
            <w:tcBorders>
              <w:top w:val="single" w:sz="4" w:space="0" w:color="1F4E79" w:themeColor="accent1" w:themeShade="80"/>
              <w:bottom w:val="single" w:sz="4" w:space="0" w:color="1F4E79" w:themeColor="accent1" w:themeShade="80"/>
            </w:tcBorders>
            <w:shd w:val="clear" w:color="auto" w:fill="auto"/>
            <w:vAlign w:val="center"/>
          </w:tcPr>
          <w:p w14:paraId="5BAAFEE5"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(15.569)</w:t>
            </w:r>
          </w:p>
        </w:tc>
        <w:tc>
          <w:tcPr>
            <w:tcW w:w="1190" w:type="dxa"/>
            <w:tcBorders>
              <w:top w:val="single" w:sz="4" w:space="0" w:color="1F4E79" w:themeColor="accent1" w:themeShade="80"/>
              <w:bottom w:val="single" w:sz="4" w:space="0" w:color="1F4E79" w:themeColor="accent1" w:themeShade="80"/>
            </w:tcBorders>
            <w:shd w:val="clear" w:color="auto" w:fill="auto"/>
            <w:vAlign w:val="center"/>
          </w:tcPr>
          <w:p w14:paraId="4A017214"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bCs/>
                <w:spacing w:val="-2"/>
                <w:sz w:val="14"/>
                <w:szCs w:val="14"/>
                <w:lang w:eastAsia="pt-BR"/>
              </w:rPr>
              <w:t>--</w:t>
            </w:r>
          </w:p>
        </w:tc>
        <w:tc>
          <w:tcPr>
            <w:tcW w:w="1165" w:type="dxa"/>
            <w:tcBorders>
              <w:top w:val="single" w:sz="4" w:space="0" w:color="1F4E79" w:themeColor="accent1" w:themeShade="80"/>
              <w:bottom w:val="single" w:sz="4" w:space="0" w:color="1F4E79" w:themeColor="accent1" w:themeShade="80"/>
            </w:tcBorders>
            <w:shd w:val="clear" w:color="auto" w:fill="auto"/>
            <w:vAlign w:val="center"/>
          </w:tcPr>
          <w:p w14:paraId="34824FC5"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F97A88">
              <w:rPr>
                <w:rFonts w:eastAsia="Times New Roman" w:cs="Arial"/>
                <w:b/>
                <w:spacing w:val="-2"/>
                <w:sz w:val="14"/>
                <w:szCs w:val="14"/>
                <w:lang w:eastAsia="pt-BR"/>
              </w:rPr>
              <w:t>1.140.851</w:t>
            </w:r>
          </w:p>
        </w:tc>
      </w:tr>
      <w:tr w:rsidR="00375569" w:rsidRPr="003E112B" w14:paraId="0F0DD8A0" w14:textId="77777777" w:rsidTr="00097291">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1F4E79" w:themeColor="accent1" w:themeShade="80"/>
              <w:bottom w:val="nil"/>
            </w:tcBorders>
            <w:shd w:val="clear" w:color="auto" w:fill="auto"/>
            <w:vAlign w:val="center"/>
          </w:tcPr>
          <w:p w14:paraId="20471399" w14:textId="77777777" w:rsidR="00375569" w:rsidRPr="00F97A88" w:rsidRDefault="00375569" w:rsidP="00F152CD">
            <w:pPr>
              <w:keepNext/>
              <w:keepLines/>
              <w:spacing w:before="40" w:after="40"/>
              <w:rPr>
                <w:rFonts w:eastAsia="Times New Roman" w:cs="Arial"/>
                <w:spacing w:val="-2"/>
                <w:sz w:val="14"/>
                <w:szCs w:val="14"/>
                <w:lang w:eastAsia="pt-BR"/>
              </w:rPr>
            </w:pPr>
          </w:p>
        </w:tc>
        <w:tc>
          <w:tcPr>
            <w:tcW w:w="884" w:type="dxa"/>
            <w:tcBorders>
              <w:top w:val="single" w:sz="4" w:space="0" w:color="1F4E79" w:themeColor="accent1" w:themeShade="80"/>
              <w:bottom w:val="nil"/>
            </w:tcBorders>
            <w:shd w:val="clear" w:color="auto" w:fill="auto"/>
            <w:vAlign w:val="center"/>
          </w:tcPr>
          <w:p w14:paraId="61C79565"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325" w:type="dxa"/>
            <w:tcBorders>
              <w:top w:val="single" w:sz="4" w:space="0" w:color="1F4E79" w:themeColor="accent1" w:themeShade="80"/>
              <w:bottom w:val="nil"/>
            </w:tcBorders>
            <w:shd w:val="clear" w:color="auto" w:fill="auto"/>
            <w:vAlign w:val="center"/>
          </w:tcPr>
          <w:p w14:paraId="40BB221A"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032" w:type="dxa"/>
            <w:tcBorders>
              <w:top w:val="single" w:sz="4" w:space="0" w:color="1F4E79" w:themeColor="accent1" w:themeShade="80"/>
              <w:bottom w:val="nil"/>
            </w:tcBorders>
            <w:shd w:val="clear" w:color="auto" w:fill="auto"/>
            <w:vAlign w:val="center"/>
          </w:tcPr>
          <w:p w14:paraId="66181430"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326" w:type="dxa"/>
            <w:tcBorders>
              <w:top w:val="single" w:sz="4" w:space="0" w:color="1F4E79" w:themeColor="accent1" w:themeShade="80"/>
              <w:bottom w:val="nil"/>
            </w:tcBorders>
            <w:shd w:val="clear" w:color="auto" w:fill="auto"/>
            <w:vAlign w:val="center"/>
          </w:tcPr>
          <w:p w14:paraId="44CB5FFC"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917" w:type="dxa"/>
            <w:tcBorders>
              <w:top w:val="single" w:sz="4" w:space="0" w:color="1F4E79" w:themeColor="accent1" w:themeShade="80"/>
              <w:bottom w:val="nil"/>
            </w:tcBorders>
            <w:shd w:val="clear" w:color="auto" w:fill="auto"/>
            <w:vAlign w:val="center"/>
          </w:tcPr>
          <w:p w14:paraId="492E2BA0"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65" w:type="dxa"/>
            <w:tcBorders>
              <w:top w:val="single" w:sz="4" w:space="0" w:color="1F4E79" w:themeColor="accent1" w:themeShade="80"/>
              <w:bottom w:val="nil"/>
            </w:tcBorders>
            <w:shd w:val="clear" w:color="auto" w:fill="auto"/>
            <w:vAlign w:val="center"/>
          </w:tcPr>
          <w:p w14:paraId="0B4C743E"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90" w:type="dxa"/>
            <w:tcBorders>
              <w:top w:val="single" w:sz="4" w:space="0" w:color="1F4E79" w:themeColor="accent1" w:themeShade="80"/>
              <w:bottom w:val="nil"/>
            </w:tcBorders>
            <w:shd w:val="clear" w:color="auto" w:fill="auto"/>
            <w:vAlign w:val="center"/>
          </w:tcPr>
          <w:p w14:paraId="0F141D35"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90" w:type="dxa"/>
            <w:tcBorders>
              <w:top w:val="single" w:sz="4" w:space="0" w:color="1F4E79" w:themeColor="accent1" w:themeShade="80"/>
              <w:bottom w:val="nil"/>
            </w:tcBorders>
            <w:shd w:val="clear" w:color="auto" w:fill="auto"/>
            <w:vAlign w:val="center"/>
          </w:tcPr>
          <w:p w14:paraId="11B133F4"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165" w:type="dxa"/>
            <w:tcBorders>
              <w:top w:val="single" w:sz="4" w:space="0" w:color="1F4E79" w:themeColor="accent1" w:themeShade="80"/>
              <w:bottom w:val="nil"/>
            </w:tcBorders>
            <w:shd w:val="clear" w:color="auto" w:fill="auto"/>
            <w:vAlign w:val="center"/>
          </w:tcPr>
          <w:p w14:paraId="5622C5DF"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r>
      <w:tr w:rsidR="00375569" w:rsidRPr="006150D2" w14:paraId="52E29ACD" w14:textId="77777777" w:rsidTr="00097291">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213C3916" w14:textId="77777777" w:rsidR="00375569" w:rsidRPr="00F97A88" w:rsidRDefault="00375569" w:rsidP="00F152CD">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Saldos em 31.12.2020</w:t>
            </w:r>
          </w:p>
        </w:tc>
        <w:tc>
          <w:tcPr>
            <w:tcW w:w="884" w:type="dxa"/>
            <w:tcBorders>
              <w:top w:val="nil"/>
              <w:bottom w:val="nil"/>
            </w:tcBorders>
            <w:shd w:val="clear" w:color="auto" w:fill="auto"/>
            <w:vAlign w:val="center"/>
          </w:tcPr>
          <w:p w14:paraId="1E66B4F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25" w:type="dxa"/>
            <w:tcBorders>
              <w:top w:val="nil"/>
              <w:bottom w:val="nil"/>
            </w:tcBorders>
            <w:shd w:val="clear" w:color="auto" w:fill="auto"/>
            <w:vAlign w:val="center"/>
          </w:tcPr>
          <w:p w14:paraId="653A505C"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3.396.767</w:t>
            </w:r>
          </w:p>
        </w:tc>
        <w:tc>
          <w:tcPr>
            <w:tcW w:w="1032" w:type="dxa"/>
            <w:tcBorders>
              <w:top w:val="nil"/>
              <w:bottom w:val="nil"/>
            </w:tcBorders>
            <w:shd w:val="clear" w:color="auto" w:fill="auto"/>
            <w:vAlign w:val="center"/>
          </w:tcPr>
          <w:p w14:paraId="0929BC55"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1.588</w:t>
            </w:r>
          </w:p>
        </w:tc>
        <w:tc>
          <w:tcPr>
            <w:tcW w:w="1326" w:type="dxa"/>
            <w:tcBorders>
              <w:top w:val="nil"/>
              <w:bottom w:val="nil"/>
            </w:tcBorders>
            <w:shd w:val="clear" w:color="auto" w:fill="auto"/>
            <w:vAlign w:val="center"/>
          </w:tcPr>
          <w:p w14:paraId="212AB35E"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679.354</w:t>
            </w:r>
          </w:p>
        </w:tc>
        <w:tc>
          <w:tcPr>
            <w:tcW w:w="1917" w:type="dxa"/>
            <w:tcBorders>
              <w:top w:val="nil"/>
              <w:bottom w:val="nil"/>
            </w:tcBorders>
            <w:shd w:val="clear" w:color="auto" w:fill="auto"/>
            <w:vAlign w:val="center"/>
          </w:tcPr>
          <w:p w14:paraId="7E2FD03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2.381.602</w:t>
            </w:r>
          </w:p>
        </w:tc>
        <w:tc>
          <w:tcPr>
            <w:tcW w:w="1165" w:type="dxa"/>
            <w:tcBorders>
              <w:top w:val="nil"/>
              <w:bottom w:val="nil"/>
            </w:tcBorders>
            <w:shd w:val="clear" w:color="auto" w:fill="auto"/>
            <w:vAlign w:val="center"/>
          </w:tcPr>
          <w:p w14:paraId="0B54FC72"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(82.588)</w:t>
            </w:r>
          </w:p>
        </w:tc>
        <w:tc>
          <w:tcPr>
            <w:tcW w:w="1190" w:type="dxa"/>
            <w:tcBorders>
              <w:top w:val="nil"/>
              <w:bottom w:val="nil"/>
            </w:tcBorders>
            <w:shd w:val="clear" w:color="auto" w:fill="auto"/>
            <w:vAlign w:val="center"/>
          </w:tcPr>
          <w:p w14:paraId="5665691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12.882</w:t>
            </w:r>
          </w:p>
        </w:tc>
        <w:tc>
          <w:tcPr>
            <w:tcW w:w="1190" w:type="dxa"/>
            <w:tcBorders>
              <w:top w:val="nil"/>
              <w:bottom w:val="nil"/>
            </w:tcBorders>
            <w:shd w:val="clear" w:color="auto" w:fill="auto"/>
            <w:vAlign w:val="center"/>
          </w:tcPr>
          <w:p w14:paraId="0B7E9D96"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65" w:type="dxa"/>
            <w:tcBorders>
              <w:top w:val="nil"/>
              <w:bottom w:val="nil"/>
            </w:tcBorders>
            <w:shd w:val="clear" w:color="auto" w:fill="auto"/>
            <w:vAlign w:val="center"/>
          </w:tcPr>
          <w:p w14:paraId="1370365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6.389.605</w:t>
            </w:r>
          </w:p>
        </w:tc>
      </w:tr>
      <w:tr w:rsidR="00375569" w:rsidRPr="003E112B" w14:paraId="351F711D" w14:textId="77777777" w:rsidTr="00097291">
        <w:trPr>
          <w:cnfStyle w:val="000000010000" w:firstRow="0" w:lastRow="0" w:firstColumn="0" w:lastColumn="0" w:oddVBand="0" w:evenVBand="0" w:oddHBand="0" w:evenHBand="1"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5A597E77" w14:textId="77777777" w:rsidR="00375569" w:rsidRPr="00F97A88" w:rsidRDefault="00375569" w:rsidP="00F152CD">
            <w:pPr>
              <w:keepNext/>
              <w:keepLines/>
              <w:spacing w:before="40" w:after="40"/>
              <w:ind w:left="113"/>
              <w:rPr>
                <w:rFonts w:eastAsia="Times New Roman" w:cs="Arial"/>
                <w:b w:val="0"/>
                <w:spacing w:val="-2"/>
                <w:sz w:val="14"/>
                <w:szCs w:val="14"/>
                <w:lang w:eastAsia="pt-BR"/>
              </w:rPr>
            </w:pPr>
            <w:r w:rsidRPr="00F97A88">
              <w:rPr>
                <w:rFonts w:eastAsia="Times New Roman" w:cs="Arial"/>
                <w:b w:val="0"/>
                <w:spacing w:val="-2"/>
                <w:sz w:val="14"/>
                <w:szCs w:val="14"/>
                <w:lang w:eastAsia="pt-BR"/>
              </w:rPr>
              <w:t>Transações com pagamento baseado em ações</w:t>
            </w:r>
          </w:p>
        </w:tc>
        <w:tc>
          <w:tcPr>
            <w:tcW w:w="884" w:type="dxa"/>
            <w:tcBorders>
              <w:top w:val="nil"/>
              <w:bottom w:val="nil"/>
            </w:tcBorders>
            <w:shd w:val="clear" w:color="auto" w:fill="auto"/>
            <w:vAlign w:val="center"/>
          </w:tcPr>
          <w:p w14:paraId="36558CD3"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p>
        </w:tc>
        <w:tc>
          <w:tcPr>
            <w:tcW w:w="1325" w:type="dxa"/>
            <w:tcBorders>
              <w:top w:val="nil"/>
              <w:bottom w:val="nil"/>
            </w:tcBorders>
            <w:shd w:val="clear" w:color="auto" w:fill="auto"/>
            <w:vAlign w:val="center"/>
          </w:tcPr>
          <w:p w14:paraId="0B083C38"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55FAE159"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(80)</w:t>
            </w:r>
          </w:p>
        </w:tc>
        <w:tc>
          <w:tcPr>
            <w:tcW w:w="1326" w:type="dxa"/>
            <w:tcBorders>
              <w:top w:val="nil"/>
              <w:bottom w:val="nil"/>
            </w:tcBorders>
            <w:shd w:val="clear" w:color="auto" w:fill="auto"/>
            <w:vAlign w:val="center"/>
          </w:tcPr>
          <w:p w14:paraId="14A3E53B"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6E9DD05D"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374F6803"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F97A88">
              <w:rPr>
                <w:rFonts w:eastAsia="Times New Roman" w:cs="Arial"/>
                <w:sz w:val="14"/>
                <w:szCs w:val="14"/>
              </w:rPr>
              <w:t>1.268</w:t>
            </w:r>
          </w:p>
        </w:tc>
        <w:tc>
          <w:tcPr>
            <w:tcW w:w="1190" w:type="dxa"/>
            <w:tcBorders>
              <w:top w:val="nil"/>
              <w:bottom w:val="nil"/>
            </w:tcBorders>
            <w:shd w:val="clear" w:color="auto" w:fill="auto"/>
            <w:vAlign w:val="center"/>
          </w:tcPr>
          <w:p w14:paraId="7C56080A"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0B7F5661"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2F218CB3"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F97A88">
              <w:rPr>
                <w:rFonts w:eastAsia="Times New Roman" w:cs="Arial"/>
                <w:sz w:val="14"/>
                <w:szCs w:val="14"/>
              </w:rPr>
              <w:t>1.188</w:t>
            </w:r>
          </w:p>
        </w:tc>
      </w:tr>
      <w:tr w:rsidR="00375569" w:rsidRPr="003E112B" w14:paraId="083017A6" w14:textId="77777777" w:rsidTr="00097291">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12434752" w14:textId="77777777" w:rsidR="00375569" w:rsidRPr="00F97A88" w:rsidRDefault="00375569" w:rsidP="00F152CD">
            <w:pPr>
              <w:keepNext/>
              <w:keepLines/>
              <w:spacing w:before="40" w:after="40"/>
              <w:ind w:left="113"/>
              <w:rPr>
                <w:rFonts w:eastAsia="Times New Roman" w:cs="Arial"/>
                <w:b w:val="0"/>
                <w:spacing w:val="-2"/>
                <w:sz w:val="14"/>
                <w:szCs w:val="14"/>
                <w:lang w:eastAsia="pt-BR"/>
              </w:rPr>
            </w:pPr>
            <w:r w:rsidRPr="00F97A88">
              <w:rPr>
                <w:rFonts w:eastAsia="Times New Roman" w:cs="Arial"/>
                <w:b w:val="0"/>
                <w:spacing w:val="-2"/>
                <w:sz w:val="14"/>
                <w:szCs w:val="14"/>
                <w:lang w:eastAsia="pt-BR"/>
              </w:rPr>
              <w:t>Outros resultados abrangentes</w:t>
            </w:r>
          </w:p>
        </w:tc>
        <w:tc>
          <w:tcPr>
            <w:tcW w:w="884" w:type="dxa"/>
            <w:tcBorders>
              <w:top w:val="nil"/>
              <w:bottom w:val="nil"/>
            </w:tcBorders>
            <w:shd w:val="clear" w:color="auto" w:fill="auto"/>
            <w:vAlign w:val="center"/>
          </w:tcPr>
          <w:p w14:paraId="3A13C9D7"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[7.b]</w:t>
            </w:r>
          </w:p>
        </w:tc>
        <w:tc>
          <w:tcPr>
            <w:tcW w:w="1325" w:type="dxa"/>
            <w:tcBorders>
              <w:top w:val="nil"/>
              <w:bottom w:val="nil"/>
            </w:tcBorders>
            <w:shd w:val="clear" w:color="auto" w:fill="auto"/>
            <w:vAlign w:val="center"/>
          </w:tcPr>
          <w:p w14:paraId="243307A9"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54B9ADF8"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326" w:type="dxa"/>
            <w:tcBorders>
              <w:top w:val="nil"/>
              <w:bottom w:val="nil"/>
            </w:tcBorders>
            <w:shd w:val="clear" w:color="auto" w:fill="auto"/>
            <w:vAlign w:val="center"/>
          </w:tcPr>
          <w:p w14:paraId="7253D92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15BFD4F7"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7B59C8FD"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3E809A21"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(171.346)</w:t>
            </w:r>
          </w:p>
        </w:tc>
        <w:tc>
          <w:tcPr>
            <w:tcW w:w="1190" w:type="dxa"/>
            <w:tcBorders>
              <w:top w:val="nil"/>
              <w:bottom w:val="nil"/>
            </w:tcBorders>
            <w:shd w:val="clear" w:color="auto" w:fill="auto"/>
            <w:vAlign w:val="center"/>
          </w:tcPr>
          <w:p w14:paraId="66A5C684"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00BDB0B1"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F97A88">
              <w:rPr>
                <w:rFonts w:eastAsia="Times New Roman" w:cs="Arial"/>
                <w:sz w:val="14"/>
                <w:szCs w:val="14"/>
              </w:rPr>
              <w:t>(171.346)</w:t>
            </w:r>
          </w:p>
        </w:tc>
      </w:tr>
      <w:tr w:rsidR="00375569" w:rsidRPr="00562822" w14:paraId="18526136" w14:textId="77777777" w:rsidTr="00097291">
        <w:trPr>
          <w:cnfStyle w:val="000000010000" w:firstRow="0" w:lastRow="0" w:firstColumn="0" w:lastColumn="0" w:oddVBand="0" w:evenVBand="0" w:oddHBand="0" w:evenHBand="1"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3807E843" w14:textId="77777777" w:rsidR="00375569" w:rsidRPr="00F97A88" w:rsidRDefault="00375569" w:rsidP="00F152CD">
            <w:pPr>
              <w:keepNext/>
              <w:keepLines/>
              <w:spacing w:before="40" w:after="40"/>
              <w:ind w:left="113"/>
              <w:rPr>
                <w:rFonts w:eastAsia="Times New Roman" w:cs="Arial"/>
                <w:b w:val="0"/>
                <w:spacing w:val="-2"/>
                <w:sz w:val="14"/>
                <w:szCs w:val="14"/>
                <w:lang w:eastAsia="pt-BR"/>
              </w:rPr>
            </w:pPr>
            <w:r w:rsidRPr="00F97A88">
              <w:rPr>
                <w:rFonts w:eastAsia="Times New Roman" w:cs="Arial"/>
                <w:b w:val="0"/>
                <w:spacing w:val="-2"/>
                <w:sz w:val="14"/>
                <w:szCs w:val="14"/>
                <w:lang w:eastAsia="pt-BR"/>
              </w:rPr>
              <w:t>Dividendos prescritos</w:t>
            </w:r>
          </w:p>
        </w:tc>
        <w:tc>
          <w:tcPr>
            <w:tcW w:w="884" w:type="dxa"/>
            <w:tcBorders>
              <w:top w:val="nil"/>
              <w:bottom w:val="nil"/>
            </w:tcBorders>
            <w:shd w:val="clear" w:color="auto" w:fill="auto"/>
            <w:vAlign w:val="center"/>
          </w:tcPr>
          <w:p w14:paraId="22663715"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[25.d]</w:t>
            </w:r>
          </w:p>
        </w:tc>
        <w:tc>
          <w:tcPr>
            <w:tcW w:w="1325" w:type="dxa"/>
            <w:tcBorders>
              <w:top w:val="nil"/>
              <w:bottom w:val="nil"/>
            </w:tcBorders>
            <w:shd w:val="clear" w:color="auto" w:fill="auto"/>
            <w:vAlign w:val="center"/>
          </w:tcPr>
          <w:p w14:paraId="465BEF9A"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032" w:type="dxa"/>
            <w:tcBorders>
              <w:top w:val="nil"/>
              <w:bottom w:val="nil"/>
            </w:tcBorders>
            <w:shd w:val="clear" w:color="auto" w:fill="auto"/>
            <w:vAlign w:val="center"/>
          </w:tcPr>
          <w:p w14:paraId="5003D204"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326" w:type="dxa"/>
            <w:tcBorders>
              <w:top w:val="nil"/>
              <w:bottom w:val="nil"/>
            </w:tcBorders>
            <w:shd w:val="clear" w:color="auto" w:fill="auto"/>
            <w:vAlign w:val="center"/>
          </w:tcPr>
          <w:p w14:paraId="3D9CD2F2"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917" w:type="dxa"/>
            <w:tcBorders>
              <w:top w:val="nil"/>
              <w:bottom w:val="nil"/>
            </w:tcBorders>
            <w:shd w:val="clear" w:color="auto" w:fill="auto"/>
            <w:vAlign w:val="center"/>
          </w:tcPr>
          <w:p w14:paraId="4455728B"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65" w:type="dxa"/>
            <w:tcBorders>
              <w:top w:val="nil"/>
              <w:bottom w:val="nil"/>
            </w:tcBorders>
            <w:shd w:val="clear" w:color="auto" w:fill="auto"/>
            <w:vAlign w:val="center"/>
          </w:tcPr>
          <w:p w14:paraId="1D18162A"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401710AA"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w:t>
            </w:r>
          </w:p>
        </w:tc>
        <w:tc>
          <w:tcPr>
            <w:tcW w:w="1190" w:type="dxa"/>
            <w:tcBorders>
              <w:top w:val="nil"/>
              <w:bottom w:val="nil"/>
            </w:tcBorders>
            <w:shd w:val="clear" w:color="auto" w:fill="auto"/>
            <w:vAlign w:val="center"/>
          </w:tcPr>
          <w:p w14:paraId="4FE72791"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F97A88">
              <w:rPr>
                <w:rFonts w:eastAsia="Times New Roman" w:cs="Arial"/>
                <w:spacing w:val="-2"/>
                <w:sz w:val="14"/>
                <w:szCs w:val="14"/>
                <w:lang w:eastAsia="pt-BR"/>
              </w:rPr>
              <w:t>45</w:t>
            </w:r>
          </w:p>
        </w:tc>
        <w:tc>
          <w:tcPr>
            <w:tcW w:w="1165" w:type="dxa"/>
            <w:tcBorders>
              <w:top w:val="nil"/>
              <w:bottom w:val="nil"/>
            </w:tcBorders>
            <w:shd w:val="clear" w:color="auto" w:fill="auto"/>
            <w:vAlign w:val="center"/>
          </w:tcPr>
          <w:p w14:paraId="71E5CF66"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F97A88">
              <w:rPr>
                <w:rFonts w:eastAsia="Times New Roman" w:cs="Arial"/>
                <w:sz w:val="14"/>
                <w:szCs w:val="14"/>
              </w:rPr>
              <w:t>45</w:t>
            </w:r>
          </w:p>
        </w:tc>
      </w:tr>
      <w:tr w:rsidR="00375569" w:rsidRPr="006150D2" w14:paraId="06B4555F" w14:textId="77777777" w:rsidTr="0009729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2B68107D" w14:textId="77777777" w:rsidR="00375569" w:rsidRPr="00F97A88" w:rsidRDefault="00375569" w:rsidP="00F152CD">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Lucro Líquido do Exercício</w:t>
            </w:r>
          </w:p>
        </w:tc>
        <w:tc>
          <w:tcPr>
            <w:tcW w:w="884" w:type="dxa"/>
            <w:tcBorders>
              <w:top w:val="nil"/>
              <w:bottom w:val="nil"/>
            </w:tcBorders>
            <w:shd w:val="clear" w:color="auto" w:fill="auto"/>
            <w:vAlign w:val="center"/>
          </w:tcPr>
          <w:p w14:paraId="524D43E8"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[25.c]</w:t>
            </w:r>
          </w:p>
        </w:tc>
        <w:tc>
          <w:tcPr>
            <w:tcW w:w="1325" w:type="dxa"/>
            <w:tcBorders>
              <w:top w:val="nil"/>
              <w:bottom w:val="nil"/>
            </w:tcBorders>
            <w:shd w:val="clear" w:color="auto" w:fill="auto"/>
            <w:vAlign w:val="center"/>
          </w:tcPr>
          <w:p w14:paraId="7932F378"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032" w:type="dxa"/>
            <w:tcBorders>
              <w:top w:val="nil"/>
              <w:bottom w:val="nil"/>
            </w:tcBorders>
            <w:shd w:val="clear" w:color="auto" w:fill="auto"/>
            <w:vAlign w:val="center"/>
          </w:tcPr>
          <w:p w14:paraId="32B33AC8"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326" w:type="dxa"/>
            <w:tcBorders>
              <w:top w:val="nil"/>
              <w:bottom w:val="nil"/>
            </w:tcBorders>
            <w:shd w:val="clear" w:color="auto" w:fill="auto"/>
            <w:vAlign w:val="center"/>
          </w:tcPr>
          <w:p w14:paraId="20E2CB9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nil"/>
              <w:bottom w:val="nil"/>
            </w:tcBorders>
            <w:shd w:val="clear" w:color="auto" w:fill="auto"/>
            <w:vAlign w:val="center"/>
          </w:tcPr>
          <w:p w14:paraId="37AA58BF"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65" w:type="dxa"/>
            <w:tcBorders>
              <w:top w:val="nil"/>
              <w:bottom w:val="nil"/>
            </w:tcBorders>
            <w:shd w:val="clear" w:color="auto" w:fill="auto"/>
            <w:vAlign w:val="center"/>
          </w:tcPr>
          <w:p w14:paraId="1D1B63E4"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190" w:type="dxa"/>
            <w:tcBorders>
              <w:top w:val="nil"/>
              <w:bottom w:val="nil"/>
            </w:tcBorders>
            <w:shd w:val="clear" w:color="auto" w:fill="auto"/>
            <w:vAlign w:val="center"/>
          </w:tcPr>
          <w:p w14:paraId="3ED3E6C3"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97A88">
              <w:rPr>
                <w:rFonts w:cs="Arial"/>
                <w:b/>
                <w:bCs/>
                <w:sz w:val="14"/>
                <w:szCs w:val="14"/>
              </w:rPr>
              <w:t>--</w:t>
            </w:r>
          </w:p>
        </w:tc>
        <w:tc>
          <w:tcPr>
            <w:tcW w:w="1190" w:type="dxa"/>
            <w:tcBorders>
              <w:top w:val="nil"/>
              <w:bottom w:val="nil"/>
            </w:tcBorders>
            <w:shd w:val="clear" w:color="auto" w:fill="auto"/>
            <w:vAlign w:val="center"/>
          </w:tcPr>
          <w:p w14:paraId="6248A4E0"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3.933.217</w:t>
            </w:r>
          </w:p>
        </w:tc>
        <w:tc>
          <w:tcPr>
            <w:tcW w:w="1165" w:type="dxa"/>
            <w:tcBorders>
              <w:top w:val="nil"/>
              <w:bottom w:val="nil"/>
            </w:tcBorders>
            <w:shd w:val="clear" w:color="auto" w:fill="auto"/>
            <w:vAlign w:val="center"/>
          </w:tcPr>
          <w:p w14:paraId="17E9FDA5"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3.933.217</w:t>
            </w:r>
          </w:p>
        </w:tc>
      </w:tr>
      <w:tr w:rsidR="00375569" w:rsidRPr="006150D2" w14:paraId="33EE3F7A" w14:textId="77777777" w:rsidTr="00097291">
        <w:trPr>
          <w:cnfStyle w:val="000000010000" w:firstRow="0" w:lastRow="0" w:firstColumn="0" w:lastColumn="0" w:oddVBand="0" w:evenVBand="0" w:oddHBand="0" w:evenHBand="1"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4F3BDA5A" w14:textId="77777777" w:rsidR="00375569" w:rsidRPr="00F97A88" w:rsidRDefault="00375569" w:rsidP="003547A9">
            <w:pPr>
              <w:keepNext/>
              <w:keepLines/>
              <w:spacing w:before="40" w:after="40"/>
              <w:ind w:left="113"/>
              <w:rPr>
                <w:rFonts w:eastAsia="Times New Roman" w:cs="Arial"/>
                <w:spacing w:val="-2"/>
                <w:sz w:val="14"/>
                <w:szCs w:val="14"/>
                <w:lang w:eastAsia="pt-BR"/>
              </w:rPr>
            </w:pPr>
            <w:r w:rsidRPr="00F97A88">
              <w:rPr>
                <w:rFonts w:eastAsia="Times New Roman" w:cs="Arial"/>
                <w:spacing w:val="-2"/>
                <w:sz w:val="14"/>
                <w:szCs w:val="14"/>
                <w:lang w:eastAsia="pt-BR"/>
              </w:rPr>
              <w:t xml:space="preserve">Destinações </w:t>
            </w:r>
            <w:r w:rsidRPr="00F97A88">
              <w:rPr>
                <w:rFonts w:eastAsia="Times New Roman" w:cs="Arial"/>
                <w:b w:val="0"/>
                <w:bCs w:val="0"/>
                <w:spacing w:val="-2"/>
                <w:sz w:val="14"/>
                <w:szCs w:val="14"/>
                <w:lang w:eastAsia="pt-BR"/>
              </w:rPr>
              <w:t>- Reservas de Lucros</w:t>
            </w:r>
          </w:p>
        </w:tc>
        <w:tc>
          <w:tcPr>
            <w:tcW w:w="884" w:type="dxa"/>
            <w:tcBorders>
              <w:top w:val="nil"/>
              <w:bottom w:val="nil"/>
            </w:tcBorders>
            <w:shd w:val="clear" w:color="auto" w:fill="auto"/>
            <w:vAlign w:val="center"/>
          </w:tcPr>
          <w:p w14:paraId="46349B6B"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325" w:type="dxa"/>
            <w:tcBorders>
              <w:top w:val="nil"/>
              <w:bottom w:val="nil"/>
            </w:tcBorders>
            <w:shd w:val="clear" w:color="auto" w:fill="auto"/>
            <w:vAlign w:val="center"/>
          </w:tcPr>
          <w:p w14:paraId="6B3B20D9"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032" w:type="dxa"/>
            <w:tcBorders>
              <w:top w:val="nil"/>
              <w:bottom w:val="nil"/>
            </w:tcBorders>
            <w:shd w:val="clear" w:color="auto" w:fill="auto"/>
            <w:vAlign w:val="center"/>
          </w:tcPr>
          <w:p w14:paraId="566821E3"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326" w:type="dxa"/>
            <w:tcBorders>
              <w:top w:val="nil"/>
              <w:bottom w:val="nil"/>
            </w:tcBorders>
            <w:shd w:val="clear" w:color="auto" w:fill="auto"/>
            <w:vAlign w:val="center"/>
          </w:tcPr>
          <w:p w14:paraId="73E8E172"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917" w:type="dxa"/>
            <w:tcBorders>
              <w:top w:val="nil"/>
              <w:bottom w:val="nil"/>
            </w:tcBorders>
            <w:shd w:val="clear" w:color="auto" w:fill="auto"/>
            <w:vAlign w:val="center"/>
          </w:tcPr>
          <w:p w14:paraId="481DC667"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1.061.969</w:t>
            </w:r>
          </w:p>
        </w:tc>
        <w:tc>
          <w:tcPr>
            <w:tcW w:w="1165" w:type="dxa"/>
            <w:tcBorders>
              <w:top w:val="nil"/>
              <w:bottom w:val="nil"/>
            </w:tcBorders>
            <w:shd w:val="clear" w:color="auto" w:fill="auto"/>
            <w:vAlign w:val="center"/>
          </w:tcPr>
          <w:p w14:paraId="39513E27"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190" w:type="dxa"/>
            <w:tcBorders>
              <w:top w:val="nil"/>
              <w:bottom w:val="nil"/>
            </w:tcBorders>
            <w:shd w:val="clear" w:color="auto" w:fill="auto"/>
            <w:vAlign w:val="center"/>
          </w:tcPr>
          <w:p w14:paraId="7CCA24BF"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cs="Arial"/>
                <w:bCs/>
                <w:sz w:val="14"/>
                <w:szCs w:val="14"/>
              </w:rPr>
            </w:pPr>
            <w:r w:rsidRPr="00F97A88">
              <w:rPr>
                <w:rFonts w:cs="Arial"/>
                <w:bCs/>
                <w:sz w:val="14"/>
                <w:szCs w:val="14"/>
              </w:rPr>
              <w:t>--</w:t>
            </w:r>
          </w:p>
        </w:tc>
        <w:tc>
          <w:tcPr>
            <w:tcW w:w="1190" w:type="dxa"/>
            <w:tcBorders>
              <w:top w:val="nil"/>
              <w:bottom w:val="nil"/>
            </w:tcBorders>
            <w:shd w:val="clear" w:color="auto" w:fill="auto"/>
            <w:vAlign w:val="center"/>
          </w:tcPr>
          <w:p w14:paraId="71F0B7A2"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eastAsia="Times New Roman" w:cs="Arial"/>
                <w:bCs/>
                <w:sz w:val="14"/>
                <w:szCs w:val="14"/>
              </w:rPr>
            </w:pPr>
            <w:r w:rsidRPr="00F97A88">
              <w:rPr>
                <w:rFonts w:eastAsia="Times New Roman" w:cs="Arial"/>
                <w:bCs/>
                <w:sz w:val="14"/>
                <w:szCs w:val="14"/>
              </w:rPr>
              <w:t>(1.061.969)</w:t>
            </w:r>
          </w:p>
        </w:tc>
        <w:tc>
          <w:tcPr>
            <w:tcW w:w="1165" w:type="dxa"/>
            <w:tcBorders>
              <w:top w:val="nil"/>
              <w:bottom w:val="nil"/>
            </w:tcBorders>
            <w:shd w:val="clear" w:color="auto" w:fill="auto"/>
            <w:vAlign w:val="center"/>
          </w:tcPr>
          <w:p w14:paraId="3AC1B29F"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eastAsia="Times New Roman" w:cs="Arial"/>
                <w:bCs/>
                <w:sz w:val="14"/>
                <w:szCs w:val="14"/>
              </w:rPr>
            </w:pPr>
            <w:r w:rsidRPr="00F97A88">
              <w:rPr>
                <w:rFonts w:eastAsia="Times New Roman" w:cs="Arial"/>
                <w:bCs/>
                <w:sz w:val="14"/>
                <w:szCs w:val="14"/>
              </w:rPr>
              <w:t>--</w:t>
            </w:r>
          </w:p>
        </w:tc>
      </w:tr>
      <w:tr w:rsidR="00375569" w:rsidRPr="006150D2" w14:paraId="42578273" w14:textId="77777777" w:rsidTr="0009729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5605EA42" w14:textId="77777777" w:rsidR="00375569" w:rsidRPr="00F97A88" w:rsidRDefault="00375569" w:rsidP="003547A9">
            <w:pPr>
              <w:keepNext/>
              <w:keepLines/>
              <w:spacing w:before="40" w:after="40"/>
              <w:ind w:left="113"/>
              <w:rPr>
                <w:rFonts w:eastAsia="Times New Roman" w:cs="Arial"/>
                <w:spacing w:val="-2"/>
                <w:sz w:val="14"/>
                <w:szCs w:val="14"/>
                <w:lang w:eastAsia="pt-BR"/>
              </w:rPr>
            </w:pPr>
            <w:r w:rsidRPr="00F97A88">
              <w:rPr>
                <w:rFonts w:eastAsia="Times New Roman" w:cs="Arial"/>
                <w:b w:val="0"/>
                <w:spacing w:val="-2"/>
                <w:sz w:val="14"/>
                <w:szCs w:val="14"/>
                <w:lang w:eastAsia="pt-BR"/>
              </w:rPr>
              <w:t xml:space="preserve">                       - Dividendos intermediários pagos </w:t>
            </w:r>
          </w:p>
        </w:tc>
        <w:tc>
          <w:tcPr>
            <w:tcW w:w="884" w:type="dxa"/>
            <w:tcBorders>
              <w:top w:val="nil"/>
              <w:bottom w:val="nil"/>
            </w:tcBorders>
            <w:shd w:val="clear" w:color="auto" w:fill="auto"/>
            <w:vAlign w:val="center"/>
          </w:tcPr>
          <w:p w14:paraId="3BF8D5FF"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Cs/>
                <w:spacing w:val="-2"/>
                <w:sz w:val="14"/>
                <w:szCs w:val="14"/>
                <w:lang w:eastAsia="pt-BR"/>
              </w:rPr>
              <w:t>[25.d]</w:t>
            </w:r>
          </w:p>
        </w:tc>
        <w:tc>
          <w:tcPr>
            <w:tcW w:w="1325" w:type="dxa"/>
            <w:tcBorders>
              <w:top w:val="nil"/>
              <w:bottom w:val="nil"/>
            </w:tcBorders>
            <w:shd w:val="clear" w:color="auto" w:fill="auto"/>
            <w:vAlign w:val="center"/>
          </w:tcPr>
          <w:p w14:paraId="54366051"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032" w:type="dxa"/>
            <w:tcBorders>
              <w:top w:val="nil"/>
              <w:bottom w:val="nil"/>
            </w:tcBorders>
            <w:shd w:val="clear" w:color="auto" w:fill="auto"/>
            <w:vAlign w:val="center"/>
          </w:tcPr>
          <w:p w14:paraId="4519E49C"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326" w:type="dxa"/>
            <w:tcBorders>
              <w:top w:val="nil"/>
              <w:bottom w:val="nil"/>
            </w:tcBorders>
            <w:shd w:val="clear" w:color="auto" w:fill="auto"/>
            <w:vAlign w:val="center"/>
          </w:tcPr>
          <w:p w14:paraId="0D63FEB4"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917" w:type="dxa"/>
            <w:tcBorders>
              <w:top w:val="nil"/>
              <w:bottom w:val="nil"/>
            </w:tcBorders>
            <w:shd w:val="clear" w:color="auto" w:fill="auto"/>
            <w:vAlign w:val="center"/>
          </w:tcPr>
          <w:p w14:paraId="502F048C"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165" w:type="dxa"/>
            <w:tcBorders>
              <w:top w:val="nil"/>
              <w:bottom w:val="nil"/>
            </w:tcBorders>
            <w:shd w:val="clear" w:color="auto" w:fill="auto"/>
            <w:vAlign w:val="center"/>
          </w:tcPr>
          <w:p w14:paraId="36CE61CD" w14:textId="77777777" w:rsidR="00375569" w:rsidRPr="00F97A88" w:rsidRDefault="00375569" w:rsidP="003547A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190" w:type="dxa"/>
            <w:tcBorders>
              <w:top w:val="nil"/>
              <w:bottom w:val="nil"/>
            </w:tcBorders>
            <w:shd w:val="clear" w:color="auto" w:fill="auto"/>
            <w:vAlign w:val="center"/>
          </w:tcPr>
          <w:p w14:paraId="268AC160" w14:textId="77777777" w:rsidR="00375569" w:rsidRPr="00F97A88" w:rsidRDefault="00375569" w:rsidP="003547A9">
            <w:pPr>
              <w:jc w:val="right"/>
              <w:cnfStyle w:val="000000100000" w:firstRow="0" w:lastRow="0" w:firstColumn="0" w:lastColumn="0" w:oddVBand="0" w:evenVBand="0" w:oddHBand="1" w:evenHBand="0" w:firstRowFirstColumn="0" w:firstRowLastColumn="0" w:lastRowFirstColumn="0" w:lastRowLastColumn="0"/>
              <w:rPr>
                <w:rFonts w:cs="Arial"/>
                <w:bCs/>
                <w:sz w:val="14"/>
                <w:szCs w:val="14"/>
              </w:rPr>
            </w:pPr>
            <w:r w:rsidRPr="00F97A88">
              <w:rPr>
                <w:rFonts w:cs="Arial"/>
                <w:bCs/>
                <w:sz w:val="14"/>
                <w:szCs w:val="14"/>
              </w:rPr>
              <w:t>--</w:t>
            </w:r>
          </w:p>
        </w:tc>
        <w:tc>
          <w:tcPr>
            <w:tcW w:w="1190" w:type="dxa"/>
            <w:tcBorders>
              <w:top w:val="nil"/>
              <w:bottom w:val="nil"/>
            </w:tcBorders>
            <w:shd w:val="clear" w:color="auto" w:fill="auto"/>
            <w:vAlign w:val="center"/>
          </w:tcPr>
          <w:p w14:paraId="342959CA" w14:textId="77777777" w:rsidR="00375569" w:rsidRPr="00F97A88" w:rsidRDefault="00375569" w:rsidP="003547A9">
            <w:pPr>
              <w:jc w:val="right"/>
              <w:cnfStyle w:val="000000100000" w:firstRow="0" w:lastRow="0" w:firstColumn="0" w:lastColumn="0" w:oddVBand="0" w:evenVBand="0" w:oddHBand="1" w:evenHBand="0" w:firstRowFirstColumn="0" w:firstRowLastColumn="0" w:lastRowFirstColumn="0" w:lastRowLastColumn="0"/>
              <w:rPr>
                <w:rFonts w:eastAsia="Times New Roman" w:cs="Arial"/>
                <w:bCs/>
                <w:sz w:val="14"/>
                <w:szCs w:val="14"/>
              </w:rPr>
            </w:pPr>
            <w:r w:rsidRPr="00F97A88">
              <w:rPr>
                <w:rFonts w:eastAsia="Times New Roman" w:cs="Arial"/>
                <w:bCs/>
                <w:sz w:val="14"/>
                <w:szCs w:val="14"/>
              </w:rPr>
              <w:t>(1.040.024)</w:t>
            </w:r>
          </w:p>
        </w:tc>
        <w:tc>
          <w:tcPr>
            <w:tcW w:w="1165" w:type="dxa"/>
            <w:tcBorders>
              <w:top w:val="nil"/>
              <w:bottom w:val="nil"/>
            </w:tcBorders>
            <w:shd w:val="clear" w:color="auto" w:fill="auto"/>
            <w:vAlign w:val="center"/>
          </w:tcPr>
          <w:p w14:paraId="31667306" w14:textId="77777777" w:rsidR="00375569" w:rsidRPr="00F97A88" w:rsidRDefault="00375569" w:rsidP="003547A9">
            <w:pPr>
              <w:jc w:val="right"/>
              <w:cnfStyle w:val="000000100000" w:firstRow="0" w:lastRow="0" w:firstColumn="0" w:lastColumn="0" w:oddVBand="0" w:evenVBand="0" w:oddHBand="1" w:evenHBand="0" w:firstRowFirstColumn="0" w:firstRowLastColumn="0" w:lastRowFirstColumn="0" w:lastRowLastColumn="0"/>
              <w:rPr>
                <w:rFonts w:eastAsia="Times New Roman" w:cs="Arial"/>
                <w:bCs/>
                <w:sz w:val="14"/>
                <w:szCs w:val="14"/>
              </w:rPr>
            </w:pPr>
            <w:r w:rsidRPr="00F97A88">
              <w:rPr>
                <w:rFonts w:eastAsia="Times New Roman" w:cs="Arial"/>
                <w:bCs/>
                <w:sz w:val="14"/>
                <w:szCs w:val="14"/>
              </w:rPr>
              <w:t>(1.040.024)</w:t>
            </w:r>
          </w:p>
        </w:tc>
      </w:tr>
      <w:tr w:rsidR="00375569" w:rsidRPr="006150D2" w14:paraId="5B64C5B8" w14:textId="77777777" w:rsidTr="00097291">
        <w:trPr>
          <w:cnfStyle w:val="000000010000" w:firstRow="0" w:lastRow="0" w:firstColumn="0" w:lastColumn="0" w:oddVBand="0" w:evenVBand="0" w:oddHBand="0" w:evenHBand="1"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shd w:val="clear" w:color="auto" w:fill="auto"/>
            <w:vAlign w:val="center"/>
          </w:tcPr>
          <w:p w14:paraId="32344461" w14:textId="77777777" w:rsidR="00375569" w:rsidRPr="00F97A88" w:rsidRDefault="00375569" w:rsidP="003547A9">
            <w:pPr>
              <w:keepNext/>
              <w:keepLines/>
              <w:spacing w:before="40" w:after="40"/>
              <w:ind w:left="113"/>
              <w:rPr>
                <w:rFonts w:eastAsia="Times New Roman" w:cs="Arial"/>
                <w:b w:val="0"/>
                <w:spacing w:val="-2"/>
                <w:sz w:val="14"/>
                <w:szCs w:val="14"/>
                <w:lang w:eastAsia="pt-BR"/>
              </w:rPr>
            </w:pPr>
            <w:r w:rsidRPr="00F97A88">
              <w:rPr>
                <w:rFonts w:eastAsia="Times New Roman" w:cs="Arial"/>
                <w:b w:val="0"/>
                <w:bCs w:val="0"/>
                <w:spacing w:val="-2"/>
                <w:sz w:val="14"/>
                <w:szCs w:val="14"/>
                <w:lang w:eastAsia="pt-BR"/>
              </w:rPr>
              <w:t xml:space="preserve">                       - Dividendos propostos a pagar</w:t>
            </w:r>
          </w:p>
        </w:tc>
        <w:tc>
          <w:tcPr>
            <w:tcW w:w="884" w:type="dxa"/>
            <w:tcBorders>
              <w:top w:val="nil"/>
              <w:bottom w:val="nil"/>
            </w:tcBorders>
            <w:shd w:val="clear" w:color="auto" w:fill="auto"/>
            <w:vAlign w:val="center"/>
          </w:tcPr>
          <w:p w14:paraId="1A300579"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spacing w:val="-2"/>
                <w:sz w:val="14"/>
                <w:szCs w:val="14"/>
                <w:lang w:eastAsia="pt-BR"/>
              </w:rPr>
              <w:t>[25.d]</w:t>
            </w:r>
          </w:p>
        </w:tc>
        <w:tc>
          <w:tcPr>
            <w:tcW w:w="1325" w:type="dxa"/>
            <w:tcBorders>
              <w:top w:val="nil"/>
              <w:bottom w:val="nil"/>
            </w:tcBorders>
            <w:shd w:val="clear" w:color="auto" w:fill="auto"/>
            <w:vAlign w:val="center"/>
          </w:tcPr>
          <w:p w14:paraId="3F4EAA54"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032" w:type="dxa"/>
            <w:tcBorders>
              <w:top w:val="nil"/>
              <w:bottom w:val="nil"/>
            </w:tcBorders>
            <w:shd w:val="clear" w:color="auto" w:fill="auto"/>
            <w:vAlign w:val="center"/>
          </w:tcPr>
          <w:p w14:paraId="47E93B45"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326" w:type="dxa"/>
            <w:tcBorders>
              <w:top w:val="nil"/>
              <w:bottom w:val="nil"/>
            </w:tcBorders>
            <w:shd w:val="clear" w:color="auto" w:fill="auto"/>
            <w:vAlign w:val="center"/>
          </w:tcPr>
          <w:p w14:paraId="5993AF57"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917" w:type="dxa"/>
            <w:tcBorders>
              <w:top w:val="nil"/>
              <w:bottom w:val="nil"/>
            </w:tcBorders>
            <w:shd w:val="clear" w:color="auto" w:fill="auto"/>
            <w:vAlign w:val="center"/>
          </w:tcPr>
          <w:p w14:paraId="11BA7E51"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165" w:type="dxa"/>
            <w:tcBorders>
              <w:top w:val="nil"/>
              <w:bottom w:val="nil"/>
            </w:tcBorders>
            <w:shd w:val="clear" w:color="auto" w:fill="auto"/>
            <w:vAlign w:val="center"/>
          </w:tcPr>
          <w:p w14:paraId="3A8C9782" w14:textId="77777777" w:rsidR="00375569" w:rsidRPr="00F97A88" w:rsidRDefault="00375569" w:rsidP="003547A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Cs/>
                <w:spacing w:val="-2"/>
                <w:sz w:val="14"/>
                <w:szCs w:val="14"/>
                <w:lang w:eastAsia="pt-BR"/>
              </w:rPr>
            </w:pPr>
            <w:r w:rsidRPr="00F97A88">
              <w:rPr>
                <w:rFonts w:eastAsia="Times New Roman" w:cs="Arial"/>
                <w:bCs/>
                <w:spacing w:val="-2"/>
                <w:sz w:val="14"/>
                <w:szCs w:val="14"/>
                <w:lang w:eastAsia="pt-BR"/>
              </w:rPr>
              <w:t>--</w:t>
            </w:r>
          </w:p>
        </w:tc>
        <w:tc>
          <w:tcPr>
            <w:tcW w:w="1190" w:type="dxa"/>
            <w:tcBorders>
              <w:top w:val="nil"/>
              <w:bottom w:val="nil"/>
            </w:tcBorders>
            <w:shd w:val="clear" w:color="auto" w:fill="auto"/>
            <w:vAlign w:val="center"/>
          </w:tcPr>
          <w:p w14:paraId="3E9D24E7"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cs="Arial"/>
                <w:bCs/>
                <w:sz w:val="14"/>
                <w:szCs w:val="14"/>
              </w:rPr>
            </w:pPr>
            <w:r w:rsidRPr="00F97A88">
              <w:rPr>
                <w:rFonts w:cs="Arial"/>
                <w:bCs/>
                <w:sz w:val="14"/>
                <w:szCs w:val="14"/>
              </w:rPr>
              <w:t>--</w:t>
            </w:r>
          </w:p>
        </w:tc>
        <w:tc>
          <w:tcPr>
            <w:tcW w:w="1190" w:type="dxa"/>
            <w:tcBorders>
              <w:top w:val="nil"/>
              <w:bottom w:val="nil"/>
            </w:tcBorders>
            <w:shd w:val="clear" w:color="auto" w:fill="auto"/>
            <w:vAlign w:val="center"/>
          </w:tcPr>
          <w:p w14:paraId="2D9D811E"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eastAsia="Times New Roman" w:cs="Arial"/>
                <w:bCs/>
                <w:sz w:val="14"/>
                <w:szCs w:val="14"/>
              </w:rPr>
            </w:pPr>
            <w:r w:rsidRPr="00F97A88">
              <w:rPr>
                <w:rFonts w:eastAsia="Times New Roman" w:cs="Arial"/>
                <w:bCs/>
                <w:sz w:val="14"/>
                <w:szCs w:val="14"/>
              </w:rPr>
              <w:t>(1.831.269)</w:t>
            </w:r>
          </w:p>
        </w:tc>
        <w:tc>
          <w:tcPr>
            <w:tcW w:w="1165" w:type="dxa"/>
            <w:tcBorders>
              <w:top w:val="nil"/>
              <w:bottom w:val="nil"/>
            </w:tcBorders>
            <w:shd w:val="clear" w:color="auto" w:fill="auto"/>
            <w:vAlign w:val="center"/>
          </w:tcPr>
          <w:p w14:paraId="0E6F3584" w14:textId="77777777" w:rsidR="00375569" w:rsidRPr="00F97A88" w:rsidRDefault="00375569" w:rsidP="003547A9">
            <w:pPr>
              <w:jc w:val="right"/>
              <w:cnfStyle w:val="000000010000" w:firstRow="0" w:lastRow="0" w:firstColumn="0" w:lastColumn="0" w:oddVBand="0" w:evenVBand="0" w:oddHBand="0" w:evenHBand="1" w:firstRowFirstColumn="0" w:firstRowLastColumn="0" w:lastRowFirstColumn="0" w:lastRowLastColumn="0"/>
              <w:rPr>
                <w:rFonts w:eastAsia="Times New Roman" w:cs="Arial"/>
                <w:bCs/>
                <w:sz w:val="14"/>
                <w:szCs w:val="14"/>
              </w:rPr>
            </w:pPr>
            <w:r w:rsidRPr="00F97A88">
              <w:rPr>
                <w:rFonts w:eastAsia="Times New Roman" w:cs="Arial"/>
                <w:bCs/>
                <w:sz w:val="14"/>
                <w:szCs w:val="14"/>
              </w:rPr>
              <w:t>(1.831.269)</w:t>
            </w:r>
          </w:p>
        </w:tc>
      </w:tr>
      <w:tr w:rsidR="00375569" w:rsidRPr="006150D2" w14:paraId="370DBC97" w14:textId="77777777" w:rsidTr="00097291">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3832" w:type="dxa"/>
            <w:tcBorders>
              <w:top w:val="nil"/>
              <w:bottom w:val="single" w:sz="2" w:space="0" w:color="1F4E79" w:themeColor="accent1" w:themeShade="80"/>
            </w:tcBorders>
            <w:shd w:val="clear" w:color="auto" w:fill="auto"/>
            <w:vAlign w:val="center"/>
          </w:tcPr>
          <w:p w14:paraId="44020999" w14:textId="77777777" w:rsidR="00375569" w:rsidRPr="00F97A88" w:rsidRDefault="00375569" w:rsidP="00F152CD">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Saldos em 31.12.2021</w:t>
            </w:r>
          </w:p>
        </w:tc>
        <w:tc>
          <w:tcPr>
            <w:tcW w:w="884" w:type="dxa"/>
            <w:tcBorders>
              <w:top w:val="nil"/>
              <w:bottom w:val="single" w:sz="2" w:space="0" w:color="1F4E79" w:themeColor="accent1" w:themeShade="80"/>
            </w:tcBorders>
            <w:shd w:val="clear" w:color="auto" w:fill="auto"/>
            <w:vAlign w:val="center"/>
          </w:tcPr>
          <w:p w14:paraId="1D36FFB0" w14:textId="77777777" w:rsidR="00375569" w:rsidRPr="00F97A88" w:rsidRDefault="00375569" w:rsidP="00F152CD">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25" w:type="dxa"/>
            <w:tcBorders>
              <w:top w:val="nil"/>
              <w:bottom w:val="single" w:sz="2" w:space="0" w:color="1F4E79" w:themeColor="accent1" w:themeShade="80"/>
            </w:tcBorders>
            <w:shd w:val="clear" w:color="auto" w:fill="auto"/>
            <w:vAlign w:val="center"/>
          </w:tcPr>
          <w:p w14:paraId="61FBB2E4"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3.396.767</w:t>
            </w:r>
          </w:p>
        </w:tc>
        <w:tc>
          <w:tcPr>
            <w:tcW w:w="1032" w:type="dxa"/>
            <w:tcBorders>
              <w:top w:val="nil"/>
              <w:bottom w:val="single" w:sz="2" w:space="0" w:color="1F4E79" w:themeColor="accent1" w:themeShade="80"/>
            </w:tcBorders>
            <w:shd w:val="clear" w:color="auto" w:fill="auto"/>
            <w:vAlign w:val="center"/>
          </w:tcPr>
          <w:p w14:paraId="100AB843" w14:textId="77777777" w:rsidR="00375569" w:rsidRPr="00F97A88" w:rsidRDefault="00375569" w:rsidP="00F152C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1.508</w:t>
            </w:r>
          </w:p>
        </w:tc>
        <w:tc>
          <w:tcPr>
            <w:tcW w:w="1326" w:type="dxa"/>
            <w:tcBorders>
              <w:top w:val="nil"/>
              <w:bottom w:val="single" w:sz="2" w:space="0" w:color="1F4E79" w:themeColor="accent1" w:themeShade="80"/>
            </w:tcBorders>
            <w:shd w:val="clear" w:color="auto" w:fill="auto"/>
            <w:vAlign w:val="center"/>
          </w:tcPr>
          <w:p w14:paraId="064B973E"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679.354</w:t>
            </w:r>
          </w:p>
        </w:tc>
        <w:tc>
          <w:tcPr>
            <w:tcW w:w="1917" w:type="dxa"/>
            <w:tcBorders>
              <w:top w:val="nil"/>
              <w:bottom w:val="single" w:sz="2" w:space="0" w:color="1F4E79" w:themeColor="accent1" w:themeShade="80"/>
            </w:tcBorders>
            <w:shd w:val="clear" w:color="auto" w:fill="auto"/>
            <w:vAlign w:val="center"/>
          </w:tcPr>
          <w:p w14:paraId="1CF5E225"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3.443.571</w:t>
            </w:r>
          </w:p>
        </w:tc>
        <w:tc>
          <w:tcPr>
            <w:tcW w:w="1165" w:type="dxa"/>
            <w:tcBorders>
              <w:top w:val="nil"/>
              <w:bottom w:val="single" w:sz="2" w:space="0" w:color="1F4E79" w:themeColor="accent1" w:themeShade="80"/>
            </w:tcBorders>
            <w:shd w:val="clear" w:color="auto" w:fill="auto"/>
            <w:vAlign w:val="center"/>
          </w:tcPr>
          <w:p w14:paraId="1FF156E5"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(81.320)</w:t>
            </w:r>
          </w:p>
        </w:tc>
        <w:tc>
          <w:tcPr>
            <w:tcW w:w="1190" w:type="dxa"/>
            <w:tcBorders>
              <w:top w:val="nil"/>
              <w:bottom w:val="single" w:sz="2" w:space="0" w:color="1F4E79" w:themeColor="accent1" w:themeShade="80"/>
            </w:tcBorders>
            <w:shd w:val="clear" w:color="auto" w:fill="auto"/>
            <w:vAlign w:val="center"/>
          </w:tcPr>
          <w:p w14:paraId="089F648A"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97A88">
              <w:rPr>
                <w:rFonts w:cs="Arial"/>
                <w:b/>
                <w:bCs/>
                <w:sz w:val="14"/>
                <w:szCs w:val="14"/>
              </w:rPr>
              <w:t>(158.464)</w:t>
            </w:r>
          </w:p>
        </w:tc>
        <w:tc>
          <w:tcPr>
            <w:tcW w:w="1190" w:type="dxa"/>
            <w:tcBorders>
              <w:top w:val="nil"/>
              <w:bottom w:val="single" w:sz="2" w:space="0" w:color="1F4E79" w:themeColor="accent1" w:themeShade="80"/>
            </w:tcBorders>
            <w:shd w:val="clear" w:color="auto" w:fill="auto"/>
            <w:vAlign w:val="center"/>
          </w:tcPr>
          <w:p w14:paraId="65E0B156"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w:t>
            </w:r>
          </w:p>
        </w:tc>
        <w:tc>
          <w:tcPr>
            <w:tcW w:w="1165" w:type="dxa"/>
            <w:tcBorders>
              <w:top w:val="nil"/>
              <w:bottom w:val="single" w:sz="2" w:space="0" w:color="1F4E79" w:themeColor="accent1" w:themeShade="80"/>
            </w:tcBorders>
            <w:shd w:val="clear" w:color="auto" w:fill="auto"/>
            <w:vAlign w:val="center"/>
          </w:tcPr>
          <w:p w14:paraId="78001AB6" w14:textId="77777777" w:rsidR="00375569" w:rsidRPr="00F97A88" w:rsidRDefault="00375569" w:rsidP="00F152C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F97A88">
              <w:rPr>
                <w:rFonts w:eastAsia="Times New Roman" w:cs="Arial"/>
                <w:b/>
                <w:bCs/>
                <w:sz w:val="14"/>
                <w:szCs w:val="14"/>
              </w:rPr>
              <w:t>7.281.416</w:t>
            </w:r>
          </w:p>
        </w:tc>
      </w:tr>
      <w:tr w:rsidR="00375569" w:rsidRPr="006150D2" w14:paraId="685F0B31" w14:textId="77777777" w:rsidTr="00097291">
        <w:trPr>
          <w:cnfStyle w:val="000000010000" w:firstRow="0" w:lastRow="0" w:firstColumn="0" w:lastColumn="0" w:oddVBand="0" w:evenVBand="0" w:oddHBand="0" w:evenHBand="1"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3832" w:type="dxa"/>
            <w:tcBorders>
              <w:top w:val="single" w:sz="2" w:space="0" w:color="1F4E79" w:themeColor="accent1" w:themeShade="80"/>
              <w:bottom w:val="single" w:sz="2" w:space="0" w:color="1F4E79" w:themeColor="accent1" w:themeShade="80"/>
            </w:tcBorders>
            <w:shd w:val="clear" w:color="auto" w:fill="auto"/>
            <w:vAlign w:val="center"/>
          </w:tcPr>
          <w:p w14:paraId="2508CC17" w14:textId="77777777" w:rsidR="00375569" w:rsidRPr="00F97A88" w:rsidRDefault="00375569" w:rsidP="00F152CD">
            <w:pPr>
              <w:keepNext/>
              <w:keepLines/>
              <w:spacing w:before="40" w:after="40"/>
              <w:rPr>
                <w:rFonts w:eastAsia="Times New Roman" w:cs="Arial"/>
                <w:spacing w:val="-2"/>
                <w:sz w:val="14"/>
                <w:szCs w:val="14"/>
                <w:lang w:eastAsia="pt-BR"/>
              </w:rPr>
            </w:pPr>
            <w:r w:rsidRPr="00F97A88">
              <w:rPr>
                <w:rFonts w:eastAsia="Times New Roman" w:cs="Arial"/>
                <w:spacing w:val="-2"/>
                <w:sz w:val="14"/>
                <w:szCs w:val="14"/>
                <w:lang w:eastAsia="pt-BR"/>
              </w:rPr>
              <w:t>Mutações do Exercício</w:t>
            </w:r>
          </w:p>
        </w:tc>
        <w:tc>
          <w:tcPr>
            <w:tcW w:w="884" w:type="dxa"/>
            <w:tcBorders>
              <w:top w:val="single" w:sz="2" w:space="0" w:color="1F4E79" w:themeColor="accent1" w:themeShade="80"/>
              <w:bottom w:val="single" w:sz="2" w:space="0" w:color="1F4E79" w:themeColor="accent1" w:themeShade="80"/>
            </w:tcBorders>
            <w:shd w:val="clear" w:color="auto" w:fill="auto"/>
            <w:vAlign w:val="center"/>
          </w:tcPr>
          <w:p w14:paraId="5D8A6306" w14:textId="77777777" w:rsidR="00375569" w:rsidRPr="00F97A88" w:rsidRDefault="00375569" w:rsidP="00F152CD">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325" w:type="dxa"/>
            <w:tcBorders>
              <w:top w:val="single" w:sz="2" w:space="0" w:color="1F4E79" w:themeColor="accent1" w:themeShade="80"/>
              <w:bottom w:val="single" w:sz="2" w:space="0" w:color="1F4E79" w:themeColor="accent1" w:themeShade="80"/>
            </w:tcBorders>
            <w:shd w:val="clear" w:color="auto" w:fill="auto"/>
            <w:vAlign w:val="center"/>
          </w:tcPr>
          <w:p w14:paraId="2105C0C3"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032" w:type="dxa"/>
            <w:tcBorders>
              <w:top w:val="single" w:sz="2" w:space="0" w:color="1F4E79" w:themeColor="accent1" w:themeShade="80"/>
              <w:bottom w:val="single" w:sz="2" w:space="0" w:color="1F4E79" w:themeColor="accent1" w:themeShade="80"/>
            </w:tcBorders>
            <w:shd w:val="clear" w:color="auto" w:fill="auto"/>
            <w:vAlign w:val="center"/>
          </w:tcPr>
          <w:p w14:paraId="74C0BBAC"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(80)</w:t>
            </w:r>
          </w:p>
        </w:tc>
        <w:tc>
          <w:tcPr>
            <w:tcW w:w="1326" w:type="dxa"/>
            <w:tcBorders>
              <w:top w:val="single" w:sz="2" w:space="0" w:color="1F4E79" w:themeColor="accent1" w:themeShade="80"/>
              <w:bottom w:val="single" w:sz="2" w:space="0" w:color="1F4E79" w:themeColor="accent1" w:themeShade="80"/>
            </w:tcBorders>
            <w:shd w:val="clear" w:color="auto" w:fill="auto"/>
            <w:vAlign w:val="center"/>
          </w:tcPr>
          <w:p w14:paraId="20ECB697"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w:t>
            </w:r>
          </w:p>
        </w:tc>
        <w:tc>
          <w:tcPr>
            <w:tcW w:w="1917" w:type="dxa"/>
            <w:tcBorders>
              <w:top w:val="single" w:sz="2" w:space="0" w:color="1F4E79" w:themeColor="accent1" w:themeShade="80"/>
              <w:bottom w:val="single" w:sz="2" w:space="0" w:color="1F4E79" w:themeColor="accent1" w:themeShade="80"/>
            </w:tcBorders>
            <w:shd w:val="clear" w:color="auto" w:fill="auto"/>
            <w:vAlign w:val="center"/>
          </w:tcPr>
          <w:p w14:paraId="34257122" w14:textId="77777777" w:rsidR="00375569" w:rsidRPr="00F97A88" w:rsidRDefault="00375569" w:rsidP="00F152C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F97A88">
              <w:rPr>
                <w:rFonts w:eastAsia="Times New Roman" w:cs="Arial"/>
                <w:b/>
                <w:spacing w:val="-2"/>
                <w:sz w:val="14"/>
                <w:szCs w:val="14"/>
                <w:lang w:eastAsia="pt-BR"/>
              </w:rPr>
              <w:t>1.061.969</w:t>
            </w:r>
          </w:p>
        </w:tc>
        <w:tc>
          <w:tcPr>
            <w:tcW w:w="1165" w:type="dxa"/>
            <w:tcBorders>
              <w:top w:val="single" w:sz="2" w:space="0" w:color="1F4E79" w:themeColor="accent1" w:themeShade="80"/>
              <w:bottom w:val="single" w:sz="2" w:space="0" w:color="1F4E79" w:themeColor="accent1" w:themeShade="80"/>
            </w:tcBorders>
            <w:shd w:val="clear" w:color="auto" w:fill="auto"/>
            <w:vAlign w:val="center"/>
          </w:tcPr>
          <w:p w14:paraId="1B71FA9F"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F97A88">
              <w:rPr>
                <w:rFonts w:eastAsia="Times New Roman" w:cs="Arial"/>
                <w:b/>
                <w:bCs/>
                <w:color w:val="000000"/>
                <w:sz w:val="14"/>
                <w:szCs w:val="14"/>
              </w:rPr>
              <w:t>1.268</w:t>
            </w:r>
          </w:p>
        </w:tc>
        <w:tc>
          <w:tcPr>
            <w:tcW w:w="1190" w:type="dxa"/>
            <w:tcBorders>
              <w:top w:val="single" w:sz="2" w:space="0" w:color="1F4E79" w:themeColor="accent1" w:themeShade="80"/>
              <w:bottom w:val="single" w:sz="2" w:space="0" w:color="1F4E79" w:themeColor="accent1" w:themeShade="80"/>
            </w:tcBorders>
            <w:shd w:val="clear" w:color="auto" w:fill="auto"/>
            <w:vAlign w:val="center"/>
          </w:tcPr>
          <w:p w14:paraId="7EA8745C"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F97A88">
              <w:rPr>
                <w:rFonts w:cs="Arial"/>
                <w:b/>
                <w:bCs/>
                <w:color w:val="000000"/>
                <w:sz w:val="14"/>
                <w:szCs w:val="14"/>
              </w:rPr>
              <w:t>(171.346)</w:t>
            </w:r>
          </w:p>
        </w:tc>
        <w:tc>
          <w:tcPr>
            <w:tcW w:w="1190" w:type="dxa"/>
            <w:tcBorders>
              <w:top w:val="single" w:sz="2" w:space="0" w:color="1F4E79" w:themeColor="accent1" w:themeShade="80"/>
              <w:bottom w:val="single" w:sz="2" w:space="0" w:color="1F4E79" w:themeColor="accent1" w:themeShade="80"/>
            </w:tcBorders>
            <w:shd w:val="clear" w:color="auto" w:fill="auto"/>
            <w:vAlign w:val="center"/>
          </w:tcPr>
          <w:p w14:paraId="1F84DC05"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F97A88">
              <w:rPr>
                <w:rFonts w:eastAsia="Times New Roman" w:cs="Arial"/>
                <w:b/>
                <w:bCs/>
                <w:color w:val="000000"/>
                <w:sz w:val="14"/>
                <w:szCs w:val="14"/>
              </w:rPr>
              <w:t>--</w:t>
            </w:r>
          </w:p>
        </w:tc>
        <w:tc>
          <w:tcPr>
            <w:tcW w:w="1165" w:type="dxa"/>
            <w:tcBorders>
              <w:top w:val="single" w:sz="2" w:space="0" w:color="1F4E79" w:themeColor="accent1" w:themeShade="80"/>
              <w:bottom w:val="single" w:sz="2" w:space="0" w:color="1F4E79" w:themeColor="accent1" w:themeShade="80"/>
            </w:tcBorders>
            <w:shd w:val="clear" w:color="auto" w:fill="auto"/>
            <w:vAlign w:val="center"/>
          </w:tcPr>
          <w:p w14:paraId="46F96330" w14:textId="77777777" w:rsidR="00375569" w:rsidRPr="00F97A88" w:rsidRDefault="00375569" w:rsidP="00F152CD">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F97A88">
              <w:rPr>
                <w:rFonts w:eastAsia="Times New Roman" w:cs="Arial"/>
                <w:b/>
                <w:bCs/>
                <w:color w:val="000000"/>
                <w:sz w:val="14"/>
                <w:szCs w:val="14"/>
              </w:rPr>
              <w:t>891.811</w:t>
            </w:r>
          </w:p>
        </w:tc>
      </w:tr>
    </w:tbl>
    <w:p w14:paraId="213D4014" w14:textId="77777777" w:rsidR="00375569" w:rsidRPr="003E112B" w:rsidRDefault="00375569" w:rsidP="003E112B">
      <w:pPr>
        <w:rPr>
          <w:rFonts w:cs="Arial"/>
          <w:sz w:val="14"/>
          <w:szCs w:val="14"/>
        </w:rPr>
      </w:pPr>
      <w:r w:rsidRPr="003E112B">
        <w:rPr>
          <w:rFonts w:cs="Arial"/>
          <w:sz w:val="14"/>
          <w:szCs w:val="14"/>
        </w:rPr>
        <w:t>As notas explicativas são parte integrante das demonstrações contábeis</w:t>
      </w:r>
      <w:r>
        <w:rPr>
          <w:rFonts w:cs="Arial"/>
          <w:sz w:val="14"/>
          <w:szCs w:val="14"/>
        </w:rPr>
        <w:t>.</w:t>
      </w:r>
    </w:p>
    <w:p w14:paraId="45CFFA9C" w14:textId="77777777" w:rsidR="00375569" w:rsidRDefault="00375569" w:rsidP="00D366A1">
      <w:pPr>
        <w:rPr>
          <w:rFonts w:cs="Arial"/>
          <w:sz w:val="14"/>
          <w:szCs w:val="14"/>
        </w:rPr>
      </w:pPr>
    </w:p>
    <w:p w14:paraId="56CE071D" w14:textId="77777777" w:rsidR="00375569" w:rsidRDefault="00375569" w:rsidP="00D366A1">
      <w:pPr>
        <w:rPr>
          <w:rFonts w:cs="Arial"/>
          <w:sz w:val="14"/>
          <w:szCs w:val="14"/>
        </w:rPr>
      </w:pPr>
    </w:p>
    <w:p w14:paraId="38F3D893" w14:textId="77777777" w:rsidR="00375569" w:rsidRDefault="00375569" w:rsidP="00D366A1">
      <w:pPr>
        <w:rPr>
          <w:rFonts w:cs="Arial"/>
          <w:sz w:val="14"/>
          <w:szCs w:val="14"/>
        </w:rPr>
        <w:sectPr w:rsidR="00375569" w:rsidSect="00531DBD">
          <w:headerReference w:type="default" r:id="rId18"/>
          <w:pgSz w:w="16838" w:h="11906" w:orient="landscape" w:code="9"/>
          <w:pgMar w:top="1134" w:right="1134" w:bottom="1134" w:left="851" w:header="851" w:footer="284" w:gutter="0"/>
          <w:cols w:space="708"/>
          <w:docGrid w:linePitch="360"/>
        </w:sectPr>
      </w:pPr>
    </w:p>
    <w:p w14:paraId="7DC84E99" w14:textId="77777777" w:rsidR="00375569" w:rsidRPr="00725333" w:rsidRDefault="00375569" w:rsidP="00725333">
      <w:pPr>
        <w:pStyle w:val="02-TtulodeNota"/>
        <w:rPr>
          <w:color w:val="1F4E79" w:themeColor="accent1" w:themeShade="80"/>
        </w:rPr>
      </w:pPr>
      <w:bookmarkStart w:id="22" w:name="_Toc94861057"/>
      <w:r w:rsidRPr="00725333">
        <w:rPr>
          <w:color w:val="1F4E79" w:themeColor="accent1" w:themeShade="80"/>
        </w:rPr>
        <w:lastRenderedPageBreak/>
        <w:t>DEMONSTRAÇÃO DO VALOR ADICIONADO</w:t>
      </w:r>
      <w:bookmarkEnd w:id="22"/>
    </w:p>
    <w:p w14:paraId="087C4390" w14:textId="77777777" w:rsidR="00375569" w:rsidRPr="00F86C3B" w:rsidRDefault="00375569" w:rsidP="00762323">
      <w:pPr>
        <w:pStyle w:val="01-TtulodeNota"/>
        <w:spacing w:before="0" w:after="0"/>
        <w:jc w:val="right"/>
        <w:rPr>
          <w:sz w:val="14"/>
          <w:szCs w:val="14"/>
        </w:rPr>
      </w:pPr>
      <w:r w:rsidRPr="00F86C3B">
        <w:rPr>
          <w:sz w:val="14"/>
          <w:szCs w:val="14"/>
        </w:rPr>
        <w:t>R$ mil</w:t>
      </w:r>
    </w:p>
    <w:tbl>
      <w:tblPr>
        <w:tblStyle w:val="TabeladeLista6Colorida-nfase5"/>
        <w:tblW w:w="9639" w:type="dxa"/>
        <w:jc w:val="center"/>
        <w:tblLayout w:type="fixed"/>
        <w:tblLook w:val="04A0" w:firstRow="1" w:lastRow="0" w:firstColumn="1" w:lastColumn="0" w:noHBand="0" w:noVBand="1"/>
      </w:tblPr>
      <w:tblGrid>
        <w:gridCol w:w="3788"/>
        <w:gridCol w:w="691"/>
        <w:gridCol w:w="1234"/>
        <w:gridCol w:w="1239"/>
        <w:gridCol w:w="236"/>
        <w:gridCol w:w="1252"/>
        <w:gridCol w:w="1199"/>
      </w:tblGrid>
      <w:tr w:rsidR="00375569" w14:paraId="577E204D" w14:textId="77777777" w:rsidTr="0072533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single" w:sz="2" w:space="0" w:color="1F4E79" w:themeColor="accent1" w:themeShade="80"/>
              <w:bottom w:val="nil"/>
            </w:tcBorders>
            <w:shd w:val="clear" w:color="auto" w:fill="auto"/>
            <w:vAlign w:val="center"/>
          </w:tcPr>
          <w:p w14:paraId="2238A815" w14:textId="77777777" w:rsidR="00375569" w:rsidRPr="00D84B8A" w:rsidRDefault="00375569" w:rsidP="006436B3">
            <w:pPr>
              <w:jc w:val="center"/>
              <w:rPr>
                <w:rFonts w:cs="Arial"/>
                <w:b w:val="0"/>
                <w:sz w:val="14"/>
                <w:szCs w:val="14"/>
              </w:rPr>
            </w:pPr>
          </w:p>
        </w:tc>
        <w:tc>
          <w:tcPr>
            <w:tcW w:w="691" w:type="dxa"/>
            <w:tcBorders>
              <w:top w:val="single" w:sz="2" w:space="0" w:color="1F4E79" w:themeColor="accent1" w:themeShade="80"/>
              <w:bottom w:val="nil"/>
            </w:tcBorders>
            <w:shd w:val="clear" w:color="auto" w:fill="auto"/>
            <w:vAlign w:val="center"/>
          </w:tcPr>
          <w:p w14:paraId="7294ED04" w14:textId="77777777" w:rsidR="00375569" w:rsidRPr="00D84B8A"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2473" w:type="dxa"/>
            <w:gridSpan w:val="2"/>
            <w:tcBorders>
              <w:top w:val="single" w:sz="2" w:space="0" w:color="1F4E79" w:themeColor="accent1" w:themeShade="80"/>
              <w:bottom w:val="single" w:sz="2" w:space="0" w:color="1F4E79" w:themeColor="accent1" w:themeShade="80"/>
            </w:tcBorders>
            <w:shd w:val="clear" w:color="auto" w:fill="auto"/>
            <w:vAlign w:val="center"/>
          </w:tcPr>
          <w:p w14:paraId="5655A5EB" w14:textId="77777777" w:rsidR="00375569" w:rsidRPr="00D84B8A"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Controlador</w:t>
            </w:r>
          </w:p>
        </w:tc>
        <w:tc>
          <w:tcPr>
            <w:tcW w:w="236" w:type="dxa"/>
            <w:tcBorders>
              <w:top w:val="single" w:sz="2" w:space="0" w:color="1F4E79" w:themeColor="accent1" w:themeShade="80"/>
              <w:bottom w:val="nil"/>
            </w:tcBorders>
            <w:shd w:val="clear" w:color="auto" w:fill="auto"/>
            <w:vAlign w:val="center"/>
          </w:tcPr>
          <w:p w14:paraId="2ECAFEC4" w14:textId="77777777" w:rsidR="00375569" w:rsidRPr="00D84B8A"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2451" w:type="dxa"/>
            <w:gridSpan w:val="2"/>
            <w:tcBorders>
              <w:top w:val="single" w:sz="2" w:space="0" w:color="1F4E79" w:themeColor="accent1" w:themeShade="80"/>
              <w:bottom w:val="single" w:sz="2" w:space="0" w:color="1F4E79" w:themeColor="accent1" w:themeShade="80"/>
            </w:tcBorders>
            <w:shd w:val="clear" w:color="auto" w:fill="auto"/>
            <w:vAlign w:val="center"/>
          </w:tcPr>
          <w:p w14:paraId="3C9C693D" w14:textId="77777777" w:rsidR="00375569" w:rsidRPr="00D84B8A" w:rsidRDefault="00375569" w:rsidP="006436B3">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Consolidado</w:t>
            </w:r>
          </w:p>
        </w:tc>
      </w:tr>
      <w:tr w:rsidR="00375569" w:rsidRPr="001D6BE8" w14:paraId="2322C6E8"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single" w:sz="2" w:space="0" w:color="1F4E79" w:themeColor="accent1" w:themeShade="80"/>
            </w:tcBorders>
            <w:shd w:val="clear" w:color="auto" w:fill="auto"/>
            <w:vAlign w:val="center"/>
          </w:tcPr>
          <w:p w14:paraId="1CAA0D54" w14:textId="77777777" w:rsidR="00375569" w:rsidRPr="00D84B8A" w:rsidRDefault="00375569" w:rsidP="00CB6341">
            <w:pPr>
              <w:pStyle w:val="08-Tabelageral"/>
              <w:jc w:val="left"/>
              <w:rPr>
                <w:rFonts w:cs="Arial"/>
                <w:b w:val="0"/>
                <w:szCs w:val="14"/>
              </w:rPr>
            </w:pPr>
          </w:p>
        </w:tc>
        <w:tc>
          <w:tcPr>
            <w:tcW w:w="691" w:type="dxa"/>
            <w:tcBorders>
              <w:top w:val="nil"/>
              <w:bottom w:val="single" w:sz="2" w:space="0" w:color="1F4E79" w:themeColor="accent1" w:themeShade="80"/>
            </w:tcBorders>
            <w:shd w:val="clear" w:color="auto" w:fill="auto"/>
            <w:vAlign w:val="center"/>
          </w:tcPr>
          <w:p w14:paraId="42CE23CF" w14:textId="77777777" w:rsidR="00375569" w:rsidRPr="00D84B8A" w:rsidRDefault="00375569" w:rsidP="00CB6341">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D84B8A">
              <w:rPr>
                <w:rFonts w:cs="Arial"/>
                <w:b/>
                <w:szCs w:val="14"/>
              </w:rPr>
              <w:t>Nota</w:t>
            </w:r>
          </w:p>
        </w:tc>
        <w:tc>
          <w:tcPr>
            <w:tcW w:w="1234" w:type="dxa"/>
            <w:tcBorders>
              <w:top w:val="single" w:sz="2" w:space="0" w:color="1F4E79" w:themeColor="accent1" w:themeShade="80"/>
              <w:bottom w:val="single" w:sz="2" w:space="0" w:color="1F4E79" w:themeColor="accent1" w:themeShade="80"/>
            </w:tcBorders>
            <w:shd w:val="clear" w:color="auto" w:fill="auto"/>
          </w:tcPr>
          <w:p w14:paraId="7940A34C"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rPr>
              <w:t>Exercício 2021</w:t>
            </w:r>
          </w:p>
        </w:tc>
        <w:tc>
          <w:tcPr>
            <w:tcW w:w="1239" w:type="dxa"/>
            <w:tcBorders>
              <w:top w:val="single" w:sz="2" w:space="0" w:color="1F4E79" w:themeColor="accent1" w:themeShade="80"/>
              <w:bottom w:val="single" w:sz="2" w:space="0" w:color="1F4E79" w:themeColor="accent1" w:themeShade="80"/>
            </w:tcBorders>
            <w:shd w:val="clear" w:color="auto" w:fill="auto"/>
          </w:tcPr>
          <w:p w14:paraId="3FC5986A"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rPr>
              <w:t>Exercício 2020</w:t>
            </w:r>
          </w:p>
        </w:tc>
        <w:tc>
          <w:tcPr>
            <w:tcW w:w="236" w:type="dxa"/>
            <w:tcBorders>
              <w:top w:val="nil"/>
              <w:bottom w:val="single" w:sz="2" w:space="0" w:color="1F4E79" w:themeColor="accent1" w:themeShade="80"/>
            </w:tcBorders>
            <w:shd w:val="clear" w:color="auto" w:fill="auto"/>
            <w:vAlign w:val="center"/>
          </w:tcPr>
          <w:p w14:paraId="1A74F373"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52" w:type="dxa"/>
            <w:tcBorders>
              <w:top w:val="single" w:sz="2" w:space="0" w:color="1F4E79" w:themeColor="accent1" w:themeShade="80"/>
              <w:bottom w:val="single" w:sz="2" w:space="0" w:color="1F4E79" w:themeColor="accent1" w:themeShade="80"/>
            </w:tcBorders>
            <w:shd w:val="clear" w:color="auto" w:fill="auto"/>
          </w:tcPr>
          <w:p w14:paraId="13AC4D8F"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rPr>
              <w:t>Exercício 2021</w:t>
            </w:r>
          </w:p>
        </w:tc>
        <w:tc>
          <w:tcPr>
            <w:tcW w:w="1199" w:type="dxa"/>
            <w:tcBorders>
              <w:top w:val="single" w:sz="2" w:space="0" w:color="1F4E79" w:themeColor="accent1" w:themeShade="80"/>
              <w:bottom w:val="single" w:sz="2" w:space="0" w:color="1F4E79" w:themeColor="accent1" w:themeShade="80"/>
            </w:tcBorders>
            <w:shd w:val="clear" w:color="auto" w:fill="auto"/>
          </w:tcPr>
          <w:p w14:paraId="54282510"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rPr>
              <w:t>Exercício 2020</w:t>
            </w:r>
          </w:p>
        </w:tc>
      </w:tr>
      <w:tr w:rsidR="00375569" w:rsidRPr="00CF0D7C" w14:paraId="32BE5F7C"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single" w:sz="2" w:space="0" w:color="1F4E79" w:themeColor="accent1" w:themeShade="80"/>
              <w:bottom w:val="nil"/>
            </w:tcBorders>
            <w:shd w:val="clear" w:color="auto" w:fill="auto"/>
            <w:vAlign w:val="center"/>
          </w:tcPr>
          <w:p w14:paraId="083581EF" w14:textId="77777777" w:rsidR="00375569" w:rsidRPr="00D84B8A" w:rsidRDefault="00375569" w:rsidP="00102BD4">
            <w:pPr>
              <w:pStyle w:val="08-Tabelageral"/>
              <w:jc w:val="left"/>
              <w:rPr>
                <w:szCs w:val="14"/>
              </w:rPr>
            </w:pPr>
            <w:r w:rsidRPr="00D84B8A">
              <w:rPr>
                <w:szCs w:val="14"/>
              </w:rPr>
              <w:t>Receitas</w:t>
            </w:r>
          </w:p>
        </w:tc>
        <w:tc>
          <w:tcPr>
            <w:tcW w:w="691" w:type="dxa"/>
            <w:tcBorders>
              <w:top w:val="single" w:sz="2" w:space="0" w:color="1F4E79" w:themeColor="accent1" w:themeShade="80"/>
              <w:bottom w:val="nil"/>
            </w:tcBorders>
            <w:shd w:val="clear" w:color="auto" w:fill="auto"/>
            <w:vAlign w:val="center"/>
          </w:tcPr>
          <w:p w14:paraId="07C66487" w14:textId="77777777" w:rsidR="00375569" w:rsidRPr="00D84B8A" w:rsidRDefault="00375569" w:rsidP="00102BD4">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234" w:type="dxa"/>
            <w:tcBorders>
              <w:top w:val="single" w:sz="2" w:space="0" w:color="1F4E79" w:themeColor="accent1" w:themeShade="80"/>
              <w:bottom w:val="nil"/>
            </w:tcBorders>
            <w:shd w:val="clear" w:color="auto" w:fill="auto"/>
            <w:vAlign w:val="bottom"/>
          </w:tcPr>
          <w:p w14:paraId="610B3315"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color w:val="000000"/>
                <w:szCs w:val="14"/>
              </w:rPr>
              <w:t>9.024</w:t>
            </w:r>
          </w:p>
        </w:tc>
        <w:tc>
          <w:tcPr>
            <w:tcW w:w="1239" w:type="dxa"/>
            <w:tcBorders>
              <w:top w:val="single" w:sz="2" w:space="0" w:color="1F4E79" w:themeColor="accent1" w:themeShade="80"/>
              <w:bottom w:val="nil"/>
            </w:tcBorders>
            <w:shd w:val="clear" w:color="auto" w:fill="auto"/>
            <w:vAlign w:val="center"/>
          </w:tcPr>
          <w:p w14:paraId="05B394A2"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b/>
              </w:rPr>
              <w:t>7.763</w:t>
            </w:r>
          </w:p>
        </w:tc>
        <w:tc>
          <w:tcPr>
            <w:tcW w:w="236" w:type="dxa"/>
            <w:tcBorders>
              <w:top w:val="single" w:sz="2" w:space="0" w:color="1F4E79" w:themeColor="accent1" w:themeShade="80"/>
              <w:bottom w:val="nil"/>
            </w:tcBorders>
            <w:shd w:val="clear" w:color="auto" w:fill="auto"/>
            <w:vAlign w:val="center"/>
          </w:tcPr>
          <w:p w14:paraId="5559C2D2"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52" w:type="dxa"/>
            <w:tcBorders>
              <w:top w:val="single" w:sz="2" w:space="0" w:color="1F4E79" w:themeColor="accent1" w:themeShade="80"/>
              <w:bottom w:val="nil"/>
            </w:tcBorders>
            <w:shd w:val="clear" w:color="auto" w:fill="auto"/>
            <w:vAlign w:val="bottom"/>
          </w:tcPr>
          <w:p w14:paraId="6F93E66D"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color w:val="000000"/>
                <w:szCs w:val="14"/>
              </w:rPr>
              <w:t>3.985.096</w:t>
            </w:r>
          </w:p>
        </w:tc>
        <w:tc>
          <w:tcPr>
            <w:tcW w:w="1199" w:type="dxa"/>
            <w:tcBorders>
              <w:top w:val="single" w:sz="2" w:space="0" w:color="1F4E79" w:themeColor="accent1" w:themeShade="80"/>
              <w:bottom w:val="nil"/>
            </w:tcBorders>
            <w:shd w:val="clear" w:color="auto" w:fill="auto"/>
            <w:vAlign w:val="center"/>
          </w:tcPr>
          <w:p w14:paraId="17FBD245" w14:textId="77777777" w:rsidR="00375569" w:rsidRPr="00D84B8A" w:rsidRDefault="00375569" w:rsidP="00102BD4">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b/>
              </w:rPr>
              <w:t>3.690.845</w:t>
            </w:r>
          </w:p>
        </w:tc>
      </w:tr>
      <w:tr w:rsidR="00375569" w:rsidRPr="00406B5A" w14:paraId="0D614654"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4C61D749" w14:textId="77777777" w:rsidR="00375569" w:rsidRPr="00D84B8A" w:rsidRDefault="00375569" w:rsidP="00102BD4">
            <w:pPr>
              <w:pStyle w:val="08-Tabelageral"/>
              <w:ind w:left="113"/>
              <w:jc w:val="left"/>
              <w:rPr>
                <w:b w:val="0"/>
                <w:szCs w:val="14"/>
              </w:rPr>
            </w:pPr>
            <w:r w:rsidRPr="00D84B8A">
              <w:rPr>
                <w:b w:val="0"/>
                <w:szCs w:val="14"/>
              </w:rPr>
              <w:t>Receitas de comissões</w:t>
            </w:r>
          </w:p>
        </w:tc>
        <w:tc>
          <w:tcPr>
            <w:tcW w:w="691" w:type="dxa"/>
            <w:tcBorders>
              <w:top w:val="nil"/>
              <w:bottom w:val="nil"/>
            </w:tcBorders>
            <w:shd w:val="clear" w:color="auto" w:fill="auto"/>
            <w:vAlign w:val="center"/>
          </w:tcPr>
          <w:p w14:paraId="608CF10C"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D84B8A">
              <w:rPr>
                <w:szCs w:val="14"/>
              </w:rPr>
              <w:t>[8]</w:t>
            </w:r>
          </w:p>
        </w:tc>
        <w:tc>
          <w:tcPr>
            <w:tcW w:w="1234" w:type="dxa"/>
            <w:tcBorders>
              <w:top w:val="nil"/>
              <w:bottom w:val="nil"/>
            </w:tcBorders>
            <w:shd w:val="clear" w:color="auto" w:fill="auto"/>
            <w:vAlign w:val="bottom"/>
          </w:tcPr>
          <w:p w14:paraId="1A0837EC"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w:t>
            </w:r>
          </w:p>
        </w:tc>
        <w:tc>
          <w:tcPr>
            <w:tcW w:w="1239" w:type="dxa"/>
            <w:tcBorders>
              <w:top w:val="nil"/>
              <w:bottom w:val="nil"/>
            </w:tcBorders>
            <w:shd w:val="clear" w:color="auto" w:fill="auto"/>
            <w:vAlign w:val="center"/>
          </w:tcPr>
          <w:p w14:paraId="4856150D"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w:t>
            </w:r>
          </w:p>
        </w:tc>
        <w:tc>
          <w:tcPr>
            <w:tcW w:w="236" w:type="dxa"/>
            <w:tcBorders>
              <w:top w:val="nil"/>
              <w:bottom w:val="nil"/>
            </w:tcBorders>
            <w:shd w:val="clear" w:color="auto" w:fill="auto"/>
            <w:vAlign w:val="center"/>
          </w:tcPr>
          <w:p w14:paraId="29727608"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2726D05F"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3.953.457</w:t>
            </w:r>
          </w:p>
        </w:tc>
        <w:tc>
          <w:tcPr>
            <w:tcW w:w="1199" w:type="dxa"/>
            <w:tcBorders>
              <w:top w:val="nil"/>
              <w:bottom w:val="nil"/>
            </w:tcBorders>
            <w:shd w:val="clear" w:color="auto" w:fill="auto"/>
            <w:vAlign w:val="center"/>
          </w:tcPr>
          <w:p w14:paraId="1714A096" w14:textId="77777777" w:rsidR="00375569" w:rsidRPr="00D84B8A" w:rsidRDefault="00375569" w:rsidP="00102BD4">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t>3.676.972</w:t>
            </w:r>
          </w:p>
        </w:tc>
      </w:tr>
      <w:tr w:rsidR="00375569" w:rsidRPr="00406B5A" w14:paraId="603A7E03"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67D3C1F4" w14:textId="77777777" w:rsidR="00375569" w:rsidRPr="00D84B8A" w:rsidRDefault="00375569" w:rsidP="00102BD4">
            <w:pPr>
              <w:pStyle w:val="08-Tabelageral"/>
              <w:ind w:left="113"/>
              <w:jc w:val="left"/>
              <w:rPr>
                <w:b w:val="0"/>
                <w:szCs w:val="14"/>
              </w:rPr>
            </w:pPr>
            <w:r w:rsidRPr="00D84B8A">
              <w:rPr>
                <w:b w:val="0"/>
                <w:szCs w:val="14"/>
              </w:rPr>
              <w:t>Outras receitas</w:t>
            </w:r>
          </w:p>
        </w:tc>
        <w:tc>
          <w:tcPr>
            <w:tcW w:w="691" w:type="dxa"/>
            <w:tcBorders>
              <w:top w:val="nil"/>
              <w:bottom w:val="nil"/>
            </w:tcBorders>
            <w:shd w:val="clear" w:color="auto" w:fill="auto"/>
            <w:vAlign w:val="center"/>
          </w:tcPr>
          <w:p w14:paraId="41C4ABBF"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sidRPr="00D84B8A">
              <w:rPr>
                <w:szCs w:val="14"/>
              </w:rPr>
              <w:t>[13]</w:t>
            </w:r>
          </w:p>
        </w:tc>
        <w:tc>
          <w:tcPr>
            <w:tcW w:w="1234" w:type="dxa"/>
            <w:tcBorders>
              <w:top w:val="nil"/>
              <w:bottom w:val="nil"/>
            </w:tcBorders>
            <w:shd w:val="clear" w:color="auto" w:fill="auto"/>
            <w:vAlign w:val="bottom"/>
          </w:tcPr>
          <w:p w14:paraId="30FD8CC3"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9.024</w:t>
            </w:r>
          </w:p>
        </w:tc>
        <w:tc>
          <w:tcPr>
            <w:tcW w:w="1239" w:type="dxa"/>
            <w:tcBorders>
              <w:top w:val="nil"/>
              <w:bottom w:val="nil"/>
            </w:tcBorders>
            <w:shd w:val="clear" w:color="auto" w:fill="auto"/>
            <w:vAlign w:val="center"/>
          </w:tcPr>
          <w:p w14:paraId="0A0DEE88"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7.763</w:t>
            </w:r>
          </w:p>
        </w:tc>
        <w:tc>
          <w:tcPr>
            <w:tcW w:w="236" w:type="dxa"/>
            <w:tcBorders>
              <w:top w:val="nil"/>
              <w:bottom w:val="nil"/>
            </w:tcBorders>
            <w:shd w:val="clear" w:color="auto" w:fill="auto"/>
            <w:vAlign w:val="center"/>
          </w:tcPr>
          <w:p w14:paraId="53849B24"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52" w:type="dxa"/>
            <w:tcBorders>
              <w:top w:val="nil"/>
              <w:bottom w:val="nil"/>
            </w:tcBorders>
            <w:shd w:val="clear" w:color="auto" w:fill="auto"/>
            <w:vAlign w:val="bottom"/>
          </w:tcPr>
          <w:p w14:paraId="214095B6"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31.639</w:t>
            </w:r>
          </w:p>
        </w:tc>
        <w:tc>
          <w:tcPr>
            <w:tcW w:w="1199" w:type="dxa"/>
            <w:tcBorders>
              <w:top w:val="nil"/>
              <w:bottom w:val="nil"/>
            </w:tcBorders>
            <w:shd w:val="clear" w:color="auto" w:fill="auto"/>
            <w:vAlign w:val="center"/>
          </w:tcPr>
          <w:p w14:paraId="45BC3498"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13.873</w:t>
            </w:r>
          </w:p>
        </w:tc>
      </w:tr>
      <w:tr w:rsidR="00375569" w:rsidRPr="00CF0D7C" w14:paraId="7437B9DC"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3F012E47" w14:textId="77777777" w:rsidR="00375569" w:rsidRPr="00D84B8A" w:rsidRDefault="00375569" w:rsidP="00CB6341">
            <w:pPr>
              <w:pStyle w:val="08-Tabelageral"/>
              <w:ind w:left="113"/>
              <w:jc w:val="left"/>
              <w:rPr>
                <w:b w:val="0"/>
                <w:szCs w:val="14"/>
              </w:rPr>
            </w:pPr>
          </w:p>
        </w:tc>
        <w:tc>
          <w:tcPr>
            <w:tcW w:w="691" w:type="dxa"/>
            <w:tcBorders>
              <w:top w:val="nil"/>
              <w:bottom w:val="nil"/>
            </w:tcBorders>
            <w:shd w:val="clear" w:color="auto" w:fill="auto"/>
            <w:vAlign w:val="center"/>
          </w:tcPr>
          <w:p w14:paraId="2B5936EE"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189D19D6"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5DF4E442"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236" w:type="dxa"/>
            <w:tcBorders>
              <w:top w:val="nil"/>
              <w:bottom w:val="nil"/>
            </w:tcBorders>
            <w:shd w:val="clear" w:color="auto" w:fill="auto"/>
            <w:vAlign w:val="center"/>
          </w:tcPr>
          <w:p w14:paraId="16E596B0"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52" w:type="dxa"/>
            <w:tcBorders>
              <w:top w:val="nil"/>
              <w:bottom w:val="nil"/>
            </w:tcBorders>
            <w:shd w:val="clear" w:color="auto" w:fill="auto"/>
            <w:vAlign w:val="center"/>
          </w:tcPr>
          <w:p w14:paraId="00D2A832"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2C8B39DE"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r>
      <w:tr w:rsidR="00375569" w:rsidRPr="00CF0D7C" w14:paraId="3C65AED3"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18E22BD1" w14:textId="77777777" w:rsidR="00375569" w:rsidRPr="00D84B8A" w:rsidRDefault="00375569" w:rsidP="00102BD4">
            <w:pPr>
              <w:pStyle w:val="08-Tabelageral"/>
              <w:jc w:val="left"/>
              <w:rPr>
                <w:szCs w:val="14"/>
              </w:rPr>
            </w:pPr>
            <w:r w:rsidRPr="00D84B8A">
              <w:rPr>
                <w:szCs w:val="14"/>
              </w:rPr>
              <w:t>Insumos Adquiridos de Terceiros</w:t>
            </w:r>
          </w:p>
        </w:tc>
        <w:tc>
          <w:tcPr>
            <w:tcW w:w="691" w:type="dxa"/>
            <w:tcBorders>
              <w:top w:val="nil"/>
              <w:bottom w:val="nil"/>
            </w:tcBorders>
            <w:shd w:val="clear" w:color="auto" w:fill="auto"/>
            <w:vAlign w:val="center"/>
          </w:tcPr>
          <w:p w14:paraId="37B7A899"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4" w:type="dxa"/>
            <w:tcBorders>
              <w:top w:val="nil"/>
              <w:bottom w:val="nil"/>
            </w:tcBorders>
            <w:shd w:val="clear" w:color="auto" w:fill="auto"/>
            <w:vAlign w:val="bottom"/>
          </w:tcPr>
          <w:p w14:paraId="1BCBCDDA"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szCs w:val="14"/>
              </w:rPr>
              <w:t>(3.196)</w:t>
            </w:r>
          </w:p>
        </w:tc>
        <w:tc>
          <w:tcPr>
            <w:tcW w:w="1239" w:type="dxa"/>
            <w:tcBorders>
              <w:top w:val="nil"/>
              <w:bottom w:val="nil"/>
            </w:tcBorders>
            <w:shd w:val="clear" w:color="auto" w:fill="auto"/>
            <w:vAlign w:val="center"/>
          </w:tcPr>
          <w:p w14:paraId="74A4D69F"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b/>
              </w:rPr>
              <w:t>(3.224)</w:t>
            </w:r>
          </w:p>
        </w:tc>
        <w:tc>
          <w:tcPr>
            <w:tcW w:w="236" w:type="dxa"/>
            <w:tcBorders>
              <w:top w:val="nil"/>
              <w:bottom w:val="nil"/>
            </w:tcBorders>
            <w:shd w:val="clear" w:color="auto" w:fill="auto"/>
            <w:vAlign w:val="center"/>
          </w:tcPr>
          <w:p w14:paraId="72CA74F7"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52" w:type="dxa"/>
            <w:tcBorders>
              <w:top w:val="nil"/>
              <w:bottom w:val="nil"/>
            </w:tcBorders>
            <w:shd w:val="clear" w:color="auto" w:fill="auto"/>
            <w:vAlign w:val="bottom"/>
          </w:tcPr>
          <w:p w14:paraId="5BF61473"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szCs w:val="14"/>
              </w:rPr>
              <w:t>(338.548)</w:t>
            </w:r>
          </w:p>
        </w:tc>
        <w:tc>
          <w:tcPr>
            <w:tcW w:w="1199" w:type="dxa"/>
            <w:tcBorders>
              <w:top w:val="nil"/>
              <w:bottom w:val="nil"/>
            </w:tcBorders>
            <w:shd w:val="clear" w:color="auto" w:fill="auto"/>
            <w:vAlign w:val="center"/>
          </w:tcPr>
          <w:p w14:paraId="0A7B6F33" w14:textId="77777777" w:rsidR="00375569" w:rsidRPr="00D84B8A" w:rsidRDefault="00375569" w:rsidP="00102BD4">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b/>
                <w:szCs w:val="14"/>
              </w:rPr>
            </w:pPr>
            <w:r>
              <w:rPr>
                <w:b/>
              </w:rPr>
              <w:t>(286.689)</w:t>
            </w:r>
          </w:p>
        </w:tc>
      </w:tr>
      <w:tr w:rsidR="00375569" w:rsidRPr="00406B5A" w14:paraId="1F1EEFBF"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23F0B071" w14:textId="77777777" w:rsidR="00375569" w:rsidRPr="00D84B8A" w:rsidRDefault="00375569" w:rsidP="00102BD4">
            <w:pPr>
              <w:pStyle w:val="08-Tabelageral"/>
              <w:ind w:left="113"/>
              <w:jc w:val="left"/>
              <w:rPr>
                <w:b w:val="0"/>
                <w:szCs w:val="14"/>
              </w:rPr>
            </w:pPr>
            <w:r w:rsidRPr="00D84B8A">
              <w:rPr>
                <w:b w:val="0"/>
                <w:szCs w:val="14"/>
              </w:rPr>
              <w:t>Despesas administrativas e com vendas</w:t>
            </w:r>
          </w:p>
        </w:tc>
        <w:tc>
          <w:tcPr>
            <w:tcW w:w="691" w:type="dxa"/>
            <w:tcBorders>
              <w:top w:val="nil"/>
              <w:bottom w:val="nil"/>
            </w:tcBorders>
            <w:shd w:val="clear" w:color="auto" w:fill="auto"/>
            <w:vAlign w:val="center"/>
          </w:tcPr>
          <w:p w14:paraId="63ADA615"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D84B8A">
              <w:rPr>
                <w:szCs w:val="14"/>
              </w:rPr>
              <w:t>[11]</w:t>
            </w:r>
          </w:p>
        </w:tc>
        <w:tc>
          <w:tcPr>
            <w:tcW w:w="1234" w:type="dxa"/>
            <w:tcBorders>
              <w:top w:val="nil"/>
              <w:bottom w:val="nil"/>
            </w:tcBorders>
            <w:shd w:val="clear" w:color="auto" w:fill="auto"/>
            <w:vAlign w:val="bottom"/>
          </w:tcPr>
          <w:p w14:paraId="17C954F7"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(3.152)</w:t>
            </w:r>
          </w:p>
        </w:tc>
        <w:tc>
          <w:tcPr>
            <w:tcW w:w="1239" w:type="dxa"/>
            <w:tcBorders>
              <w:top w:val="nil"/>
              <w:bottom w:val="nil"/>
            </w:tcBorders>
            <w:shd w:val="clear" w:color="auto" w:fill="auto"/>
            <w:vAlign w:val="center"/>
          </w:tcPr>
          <w:p w14:paraId="21CD3956"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(3.096)</w:t>
            </w:r>
          </w:p>
        </w:tc>
        <w:tc>
          <w:tcPr>
            <w:tcW w:w="236" w:type="dxa"/>
            <w:tcBorders>
              <w:top w:val="nil"/>
              <w:bottom w:val="nil"/>
            </w:tcBorders>
            <w:shd w:val="clear" w:color="auto" w:fill="auto"/>
            <w:vAlign w:val="center"/>
          </w:tcPr>
          <w:p w14:paraId="591D5528"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5558D338"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(38.266)</w:t>
            </w:r>
          </w:p>
        </w:tc>
        <w:tc>
          <w:tcPr>
            <w:tcW w:w="1199" w:type="dxa"/>
            <w:tcBorders>
              <w:top w:val="nil"/>
              <w:bottom w:val="nil"/>
            </w:tcBorders>
            <w:shd w:val="clear" w:color="auto" w:fill="auto"/>
            <w:vAlign w:val="center"/>
          </w:tcPr>
          <w:p w14:paraId="4BABF691" w14:textId="77777777" w:rsidR="00375569" w:rsidRPr="00D84B8A" w:rsidRDefault="00375569" w:rsidP="00102BD4">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t>(69.424)</w:t>
            </w:r>
          </w:p>
        </w:tc>
      </w:tr>
      <w:tr w:rsidR="00375569" w:rsidRPr="00406B5A" w14:paraId="1B626DF6"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00E0286A" w14:textId="77777777" w:rsidR="00375569" w:rsidRPr="00D84B8A" w:rsidRDefault="00375569" w:rsidP="00102BD4">
            <w:pPr>
              <w:pStyle w:val="08-Tabelageral"/>
              <w:ind w:left="113"/>
              <w:jc w:val="left"/>
              <w:rPr>
                <w:b w:val="0"/>
                <w:szCs w:val="14"/>
              </w:rPr>
            </w:pPr>
            <w:r w:rsidRPr="00D84B8A">
              <w:rPr>
                <w:b w:val="0"/>
                <w:szCs w:val="14"/>
              </w:rPr>
              <w:t>Custos dos serviços prestados</w:t>
            </w:r>
          </w:p>
        </w:tc>
        <w:tc>
          <w:tcPr>
            <w:tcW w:w="691" w:type="dxa"/>
            <w:tcBorders>
              <w:top w:val="nil"/>
              <w:bottom w:val="nil"/>
            </w:tcBorders>
            <w:shd w:val="clear" w:color="auto" w:fill="auto"/>
            <w:vAlign w:val="center"/>
          </w:tcPr>
          <w:p w14:paraId="327B1C90" w14:textId="77777777" w:rsidR="00375569" w:rsidRPr="00D84B8A" w:rsidRDefault="00375569" w:rsidP="00102BD4">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D84B8A">
              <w:rPr>
                <w:szCs w:val="14"/>
              </w:rPr>
              <w:t>[9]</w:t>
            </w:r>
          </w:p>
        </w:tc>
        <w:tc>
          <w:tcPr>
            <w:tcW w:w="1234" w:type="dxa"/>
            <w:tcBorders>
              <w:top w:val="nil"/>
              <w:bottom w:val="nil"/>
            </w:tcBorders>
            <w:shd w:val="clear" w:color="auto" w:fill="auto"/>
            <w:vAlign w:val="bottom"/>
          </w:tcPr>
          <w:p w14:paraId="380380AE"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w:t>
            </w:r>
          </w:p>
        </w:tc>
        <w:tc>
          <w:tcPr>
            <w:tcW w:w="1239" w:type="dxa"/>
            <w:tcBorders>
              <w:top w:val="nil"/>
              <w:bottom w:val="nil"/>
            </w:tcBorders>
            <w:shd w:val="clear" w:color="auto" w:fill="auto"/>
            <w:vAlign w:val="center"/>
          </w:tcPr>
          <w:p w14:paraId="796C534F" w14:textId="77777777" w:rsidR="00375569" w:rsidRPr="00D84B8A" w:rsidRDefault="00375569" w:rsidP="00102BD4">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t>--</w:t>
            </w:r>
          </w:p>
        </w:tc>
        <w:tc>
          <w:tcPr>
            <w:tcW w:w="236" w:type="dxa"/>
            <w:tcBorders>
              <w:top w:val="nil"/>
              <w:bottom w:val="nil"/>
            </w:tcBorders>
            <w:shd w:val="clear" w:color="auto" w:fill="auto"/>
            <w:vAlign w:val="center"/>
          </w:tcPr>
          <w:p w14:paraId="4BC4F9C8" w14:textId="77777777" w:rsidR="00375569" w:rsidRPr="00D84B8A" w:rsidRDefault="00375569" w:rsidP="00102BD4">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5EAF3FB4" w14:textId="77777777" w:rsidR="00375569" w:rsidRPr="00D84B8A" w:rsidRDefault="00375569" w:rsidP="00102BD4">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(193.830)</w:t>
            </w:r>
          </w:p>
        </w:tc>
        <w:tc>
          <w:tcPr>
            <w:tcW w:w="1199" w:type="dxa"/>
            <w:tcBorders>
              <w:top w:val="nil"/>
              <w:bottom w:val="nil"/>
            </w:tcBorders>
            <w:shd w:val="clear" w:color="auto" w:fill="auto"/>
            <w:vAlign w:val="center"/>
          </w:tcPr>
          <w:p w14:paraId="042BB243" w14:textId="77777777" w:rsidR="00375569" w:rsidRPr="00D84B8A" w:rsidRDefault="00375569" w:rsidP="00102BD4">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t>(176.868)</w:t>
            </w:r>
          </w:p>
        </w:tc>
      </w:tr>
      <w:tr w:rsidR="00375569" w:rsidRPr="00406B5A" w14:paraId="62F10249"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2A2143FF" w14:textId="77777777" w:rsidR="00375569" w:rsidRPr="00D84B8A" w:rsidRDefault="00375569" w:rsidP="00102BD4">
            <w:pPr>
              <w:pStyle w:val="08-Tabelageral"/>
              <w:ind w:left="113"/>
              <w:jc w:val="left"/>
              <w:rPr>
                <w:b w:val="0"/>
                <w:szCs w:val="14"/>
              </w:rPr>
            </w:pPr>
            <w:r w:rsidRPr="00D84B8A">
              <w:rPr>
                <w:b w:val="0"/>
                <w:szCs w:val="14"/>
              </w:rPr>
              <w:t xml:space="preserve">Outras </w:t>
            </w:r>
          </w:p>
        </w:tc>
        <w:tc>
          <w:tcPr>
            <w:tcW w:w="691" w:type="dxa"/>
            <w:tcBorders>
              <w:top w:val="nil"/>
              <w:bottom w:val="nil"/>
            </w:tcBorders>
            <w:shd w:val="clear" w:color="auto" w:fill="auto"/>
            <w:vAlign w:val="center"/>
          </w:tcPr>
          <w:p w14:paraId="593A4801"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D84B8A">
              <w:rPr>
                <w:szCs w:val="14"/>
              </w:rPr>
              <w:t>[13]</w:t>
            </w:r>
          </w:p>
        </w:tc>
        <w:tc>
          <w:tcPr>
            <w:tcW w:w="1234" w:type="dxa"/>
            <w:tcBorders>
              <w:top w:val="nil"/>
              <w:bottom w:val="nil"/>
            </w:tcBorders>
            <w:shd w:val="clear" w:color="auto" w:fill="auto"/>
            <w:vAlign w:val="bottom"/>
          </w:tcPr>
          <w:p w14:paraId="2BE93B50"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(44)</w:t>
            </w:r>
          </w:p>
        </w:tc>
        <w:tc>
          <w:tcPr>
            <w:tcW w:w="1239" w:type="dxa"/>
            <w:tcBorders>
              <w:top w:val="nil"/>
              <w:bottom w:val="nil"/>
            </w:tcBorders>
            <w:shd w:val="clear" w:color="auto" w:fill="auto"/>
            <w:vAlign w:val="center"/>
          </w:tcPr>
          <w:p w14:paraId="2D952396"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(128)</w:t>
            </w:r>
          </w:p>
        </w:tc>
        <w:tc>
          <w:tcPr>
            <w:tcW w:w="236" w:type="dxa"/>
            <w:tcBorders>
              <w:top w:val="nil"/>
              <w:bottom w:val="nil"/>
            </w:tcBorders>
            <w:shd w:val="clear" w:color="auto" w:fill="auto"/>
            <w:vAlign w:val="center"/>
          </w:tcPr>
          <w:p w14:paraId="4D82FBD2" w14:textId="77777777" w:rsidR="00375569" w:rsidRPr="00D84B8A" w:rsidRDefault="00375569" w:rsidP="00102BD4">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35038852" w14:textId="77777777" w:rsidR="00375569" w:rsidRPr="00D84B8A" w:rsidRDefault="00375569" w:rsidP="00102BD4">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(106.452)</w:t>
            </w:r>
          </w:p>
        </w:tc>
        <w:tc>
          <w:tcPr>
            <w:tcW w:w="1199" w:type="dxa"/>
            <w:tcBorders>
              <w:top w:val="nil"/>
              <w:bottom w:val="nil"/>
            </w:tcBorders>
            <w:shd w:val="clear" w:color="auto" w:fill="auto"/>
            <w:vAlign w:val="center"/>
          </w:tcPr>
          <w:p w14:paraId="6391943E" w14:textId="77777777" w:rsidR="00375569" w:rsidRPr="00D84B8A" w:rsidRDefault="00375569" w:rsidP="00102BD4">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t>(40.397)</w:t>
            </w:r>
          </w:p>
        </w:tc>
      </w:tr>
      <w:tr w:rsidR="00375569" w:rsidRPr="00CF0D7C" w14:paraId="647EF4F6"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52F19CB6" w14:textId="77777777" w:rsidR="00375569" w:rsidRPr="00D84B8A" w:rsidRDefault="00375569" w:rsidP="00CB6341">
            <w:pPr>
              <w:pStyle w:val="08-Tabelageral"/>
              <w:jc w:val="left"/>
              <w:rPr>
                <w:szCs w:val="14"/>
              </w:rPr>
            </w:pPr>
            <w:r w:rsidRPr="00D84B8A">
              <w:rPr>
                <w:szCs w:val="14"/>
              </w:rPr>
              <w:t> </w:t>
            </w:r>
          </w:p>
        </w:tc>
        <w:tc>
          <w:tcPr>
            <w:tcW w:w="691" w:type="dxa"/>
            <w:tcBorders>
              <w:top w:val="nil"/>
              <w:bottom w:val="nil"/>
            </w:tcBorders>
            <w:shd w:val="clear" w:color="auto" w:fill="auto"/>
            <w:vAlign w:val="center"/>
          </w:tcPr>
          <w:p w14:paraId="1A15C511"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5035D393"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3C02834C"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236" w:type="dxa"/>
            <w:tcBorders>
              <w:top w:val="nil"/>
              <w:bottom w:val="nil"/>
            </w:tcBorders>
            <w:shd w:val="clear" w:color="auto" w:fill="auto"/>
            <w:vAlign w:val="center"/>
          </w:tcPr>
          <w:p w14:paraId="4773CCBB"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52" w:type="dxa"/>
            <w:tcBorders>
              <w:top w:val="nil"/>
              <w:bottom w:val="nil"/>
            </w:tcBorders>
            <w:shd w:val="clear" w:color="auto" w:fill="auto"/>
            <w:vAlign w:val="center"/>
          </w:tcPr>
          <w:p w14:paraId="4081FEC5"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5617A76D"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r>
      <w:tr w:rsidR="00375569" w:rsidRPr="00CF0D7C" w14:paraId="23ECC334"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5885E93" w14:textId="77777777" w:rsidR="00375569" w:rsidRPr="00D84B8A" w:rsidRDefault="00375569" w:rsidP="00CB6341">
            <w:pPr>
              <w:pStyle w:val="08-Tabelageral"/>
              <w:jc w:val="left"/>
              <w:rPr>
                <w:szCs w:val="14"/>
              </w:rPr>
            </w:pPr>
            <w:r w:rsidRPr="00D84B8A">
              <w:rPr>
                <w:szCs w:val="14"/>
              </w:rPr>
              <w:t>Valor Adicionado Bruto</w:t>
            </w:r>
          </w:p>
        </w:tc>
        <w:tc>
          <w:tcPr>
            <w:tcW w:w="691" w:type="dxa"/>
            <w:tcBorders>
              <w:top w:val="nil"/>
              <w:bottom w:val="nil"/>
            </w:tcBorders>
            <w:shd w:val="clear" w:color="auto" w:fill="auto"/>
            <w:vAlign w:val="center"/>
          </w:tcPr>
          <w:p w14:paraId="0BA12C1C"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4125E7A4"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5.828</w:t>
            </w:r>
          </w:p>
        </w:tc>
        <w:tc>
          <w:tcPr>
            <w:tcW w:w="1239" w:type="dxa"/>
            <w:tcBorders>
              <w:top w:val="nil"/>
              <w:bottom w:val="nil"/>
            </w:tcBorders>
            <w:shd w:val="clear" w:color="auto" w:fill="auto"/>
            <w:vAlign w:val="center"/>
          </w:tcPr>
          <w:p w14:paraId="663464A1"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4.539</w:t>
            </w:r>
          </w:p>
        </w:tc>
        <w:tc>
          <w:tcPr>
            <w:tcW w:w="236" w:type="dxa"/>
            <w:tcBorders>
              <w:top w:val="nil"/>
              <w:bottom w:val="nil"/>
            </w:tcBorders>
            <w:shd w:val="clear" w:color="auto" w:fill="auto"/>
            <w:vAlign w:val="center"/>
          </w:tcPr>
          <w:p w14:paraId="03055D78"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7FDF640F"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3.646.548</w:t>
            </w:r>
          </w:p>
        </w:tc>
        <w:tc>
          <w:tcPr>
            <w:tcW w:w="1199" w:type="dxa"/>
            <w:tcBorders>
              <w:top w:val="nil"/>
              <w:bottom w:val="nil"/>
            </w:tcBorders>
            <w:shd w:val="clear" w:color="auto" w:fill="auto"/>
            <w:vAlign w:val="center"/>
          </w:tcPr>
          <w:p w14:paraId="380E9EBE" w14:textId="77777777" w:rsidR="00375569" w:rsidRPr="00D84B8A" w:rsidRDefault="00375569" w:rsidP="00CB6341">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b/>
              </w:rPr>
              <w:t>3.404.156</w:t>
            </w:r>
          </w:p>
        </w:tc>
      </w:tr>
      <w:tr w:rsidR="00375569" w:rsidRPr="00CF0D7C" w14:paraId="7C5C5E73"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4D09761C" w14:textId="77777777" w:rsidR="00375569" w:rsidRPr="00D84B8A" w:rsidRDefault="00375569" w:rsidP="00CB6341">
            <w:pPr>
              <w:pStyle w:val="08-Tabelageral"/>
              <w:jc w:val="left"/>
              <w:rPr>
                <w:szCs w:val="14"/>
              </w:rPr>
            </w:pPr>
          </w:p>
        </w:tc>
        <w:tc>
          <w:tcPr>
            <w:tcW w:w="691" w:type="dxa"/>
            <w:tcBorders>
              <w:top w:val="nil"/>
              <w:bottom w:val="nil"/>
            </w:tcBorders>
            <w:shd w:val="clear" w:color="auto" w:fill="auto"/>
            <w:vAlign w:val="center"/>
          </w:tcPr>
          <w:p w14:paraId="7F04F04D"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234" w:type="dxa"/>
            <w:tcBorders>
              <w:top w:val="nil"/>
              <w:bottom w:val="nil"/>
            </w:tcBorders>
            <w:shd w:val="clear" w:color="auto" w:fill="auto"/>
            <w:vAlign w:val="center"/>
          </w:tcPr>
          <w:p w14:paraId="7B83BBE5"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07CC3F33"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236" w:type="dxa"/>
            <w:tcBorders>
              <w:top w:val="nil"/>
              <w:bottom w:val="nil"/>
            </w:tcBorders>
            <w:shd w:val="clear" w:color="auto" w:fill="auto"/>
            <w:vAlign w:val="center"/>
          </w:tcPr>
          <w:p w14:paraId="41A13682"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60B4EECB"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1839CC39"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r>
      <w:tr w:rsidR="00375569" w:rsidRPr="00406B5A" w14:paraId="39FEBB69"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EA0675F" w14:textId="77777777" w:rsidR="00375569" w:rsidRPr="00D84B8A" w:rsidRDefault="00375569" w:rsidP="00CB6341">
            <w:pPr>
              <w:pStyle w:val="08-Tabelageral"/>
              <w:ind w:left="113"/>
              <w:jc w:val="left"/>
              <w:rPr>
                <w:b w:val="0"/>
                <w:bCs w:val="0"/>
                <w:szCs w:val="14"/>
              </w:rPr>
            </w:pPr>
            <w:r w:rsidRPr="00D84B8A">
              <w:rPr>
                <w:b w:val="0"/>
                <w:szCs w:val="14"/>
              </w:rPr>
              <w:t xml:space="preserve">Depreciação e </w:t>
            </w:r>
            <w:r>
              <w:rPr>
                <w:b w:val="0"/>
                <w:szCs w:val="14"/>
              </w:rPr>
              <w:t>a</w:t>
            </w:r>
            <w:r w:rsidRPr="00D84B8A">
              <w:rPr>
                <w:b w:val="0"/>
                <w:szCs w:val="14"/>
              </w:rPr>
              <w:t>mortização</w:t>
            </w:r>
            <w:r w:rsidRPr="00D84B8A">
              <w:rPr>
                <w:b w:val="0"/>
                <w:bCs w:val="0"/>
                <w:szCs w:val="14"/>
              </w:rPr>
              <w:t xml:space="preserve"> </w:t>
            </w:r>
          </w:p>
        </w:tc>
        <w:tc>
          <w:tcPr>
            <w:tcW w:w="691" w:type="dxa"/>
            <w:tcBorders>
              <w:top w:val="nil"/>
              <w:bottom w:val="nil"/>
            </w:tcBorders>
            <w:shd w:val="clear" w:color="auto" w:fill="auto"/>
            <w:vAlign w:val="center"/>
          </w:tcPr>
          <w:p w14:paraId="6AAAA29E"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r w:rsidRPr="00D84B8A">
              <w:rPr>
                <w:szCs w:val="14"/>
              </w:rPr>
              <w:t>[13]</w:t>
            </w:r>
          </w:p>
        </w:tc>
        <w:tc>
          <w:tcPr>
            <w:tcW w:w="1234" w:type="dxa"/>
            <w:tcBorders>
              <w:top w:val="nil"/>
              <w:bottom w:val="nil"/>
            </w:tcBorders>
            <w:shd w:val="clear" w:color="auto" w:fill="auto"/>
            <w:vAlign w:val="center"/>
          </w:tcPr>
          <w:p w14:paraId="2F2D7206"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Pr>
                <w:rFonts w:cs="Arial"/>
                <w:sz w:val="14"/>
                <w:szCs w:val="14"/>
              </w:rPr>
              <w:t>(150)</w:t>
            </w:r>
          </w:p>
        </w:tc>
        <w:tc>
          <w:tcPr>
            <w:tcW w:w="1239" w:type="dxa"/>
            <w:tcBorders>
              <w:top w:val="nil"/>
              <w:bottom w:val="nil"/>
            </w:tcBorders>
            <w:shd w:val="clear" w:color="auto" w:fill="auto"/>
            <w:vAlign w:val="center"/>
          </w:tcPr>
          <w:p w14:paraId="7D7C15DC" w14:textId="77777777" w:rsidR="00375569" w:rsidRPr="00D84B8A" w:rsidRDefault="00375569" w:rsidP="00CB6341">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(174)</w:t>
            </w:r>
          </w:p>
        </w:tc>
        <w:tc>
          <w:tcPr>
            <w:tcW w:w="236" w:type="dxa"/>
            <w:tcBorders>
              <w:top w:val="nil"/>
              <w:bottom w:val="nil"/>
            </w:tcBorders>
            <w:shd w:val="clear" w:color="auto" w:fill="auto"/>
            <w:vAlign w:val="center"/>
          </w:tcPr>
          <w:p w14:paraId="1C5F9648" w14:textId="77777777" w:rsidR="00375569" w:rsidRPr="00D84B8A" w:rsidRDefault="00375569" w:rsidP="00CB6341">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center"/>
          </w:tcPr>
          <w:p w14:paraId="1A14F74A"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Pr>
                <w:rFonts w:cs="Arial"/>
                <w:sz w:val="14"/>
                <w:szCs w:val="14"/>
              </w:rPr>
              <w:t>(1.067)</w:t>
            </w:r>
          </w:p>
        </w:tc>
        <w:tc>
          <w:tcPr>
            <w:tcW w:w="1199" w:type="dxa"/>
            <w:tcBorders>
              <w:top w:val="nil"/>
              <w:bottom w:val="nil"/>
            </w:tcBorders>
            <w:shd w:val="clear" w:color="auto" w:fill="auto"/>
            <w:vAlign w:val="center"/>
          </w:tcPr>
          <w:p w14:paraId="315F8F07" w14:textId="77777777" w:rsidR="00375569" w:rsidRPr="00D84B8A" w:rsidRDefault="00375569" w:rsidP="00CB6341">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(1.011)</w:t>
            </w:r>
          </w:p>
        </w:tc>
      </w:tr>
      <w:tr w:rsidR="00375569" w:rsidRPr="00CF0D7C" w14:paraId="170D5ED6"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C688A00" w14:textId="77777777" w:rsidR="00375569" w:rsidRPr="00D84B8A" w:rsidRDefault="00375569" w:rsidP="00CB6341">
            <w:pPr>
              <w:pStyle w:val="08-Tabelageral"/>
              <w:jc w:val="left"/>
              <w:rPr>
                <w:b w:val="0"/>
                <w:bCs w:val="0"/>
                <w:szCs w:val="14"/>
              </w:rPr>
            </w:pPr>
            <w:r w:rsidRPr="00D84B8A">
              <w:rPr>
                <w:b w:val="0"/>
                <w:bCs w:val="0"/>
                <w:szCs w:val="14"/>
              </w:rPr>
              <w:t> </w:t>
            </w:r>
          </w:p>
        </w:tc>
        <w:tc>
          <w:tcPr>
            <w:tcW w:w="691" w:type="dxa"/>
            <w:tcBorders>
              <w:top w:val="nil"/>
              <w:bottom w:val="nil"/>
            </w:tcBorders>
            <w:shd w:val="clear" w:color="auto" w:fill="auto"/>
            <w:vAlign w:val="center"/>
          </w:tcPr>
          <w:p w14:paraId="5183208E"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234" w:type="dxa"/>
            <w:tcBorders>
              <w:top w:val="nil"/>
              <w:bottom w:val="nil"/>
            </w:tcBorders>
            <w:shd w:val="clear" w:color="auto" w:fill="auto"/>
            <w:vAlign w:val="center"/>
          </w:tcPr>
          <w:p w14:paraId="2E84B97C"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34CC91FB"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236" w:type="dxa"/>
            <w:tcBorders>
              <w:top w:val="nil"/>
              <w:bottom w:val="nil"/>
            </w:tcBorders>
            <w:shd w:val="clear" w:color="auto" w:fill="auto"/>
            <w:vAlign w:val="center"/>
          </w:tcPr>
          <w:p w14:paraId="27090C0C"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211FF53D"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620FE692"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r>
      <w:tr w:rsidR="00375569" w:rsidRPr="00CF0D7C" w14:paraId="2B3BFA82"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6FBEB84" w14:textId="77777777" w:rsidR="00375569" w:rsidRPr="00D84B8A" w:rsidRDefault="00375569" w:rsidP="00CB6341">
            <w:pPr>
              <w:pStyle w:val="08-Tabelageral"/>
              <w:jc w:val="left"/>
              <w:rPr>
                <w:szCs w:val="14"/>
              </w:rPr>
            </w:pPr>
            <w:r w:rsidRPr="00D84B8A">
              <w:rPr>
                <w:szCs w:val="14"/>
              </w:rPr>
              <w:t>Valor Adicionado Líquido Produzido pela Entidade</w:t>
            </w:r>
          </w:p>
        </w:tc>
        <w:tc>
          <w:tcPr>
            <w:tcW w:w="691" w:type="dxa"/>
            <w:tcBorders>
              <w:top w:val="nil"/>
              <w:bottom w:val="nil"/>
            </w:tcBorders>
            <w:shd w:val="clear" w:color="auto" w:fill="auto"/>
            <w:vAlign w:val="center"/>
          </w:tcPr>
          <w:p w14:paraId="39871480"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0E2A3B8F"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5.678</w:t>
            </w:r>
          </w:p>
        </w:tc>
        <w:tc>
          <w:tcPr>
            <w:tcW w:w="1239" w:type="dxa"/>
            <w:tcBorders>
              <w:top w:val="nil"/>
              <w:bottom w:val="nil"/>
            </w:tcBorders>
            <w:shd w:val="clear" w:color="auto" w:fill="auto"/>
            <w:vAlign w:val="center"/>
          </w:tcPr>
          <w:p w14:paraId="053B9440"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4.365</w:t>
            </w:r>
          </w:p>
        </w:tc>
        <w:tc>
          <w:tcPr>
            <w:tcW w:w="236" w:type="dxa"/>
            <w:tcBorders>
              <w:top w:val="nil"/>
              <w:bottom w:val="nil"/>
            </w:tcBorders>
            <w:shd w:val="clear" w:color="auto" w:fill="auto"/>
            <w:vAlign w:val="center"/>
          </w:tcPr>
          <w:p w14:paraId="59B310AC"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459383E1" w14:textId="77777777" w:rsidR="00375569" w:rsidRPr="00E539A5" w:rsidRDefault="00375569" w:rsidP="00E539A5">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3.645.481</w:t>
            </w:r>
          </w:p>
        </w:tc>
        <w:tc>
          <w:tcPr>
            <w:tcW w:w="1199" w:type="dxa"/>
            <w:tcBorders>
              <w:top w:val="nil"/>
              <w:bottom w:val="nil"/>
            </w:tcBorders>
            <w:shd w:val="clear" w:color="auto" w:fill="auto"/>
            <w:vAlign w:val="center"/>
          </w:tcPr>
          <w:p w14:paraId="47373012"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3.403.145</w:t>
            </w:r>
          </w:p>
        </w:tc>
      </w:tr>
      <w:tr w:rsidR="00375569" w:rsidRPr="000E70DE" w14:paraId="5DFDBBDA"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37060A25" w14:textId="77777777" w:rsidR="00375569" w:rsidRPr="00D84B8A" w:rsidRDefault="00375569" w:rsidP="00CB6341">
            <w:pPr>
              <w:pStyle w:val="08-Tabelageral"/>
              <w:jc w:val="left"/>
              <w:rPr>
                <w:b w:val="0"/>
                <w:bCs w:val="0"/>
                <w:szCs w:val="14"/>
              </w:rPr>
            </w:pPr>
            <w:r w:rsidRPr="00D84B8A">
              <w:rPr>
                <w:b w:val="0"/>
                <w:bCs w:val="0"/>
                <w:szCs w:val="14"/>
              </w:rPr>
              <w:t> </w:t>
            </w:r>
          </w:p>
        </w:tc>
        <w:tc>
          <w:tcPr>
            <w:tcW w:w="691" w:type="dxa"/>
            <w:tcBorders>
              <w:top w:val="nil"/>
              <w:bottom w:val="nil"/>
            </w:tcBorders>
            <w:shd w:val="clear" w:color="auto" w:fill="auto"/>
            <w:vAlign w:val="center"/>
          </w:tcPr>
          <w:p w14:paraId="7DBFFAC4"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49041C6D"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3DC358BD"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236" w:type="dxa"/>
            <w:tcBorders>
              <w:top w:val="nil"/>
              <w:bottom w:val="nil"/>
            </w:tcBorders>
            <w:shd w:val="clear" w:color="auto" w:fill="auto"/>
            <w:vAlign w:val="center"/>
          </w:tcPr>
          <w:p w14:paraId="0A302E05"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756223BF"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51023D7D" w14:textId="77777777" w:rsidR="00375569" w:rsidRPr="00D84B8A" w:rsidRDefault="00375569" w:rsidP="00CB6341">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r>
      <w:tr w:rsidR="00375569" w:rsidRPr="005F0714" w14:paraId="7BC8B124"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6A1C730F" w14:textId="77777777" w:rsidR="00375569" w:rsidRPr="00D84B8A" w:rsidRDefault="00375569" w:rsidP="00E539A5">
            <w:pPr>
              <w:pStyle w:val="08-Tabelageral"/>
              <w:jc w:val="left"/>
              <w:rPr>
                <w:szCs w:val="14"/>
              </w:rPr>
            </w:pPr>
            <w:r w:rsidRPr="00D84B8A">
              <w:rPr>
                <w:szCs w:val="14"/>
              </w:rPr>
              <w:t>Valor Adicionado Recebido em Transferência</w:t>
            </w:r>
          </w:p>
        </w:tc>
        <w:tc>
          <w:tcPr>
            <w:tcW w:w="691" w:type="dxa"/>
            <w:tcBorders>
              <w:top w:val="nil"/>
              <w:bottom w:val="nil"/>
            </w:tcBorders>
            <w:shd w:val="clear" w:color="auto" w:fill="auto"/>
            <w:vAlign w:val="center"/>
          </w:tcPr>
          <w:p w14:paraId="6076F09F"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bottom"/>
          </w:tcPr>
          <w:p w14:paraId="4DF9EC5C"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3.950.585</w:t>
            </w:r>
          </w:p>
        </w:tc>
        <w:tc>
          <w:tcPr>
            <w:tcW w:w="1239" w:type="dxa"/>
            <w:tcBorders>
              <w:top w:val="nil"/>
              <w:bottom w:val="nil"/>
            </w:tcBorders>
            <w:shd w:val="clear" w:color="auto" w:fill="auto"/>
            <w:vAlign w:val="center"/>
          </w:tcPr>
          <w:p w14:paraId="07ED7525"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3.896.148</w:t>
            </w:r>
          </w:p>
        </w:tc>
        <w:tc>
          <w:tcPr>
            <w:tcW w:w="236" w:type="dxa"/>
            <w:tcBorders>
              <w:top w:val="nil"/>
              <w:bottom w:val="nil"/>
            </w:tcBorders>
            <w:shd w:val="clear" w:color="auto" w:fill="auto"/>
            <w:vAlign w:val="center"/>
          </w:tcPr>
          <w:p w14:paraId="3BB3B940"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52" w:type="dxa"/>
            <w:tcBorders>
              <w:top w:val="nil"/>
              <w:bottom w:val="nil"/>
            </w:tcBorders>
            <w:shd w:val="clear" w:color="auto" w:fill="auto"/>
            <w:vAlign w:val="bottom"/>
          </w:tcPr>
          <w:p w14:paraId="78D6978D"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1.982.094</w:t>
            </w:r>
          </w:p>
        </w:tc>
        <w:tc>
          <w:tcPr>
            <w:tcW w:w="1199" w:type="dxa"/>
            <w:tcBorders>
              <w:top w:val="nil"/>
              <w:bottom w:val="nil"/>
            </w:tcBorders>
            <w:shd w:val="clear" w:color="auto" w:fill="auto"/>
            <w:vAlign w:val="center"/>
          </w:tcPr>
          <w:p w14:paraId="5B80EB1D" w14:textId="77777777" w:rsidR="00375569" w:rsidRPr="00D84B8A" w:rsidRDefault="00375569" w:rsidP="00E539A5">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b/>
              </w:rPr>
              <w:t>2.019.147</w:t>
            </w:r>
          </w:p>
        </w:tc>
      </w:tr>
      <w:tr w:rsidR="00375569" w:rsidRPr="00406B5A" w14:paraId="7C3D4C62"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5D40AAB6" w14:textId="77777777" w:rsidR="00375569" w:rsidRPr="00D84B8A" w:rsidRDefault="00375569" w:rsidP="00E539A5">
            <w:pPr>
              <w:pStyle w:val="08-Tabelageral"/>
              <w:ind w:left="113"/>
              <w:jc w:val="left"/>
              <w:rPr>
                <w:b w:val="0"/>
                <w:szCs w:val="14"/>
              </w:rPr>
            </w:pPr>
            <w:r w:rsidRPr="00D84B8A">
              <w:rPr>
                <w:b w:val="0"/>
                <w:szCs w:val="14"/>
              </w:rPr>
              <w:t>Resultado de investimentos em participações societárias</w:t>
            </w:r>
          </w:p>
        </w:tc>
        <w:tc>
          <w:tcPr>
            <w:tcW w:w="691" w:type="dxa"/>
            <w:tcBorders>
              <w:top w:val="nil"/>
              <w:bottom w:val="nil"/>
            </w:tcBorders>
            <w:shd w:val="clear" w:color="auto" w:fill="auto"/>
            <w:vAlign w:val="center"/>
          </w:tcPr>
          <w:p w14:paraId="14E1F30B"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D84B8A">
              <w:rPr>
                <w:szCs w:val="14"/>
              </w:rPr>
              <w:t>[7.b]</w:t>
            </w:r>
          </w:p>
        </w:tc>
        <w:tc>
          <w:tcPr>
            <w:tcW w:w="1234" w:type="dxa"/>
            <w:tcBorders>
              <w:top w:val="nil"/>
              <w:bottom w:val="nil"/>
            </w:tcBorders>
            <w:shd w:val="clear" w:color="auto" w:fill="auto"/>
            <w:vAlign w:val="bottom"/>
          </w:tcPr>
          <w:p w14:paraId="3B35A831"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3.923.593</w:t>
            </w:r>
          </w:p>
        </w:tc>
        <w:tc>
          <w:tcPr>
            <w:tcW w:w="1239" w:type="dxa"/>
            <w:tcBorders>
              <w:top w:val="nil"/>
              <w:bottom w:val="nil"/>
            </w:tcBorders>
            <w:shd w:val="clear" w:color="auto" w:fill="auto"/>
            <w:vAlign w:val="center"/>
          </w:tcPr>
          <w:p w14:paraId="14822650"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t>3.833.384</w:t>
            </w:r>
          </w:p>
        </w:tc>
        <w:tc>
          <w:tcPr>
            <w:tcW w:w="236" w:type="dxa"/>
            <w:tcBorders>
              <w:top w:val="nil"/>
              <w:bottom w:val="nil"/>
            </w:tcBorders>
            <w:shd w:val="clear" w:color="auto" w:fill="auto"/>
            <w:vAlign w:val="center"/>
          </w:tcPr>
          <w:p w14:paraId="60047B9D"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27072ADA"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1.830.355</w:t>
            </w:r>
          </w:p>
        </w:tc>
        <w:tc>
          <w:tcPr>
            <w:tcW w:w="1199" w:type="dxa"/>
            <w:tcBorders>
              <w:top w:val="nil"/>
              <w:bottom w:val="nil"/>
            </w:tcBorders>
            <w:shd w:val="clear" w:color="auto" w:fill="auto"/>
            <w:vAlign w:val="center"/>
          </w:tcPr>
          <w:p w14:paraId="5903A77D"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t>1.880.490</w:t>
            </w:r>
          </w:p>
        </w:tc>
      </w:tr>
      <w:tr w:rsidR="00375569" w:rsidRPr="00406B5A" w14:paraId="3FCF97EC"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56A853F8" w14:textId="77777777" w:rsidR="00375569" w:rsidRPr="00D84B8A" w:rsidRDefault="00375569" w:rsidP="00E539A5">
            <w:pPr>
              <w:pStyle w:val="08-Tabelageral"/>
              <w:ind w:left="113"/>
              <w:jc w:val="left"/>
              <w:rPr>
                <w:b w:val="0"/>
                <w:szCs w:val="14"/>
              </w:rPr>
            </w:pPr>
            <w:r w:rsidRPr="00D84B8A">
              <w:rPr>
                <w:b w:val="0"/>
                <w:szCs w:val="14"/>
              </w:rPr>
              <w:t>Receitas financeiras</w:t>
            </w:r>
          </w:p>
        </w:tc>
        <w:tc>
          <w:tcPr>
            <w:tcW w:w="691" w:type="dxa"/>
            <w:tcBorders>
              <w:top w:val="nil"/>
              <w:bottom w:val="nil"/>
            </w:tcBorders>
            <w:shd w:val="clear" w:color="auto" w:fill="auto"/>
            <w:vAlign w:val="center"/>
          </w:tcPr>
          <w:p w14:paraId="12AA416A"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D84B8A">
              <w:rPr>
                <w:szCs w:val="14"/>
              </w:rPr>
              <w:t>[14]</w:t>
            </w:r>
          </w:p>
        </w:tc>
        <w:tc>
          <w:tcPr>
            <w:tcW w:w="1234" w:type="dxa"/>
            <w:tcBorders>
              <w:top w:val="nil"/>
              <w:bottom w:val="nil"/>
            </w:tcBorders>
            <w:shd w:val="clear" w:color="auto" w:fill="auto"/>
            <w:vAlign w:val="bottom"/>
          </w:tcPr>
          <w:p w14:paraId="289C3DB3"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26.992</w:t>
            </w:r>
          </w:p>
        </w:tc>
        <w:tc>
          <w:tcPr>
            <w:tcW w:w="1239" w:type="dxa"/>
            <w:tcBorders>
              <w:top w:val="nil"/>
              <w:bottom w:val="nil"/>
            </w:tcBorders>
            <w:shd w:val="clear" w:color="auto" w:fill="auto"/>
            <w:vAlign w:val="center"/>
          </w:tcPr>
          <w:p w14:paraId="0CF7CCBB" w14:textId="77777777" w:rsidR="00375569" w:rsidRPr="00D84B8A" w:rsidRDefault="00375569" w:rsidP="00E539A5">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t>62.764</w:t>
            </w:r>
          </w:p>
        </w:tc>
        <w:tc>
          <w:tcPr>
            <w:tcW w:w="236" w:type="dxa"/>
            <w:tcBorders>
              <w:top w:val="nil"/>
              <w:bottom w:val="nil"/>
            </w:tcBorders>
            <w:shd w:val="clear" w:color="auto" w:fill="auto"/>
            <w:vAlign w:val="center"/>
          </w:tcPr>
          <w:p w14:paraId="1975C71A"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5663E784"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151.739</w:t>
            </w:r>
          </w:p>
        </w:tc>
        <w:tc>
          <w:tcPr>
            <w:tcW w:w="1199" w:type="dxa"/>
            <w:tcBorders>
              <w:top w:val="nil"/>
              <w:bottom w:val="nil"/>
            </w:tcBorders>
            <w:shd w:val="clear" w:color="auto" w:fill="auto"/>
            <w:vAlign w:val="center"/>
          </w:tcPr>
          <w:p w14:paraId="51B5A033"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138.657</w:t>
            </w:r>
          </w:p>
        </w:tc>
      </w:tr>
      <w:tr w:rsidR="00375569" w:rsidRPr="001D6BE8" w14:paraId="7EB57B13"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1A0418F2" w14:textId="77777777" w:rsidR="00375569" w:rsidRPr="00D84B8A" w:rsidRDefault="00375569" w:rsidP="00CB6341">
            <w:pPr>
              <w:pStyle w:val="08-Tabelageral"/>
              <w:jc w:val="left"/>
              <w:rPr>
                <w:b w:val="0"/>
                <w:bCs w:val="0"/>
                <w:szCs w:val="14"/>
              </w:rPr>
            </w:pPr>
            <w:r w:rsidRPr="00D84B8A">
              <w:rPr>
                <w:b w:val="0"/>
                <w:bCs w:val="0"/>
                <w:szCs w:val="14"/>
              </w:rPr>
              <w:t> </w:t>
            </w:r>
          </w:p>
        </w:tc>
        <w:tc>
          <w:tcPr>
            <w:tcW w:w="691" w:type="dxa"/>
            <w:tcBorders>
              <w:top w:val="nil"/>
              <w:bottom w:val="nil"/>
            </w:tcBorders>
            <w:shd w:val="clear" w:color="auto" w:fill="auto"/>
            <w:vAlign w:val="center"/>
          </w:tcPr>
          <w:p w14:paraId="2A3DB815"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1CCBD200"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524411B5"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236" w:type="dxa"/>
            <w:tcBorders>
              <w:top w:val="nil"/>
              <w:bottom w:val="nil"/>
            </w:tcBorders>
            <w:shd w:val="clear" w:color="auto" w:fill="auto"/>
            <w:vAlign w:val="center"/>
          </w:tcPr>
          <w:p w14:paraId="18682014"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52" w:type="dxa"/>
            <w:tcBorders>
              <w:top w:val="nil"/>
              <w:bottom w:val="nil"/>
            </w:tcBorders>
            <w:shd w:val="clear" w:color="auto" w:fill="auto"/>
            <w:vAlign w:val="center"/>
          </w:tcPr>
          <w:p w14:paraId="6DA35224"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2D9315BB"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r>
      <w:tr w:rsidR="00375569" w:rsidRPr="00BA3C79" w14:paraId="3C43189F"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133F876F" w14:textId="77777777" w:rsidR="00375569" w:rsidRPr="00D84B8A" w:rsidRDefault="00375569" w:rsidP="00CB6341">
            <w:pPr>
              <w:pStyle w:val="08-Tabelageral"/>
              <w:jc w:val="left"/>
              <w:rPr>
                <w:szCs w:val="14"/>
              </w:rPr>
            </w:pPr>
            <w:r w:rsidRPr="00D84B8A">
              <w:rPr>
                <w:szCs w:val="14"/>
              </w:rPr>
              <w:t>Valor Adicionado Total a Distribuir</w:t>
            </w:r>
          </w:p>
        </w:tc>
        <w:tc>
          <w:tcPr>
            <w:tcW w:w="691" w:type="dxa"/>
            <w:tcBorders>
              <w:top w:val="nil"/>
              <w:bottom w:val="nil"/>
            </w:tcBorders>
            <w:shd w:val="clear" w:color="auto" w:fill="auto"/>
            <w:vAlign w:val="center"/>
          </w:tcPr>
          <w:p w14:paraId="073B66CC"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0CE35FCD" w14:textId="77777777" w:rsidR="00375569" w:rsidRPr="00102BD4" w:rsidRDefault="00375569" w:rsidP="00102BD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3.956.263</w:t>
            </w:r>
          </w:p>
        </w:tc>
        <w:tc>
          <w:tcPr>
            <w:tcW w:w="1239" w:type="dxa"/>
            <w:tcBorders>
              <w:top w:val="nil"/>
              <w:bottom w:val="nil"/>
            </w:tcBorders>
            <w:shd w:val="clear" w:color="auto" w:fill="auto"/>
            <w:vAlign w:val="center"/>
          </w:tcPr>
          <w:p w14:paraId="09DEFE16"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3.900.513</w:t>
            </w:r>
          </w:p>
        </w:tc>
        <w:tc>
          <w:tcPr>
            <w:tcW w:w="236" w:type="dxa"/>
            <w:tcBorders>
              <w:top w:val="nil"/>
              <w:bottom w:val="nil"/>
            </w:tcBorders>
            <w:shd w:val="clear" w:color="auto" w:fill="auto"/>
            <w:vAlign w:val="center"/>
          </w:tcPr>
          <w:p w14:paraId="4AC657D3" w14:textId="77777777" w:rsidR="00375569" w:rsidRPr="00D84B8A" w:rsidRDefault="00375569" w:rsidP="00CB6341">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52" w:type="dxa"/>
            <w:tcBorders>
              <w:top w:val="nil"/>
              <w:bottom w:val="nil"/>
            </w:tcBorders>
            <w:shd w:val="clear" w:color="auto" w:fill="auto"/>
            <w:vAlign w:val="center"/>
          </w:tcPr>
          <w:p w14:paraId="36241E95" w14:textId="77777777" w:rsidR="00375569" w:rsidRPr="00D84B8A" w:rsidRDefault="00375569" w:rsidP="00E539A5">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5.627.575</w:t>
            </w:r>
          </w:p>
        </w:tc>
        <w:tc>
          <w:tcPr>
            <w:tcW w:w="1199" w:type="dxa"/>
            <w:tcBorders>
              <w:top w:val="nil"/>
              <w:bottom w:val="nil"/>
            </w:tcBorders>
            <w:shd w:val="clear" w:color="auto" w:fill="auto"/>
            <w:vAlign w:val="center"/>
          </w:tcPr>
          <w:p w14:paraId="22B6074F" w14:textId="77777777" w:rsidR="00375569" w:rsidRPr="00D84B8A" w:rsidRDefault="00375569" w:rsidP="00CB6341">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b/>
              </w:rPr>
              <w:t>5.422.292</w:t>
            </w:r>
          </w:p>
        </w:tc>
      </w:tr>
      <w:tr w:rsidR="00375569" w:rsidRPr="001D6BE8" w14:paraId="551C0539"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5146B11" w14:textId="77777777" w:rsidR="00375569" w:rsidRPr="00D84B8A" w:rsidRDefault="00375569" w:rsidP="00CB6341">
            <w:pPr>
              <w:pStyle w:val="08-Tabelageral"/>
              <w:jc w:val="left"/>
              <w:rPr>
                <w:b w:val="0"/>
                <w:bCs w:val="0"/>
                <w:szCs w:val="14"/>
              </w:rPr>
            </w:pPr>
            <w:r w:rsidRPr="00D84B8A">
              <w:rPr>
                <w:b w:val="0"/>
                <w:bCs w:val="0"/>
                <w:szCs w:val="14"/>
              </w:rPr>
              <w:t> </w:t>
            </w:r>
          </w:p>
        </w:tc>
        <w:tc>
          <w:tcPr>
            <w:tcW w:w="691" w:type="dxa"/>
            <w:tcBorders>
              <w:top w:val="nil"/>
              <w:bottom w:val="nil"/>
            </w:tcBorders>
            <w:shd w:val="clear" w:color="auto" w:fill="auto"/>
            <w:vAlign w:val="center"/>
          </w:tcPr>
          <w:p w14:paraId="2B5C6D2E"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34" w:type="dxa"/>
            <w:tcBorders>
              <w:top w:val="nil"/>
              <w:bottom w:val="nil"/>
            </w:tcBorders>
            <w:shd w:val="clear" w:color="auto" w:fill="auto"/>
            <w:vAlign w:val="center"/>
          </w:tcPr>
          <w:p w14:paraId="13D536E2"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39" w:type="dxa"/>
            <w:tcBorders>
              <w:top w:val="nil"/>
              <w:bottom w:val="nil"/>
            </w:tcBorders>
            <w:shd w:val="clear" w:color="auto" w:fill="auto"/>
            <w:vAlign w:val="center"/>
          </w:tcPr>
          <w:p w14:paraId="75A74647"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236" w:type="dxa"/>
            <w:tcBorders>
              <w:top w:val="nil"/>
              <w:bottom w:val="nil"/>
            </w:tcBorders>
            <w:shd w:val="clear" w:color="auto" w:fill="auto"/>
            <w:vAlign w:val="center"/>
          </w:tcPr>
          <w:p w14:paraId="2D400B41"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52" w:type="dxa"/>
            <w:tcBorders>
              <w:top w:val="nil"/>
              <w:bottom w:val="nil"/>
            </w:tcBorders>
            <w:shd w:val="clear" w:color="auto" w:fill="auto"/>
            <w:vAlign w:val="center"/>
          </w:tcPr>
          <w:p w14:paraId="0CFC8107"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99" w:type="dxa"/>
            <w:tcBorders>
              <w:top w:val="nil"/>
              <w:bottom w:val="nil"/>
            </w:tcBorders>
            <w:shd w:val="clear" w:color="auto" w:fill="auto"/>
            <w:vAlign w:val="center"/>
          </w:tcPr>
          <w:p w14:paraId="4DEE96CD" w14:textId="77777777" w:rsidR="00375569" w:rsidRPr="00D84B8A" w:rsidRDefault="00375569" w:rsidP="00CB6341">
            <w:pPr>
              <w:pStyle w:val="08-Tabelageral"/>
              <w:cnfStyle w:val="000000000000" w:firstRow="0" w:lastRow="0" w:firstColumn="0" w:lastColumn="0" w:oddVBand="0" w:evenVBand="0" w:oddHBand="0" w:evenHBand="0" w:firstRowFirstColumn="0" w:firstRowLastColumn="0" w:lastRowFirstColumn="0" w:lastRowLastColumn="0"/>
              <w:rPr>
                <w:szCs w:val="14"/>
              </w:rPr>
            </w:pPr>
          </w:p>
        </w:tc>
      </w:tr>
      <w:tr w:rsidR="00375569" w:rsidRPr="00BA3C79" w14:paraId="688FACA8"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2F0131E0" w14:textId="77777777" w:rsidR="00375569" w:rsidRPr="00D84B8A" w:rsidRDefault="00375569" w:rsidP="00E539A5">
            <w:pPr>
              <w:pStyle w:val="08-Tabelageral"/>
              <w:jc w:val="left"/>
              <w:rPr>
                <w:szCs w:val="14"/>
              </w:rPr>
            </w:pPr>
            <w:r w:rsidRPr="00D84B8A">
              <w:rPr>
                <w:szCs w:val="14"/>
              </w:rPr>
              <w:t>Distribuição do Valor Adicionado</w:t>
            </w:r>
          </w:p>
        </w:tc>
        <w:tc>
          <w:tcPr>
            <w:tcW w:w="691" w:type="dxa"/>
            <w:tcBorders>
              <w:top w:val="nil"/>
              <w:bottom w:val="nil"/>
            </w:tcBorders>
            <w:shd w:val="clear" w:color="auto" w:fill="auto"/>
            <w:vAlign w:val="center"/>
          </w:tcPr>
          <w:p w14:paraId="5BE333DE"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bottom"/>
          </w:tcPr>
          <w:p w14:paraId="3649AF27"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3.956.263</w:t>
            </w:r>
          </w:p>
        </w:tc>
        <w:tc>
          <w:tcPr>
            <w:tcW w:w="1239" w:type="dxa"/>
            <w:tcBorders>
              <w:top w:val="nil"/>
              <w:bottom w:val="nil"/>
            </w:tcBorders>
            <w:shd w:val="clear" w:color="auto" w:fill="auto"/>
            <w:vAlign w:val="center"/>
          </w:tcPr>
          <w:p w14:paraId="43D14D66"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b/>
              </w:rPr>
              <w:t>3.900.513</w:t>
            </w:r>
          </w:p>
        </w:tc>
        <w:tc>
          <w:tcPr>
            <w:tcW w:w="236" w:type="dxa"/>
            <w:tcBorders>
              <w:top w:val="nil"/>
              <w:bottom w:val="nil"/>
            </w:tcBorders>
            <w:shd w:val="clear" w:color="auto" w:fill="auto"/>
            <w:vAlign w:val="center"/>
          </w:tcPr>
          <w:p w14:paraId="4F9320EA"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252" w:type="dxa"/>
            <w:tcBorders>
              <w:top w:val="nil"/>
              <w:bottom w:val="nil"/>
            </w:tcBorders>
            <w:shd w:val="clear" w:color="auto" w:fill="auto"/>
            <w:vAlign w:val="bottom"/>
          </w:tcPr>
          <w:p w14:paraId="5A628932"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5.627.575</w:t>
            </w:r>
          </w:p>
        </w:tc>
        <w:tc>
          <w:tcPr>
            <w:tcW w:w="1199" w:type="dxa"/>
            <w:tcBorders>
              <w:top w:val="nil"/>
              <w:bottom w:val="nil"/>
            </w:tcBorders>
            <w:shd w:val="clear" w:color="auto" w:fill="auto"/>
            <w:vAlign w:val="center"/>
          </w:tcPr>
          <w:p w14:paraId="11363B5A" w14:textId="77777777" w:rsidR="00375569" w:rsidRPr="00D84B8A" w:rsidRDefault="00375569" w:rsidP="00E539A5">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b/>
              </w:rPr>
              <w:t>5.422.292</w:t>
            </w:r>
          </w:p>
        </w:tc>
      </w:tr>
      <w:tr w:rsidR="00375569" w:rsidRPr="00406B5A" w14:paraId="72AED59C"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6ADF9560" w14:textId="77777777" w:rsidR="00375569" w:rsidRPr="00D84B8A" w:rsidRDefault="00375569" w:rsidP="00E539A5">
            <w:pPr>
              <w:pStyle w:val="08-Tabelageral"/>
              <w:ind w:left="113"/>
              <w:jc w:val="left"/>
              <w:rPr>
                <w:b w:val="0"/>
                <w:szCs w:val="14"/>
              </w:rPr>
            </w:pPr>
            <w:r w:rsidRPr="00D84B8A">
              <w:rPr>
                <w:b w:val="0"/>
                <w:szCs w:val="14"/>
              </w:rPr>
              <w:t>Pessoal</w:t>
            </w:r>
          </w:p>
        </w:tc>
        <w:tc>
          <w:tcPr>
            <w:tcW w:w="691" w:type="dxa"/>
            <w:tcBorders>
              <w:top w:val="nil"/>
              <w:bottom w:val="nil"/>
            </w:tcBorders>
            <w:shd w:val="clear" w:color="auto" w:fill="auto"/>
            <w:vAlign w:val="center"/>
          </w:tcPr>
          <w:p w14:paraId="1E7276BE"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D84B8A">
              <w:rPr>
                <w:szCs w:val="14"/>
              </w:rPr>
              <w:t>[10]</w:t>
            </w:r>
          </w:p>
        </w:tc>
        <w:tc>
          <w:tcPr>
            <w:tcW w:w="1234" w:type="dxa"/>
            <w:tcBorders>
              <w:top w:val="nil"/>
              <w:bottom w:val="nil"/>
            </w:tcBorders>
            <w:shd w:val="clear" w:color="auto" w:fill="auto"/>
            <w:vAlign w:val="bottom"/>
          </w:tcPr>
          <w:p w14:paraId="28421C09"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12.167</w:t>
            </w:r>
          </w:p>
        </w:tc>
        <w:tc>
          <w:tcPr>
            <w:tcW w:w="1239" w:type="dxa"/>
            <w:tcBorders>
              <w:top w:val="nil"/>
              <w:bottom w:val="nil"/>
            </w:tcBorders>
            <w:shd w:val="clear" w:color="auto" w:fill="auto"/>
            <w:vAlign w:val="center"/>
          </w:tcPr>
          <w:p w14:paraId="0B3A43EA" w14:textId="77777777" w:rsidR="00375569" w:rsidRPr="00D84B8A" w:rsidRDefault="00375569" w:rsidP="00E539A5">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t>11.602</w:t>
            </w:r>
          </w:p>
        </w:tc>
        <w:tc>
          <w:tcPr>
            <w:tcW w:w="236" w:type="dxa"/>
            <w:tcBorders>
              <w:top w:val="nil"/>
              <w:bottom w:val="nil"/>
            </w:tcBorders>
            <w:shd w:val="clear" w:color="auto" w:fill="auto"/>
            <w:vAlign w:val="center"/>
          </w:tcPr>
          <w:p w14:paraId="554C15CA"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62ECBF8C"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63.114</w:t>
            </w:r>
          </w:p>
        </w:tc>
        <w:tc>
          <w:tcPr>
            <w:tcW w:w="1199" w:type="dxa"/>
            <w:tcBorders>
              <w:top w:val="nil"/>
              <w:bottom w:val="nil"/>
            </w:tcBorders>
            <w:shd w:val="clear" w:color="auto" w:fill="auto"/>
            <w:vAlign w:val="center"/>
          </w:tcPr>
          <w:p w14:paraId="2F7D3D8B"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t>63.893</w:t>
            </w:r>
          </w:p>
        </w:tc>
      </w:tr>
      <w:tr w:rsidR="00375569" w:rsidRPr="00406B5A" w14:paraId="2552DC51"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3845B2E4" w14:textId="77777777" w:rsidR="00375569" w:rsidRPr="00D84B8A" w:rsidRDefault="00375569" w:rsidP="00E539A5">
            <w:pPr>
              <w:pStyle w:val="08-Tabelageral"/>
              <w:ind w:left="113"/>
              <w:jc w:val="left"/>
              <w:rPr>
                <w:b w:val="0"/>
                <w:szCs w:val="14"/>
              </w:rPr>
            </w:pPr>
            <w:r w:rsidRPr="00D84B8A">
              <w:rPr>
                <w:b w:val="0"/>
                <w:szCs w:val="14"/>
              </w:rPr>
              <w:t>Impostos, taxas e contribuições</w:t>
            </w:r>
          </w:p>
        </w:tc>
        <w:tc>
          <w:tcPr>
            <w:tcW w:w="691" w:type="dxa"/>
            <w:tcBorders>
              <w:top w:val="nil"/>
              <w:bottom w:val="nil"/>
            </w:tcBorders>
            <w:shd w:val="clear" w:color="auto" w:fill="auto"/>
            <w:vAlign w:val="center"/>
          </w:tcPr>
          <w:p w14:paraId="64EC99FC"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bottom"/>
          </w:tcPr>
          <w:p w14:paraId="63DC4B7C"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6.788</w:t>
            </w:r>
          </w:p>
        </w:tc>
        <w:tc>
          <w:tcPr>
            <w:tcW w:w="1239" w:type="dxa"/>
            <w:tcBorders>
              <w:top w:val="nil"/>
              <w:bottom w:val="nil"/>
            </w:tcBorders>
            <w:shd w:val="clear" w:color="auto" w:fill="auto"/>
            <w:vAlign w:val="center"/>
          </w:tcPr>
          <w:p w14:paraId="1548C651"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12.671</w:t>
            </w:r>
          </w:p>
        </w:tc>
        <w:tc>
          <w:tcPr>
            <w:tcW w:w="236" w:type="dxa"/>
            <w:tcBorders>
              <w:top w:val="nil"/>
              <w:bottom w:val="nil"/>
            </w:tcBorders>
            <w:shd w:val="clear" w:color="auto" w:fill="auto"/>
            <w:vAlign w:val="center"/>
          </w:tcPr>
          <w:p w14:paraId="23ECC4FA"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4D4D8376"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1.626.729</w:t>
            </w:r>
          </w:p>
        </w:tc>
        <w:tc>
          <w:tcPr>
            <w:tcW w:w="1199" w:type="dxa"/>
            <w:tcBorders>
              <w:top w:val="nil"/>
              <w:bottom w:val="nil"/>
            </w:tcBorders>
            <w:shd w:val="clear" w:color="auto" w:fill="auto"/>
            <w:vAlign w:val="center"/>
          </w:tcPr>
          <w:p w14:paraId="31B91B23" w14:textId="77777777" w:rsidR="00375569" w:rsidRPr="00D84B8A" w:rsidRDefault="00375569" w:rsidP="00E539A5">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t>1.480.121</w:t>
            </w:r>
          </w:p>
        </w:tc>
      </w:tr>
      <w:tr w:rsidR="00375569" w:rsidRPr="00406B5A" w14:paraId="0EE3D1F7"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76DAD7A7" w14:textId="77777777" w:rsidR="00375569" w:rsidRPr="00D84B8A" w:rsidRDefault="00375569" w:rsidP="00E539A5">
            <w:pPr>
              <w:pStyle w:val="08-Tabelageral"/>
              <w:ind w:left="113"/>
              <w:jc w:val="left"/>
              <w:rPr>
                <w:b w:val="0"/>
                <w:szCs w:val="14"/>
              </w:rPr>
            </w:pPr>
            <w:r w:rsidRPr="00D84B8A">
              <w:rPr>
                <w:b w:val="0"/>
                <w:szCs w:val="14"/>
              </w:rPr>
              <w:t>Despesas financeiras</w:t>
            </w:r>
          </w:p>
        </w:tc>
        <w:tc>
          <w:tcPr>
            <w:tcW w:w="691" w:type="dxa"/>
            <w:tcBorders>
              <w:top w:val="nil"/>
              <w:bottom w:val="nil"/>
            </w:tcBorders>
            <w:shd w:val="clear" w:color="auto" w:fill="auto"/>
            <w:vAlign w:val="center"/>
          </w:tcPr>
          <w:p w14:paraId="449025C4"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D84B8A">
              <w:rPr>
                <w:szCs w:val="14"/>
              </w:rPr>
              <w:t>[14]</w:t>
            </w:r>
          </w:p>
        </w:tc>
        <w:tc>
          <w:tcPr>
            <w:tcW w:w="1234" w:type="dxa"/>
            <w:tcBorders>
              <w:top w:val="nil"/>
              <w:bottom w:val="nil"/>
            </w:tcBorders>
            <w:shd w:val="clear" w:color="auto" w:fill="auto"/>
            <w:vAlign w:val="bottom"/>
          </w:tcPr>
          <w:p w14:paraId="6905B308"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4.091</w:t>
            </w:r>
          </w:p>
        </w:tc>
        <w:tc>
          <w:tcPr>
            <w:tcW w:w="1239" w:type="dxa"/>
            <w:tcBorders>
              <w:top w:val="nil"/>
              <w:bottom w:val="nil"/>
            </w:tcBorders>
            <w:shd w:val="clear" w:color="auto" w:fill="auto"/>
            <w:vAlign w:val="center"/>
          </w:tcPr>
          <w:p w14:paraId="1AB22A27" w14:textId="77777777" w:rsidR="00375569" w:rsidRPr="00D84B8A" w:rsidRDefault="00375569" w:rsidP="00E539A5">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t>25.469</w:t>
            </w:r>
          </w:p>
        </w:tc>
        <w:tc>
          <w:tcPr>
            <w:tcW w:w="236" w:type="dxa"/>
            <w:tcBorders>
              <w:top w:val="nil"/>
              <w:bottom w:val="nil"/>
            </w:tcBorders>
            <w:shd w:val="clear" w:color="auto" w:fill="auto"/>
            <w:vAlign w:val="center"/>
          </w:tcPr>
          <w:p w14:paraId="4007D164"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06F8BE27"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4.515</w:t>
            </w:r>
          </w:p>
        </w:tc>
        <w:tc>
          <w:tcPr>
            <w:tcW w:w="1199" w:type="dxa"/>
            <w:tcBorders>
              <w:top w:val="nil"/>
              <w:bottom w:val="nil"/>
            </w:tcBorders>
            <w:shd w:val="clear" w:color="auto" w:fill="auto"/>
            <w:vAlign w:val="center"/>
          </w:tcPr>
          <w:p w14:paraId="0FA382F6" w14:textId="77777777" w:rsidR="00375569" w:rsidRPr="00D84B8A" w:rsidRDefault="00375569" w:rsidP="00E539A5">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t>27.507</w:t>
            </w:r>
          </w:p>
        </w:tc>
      </w:tr>
      <w:tr w:rsidR="00375569" w:rsidRPr="00406B5A" w14:paraId="244B46F4" w14:textId="77777777" w:rsidTr="0072533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nil"/>
            </w:tcBorders>
            <w:shd w:val="clear" w:color="auto" w:fill="auto"/>
            <w:vAlign w:val="center"/>
          </w:tcPr>
          <w:p w14:paraId="54FAA5DB" w14:textId="77777777" w:rsidR="00375569" w:rsidRPr="00D84B8A" w:rsidRDefault="00375569" w:rsidP="00E539A5">
            <w:pPr>
              <w:pStyle w:val="08-Tabelageral"/>
              <w:ind w:left="113"/>
              <w:jc w:val="left"/>
              <w:rPr>
                <w:b w:val="0"/>
                <w:szCs w:val="14"/>
              </w:rPr>
            </w:pPr>
            <w:r w:rsidRPr="00D84B8A">
              <w:rPr>
                <w:rFonts w:cs="Arial"/>
                <w:b w:val="0"/>
                <w:bCs w:val="0"/>
                <w:szCs w:val="14"/>
              </w:rPr>
              <w:t>Remuneração de capital próprio</w:t>
            </w:r>
          </w:p>
        </w:tc>
        <w:tc>
          <w:tcPr>
            <w:tcW w:w="691" w:type="dxa"/>
            <w:tcBorders>
              <w:top w:val="nil"/>
              <w:bottom w:val="nil"/>
            </w:tcBorders>
            <w:shd w:val="clear" w:color="auto" w:fill="auto"/>
            <w:vAlign w:val="center"/>
          </w:tcPr>
          <w:p w14:paraId="2EB99415"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34" w:type="dxa"/>
            <w:tcBorders>
              <w:top w:val="nil"/>
              <w:bottom w:val="nil"/>
            </w:tcBorders>
            <w:shd w:val="clear" w:color="auto" w:fill="auto"/>
            <w:vAlign w:val="bottom"/>
          </w:tcPr>
          <w:p w14:paraId="2072B515"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2.871.248</w:t>
            </w:r>
          </w:p>
        </w:tc>
        <w:tc>
          <w:tcPr>
            <w:tcW w:w="1239" w:type="dxa"/>
            <w:tcBorders>
              <w:top w:val="nil"/>
              <w:bottom w:val="nil"/>
            </w:tcBorders>
            <w:shd w:val="clear" w:color="auto" w:fill="auto"/>
            <w:vAlign w:val="center"/>
          </w:tcPr>
          <w:p w14:paraId="6B99BD18" w14:textId="77777777" w:rsidR="00375569" w:rsidRPr="00D84B8A" w:rsidRDefault="00375569" w:rsidP="00E539A5">
            <w:pPr>
              <w:pStyle w:val="08-Tabelageral"/>
              <w:spacing w:line="276" w:lineRule="auto"/>
              <w:cnfStyle w:val="000000100000" w:firstRow="0" w:lastRow="0" w:firstColumn="0" w:lastColumn="0" w:oddVBand="0" w:evenVBand="0" w:oddHBand="1" w:evenHBand="0" w:firstRowFirstColumn="0" w:firstRowLastColumn="0" w:lastRowFirstColumn="0" w:lastRowLastColumn="0"/>
              <w:rPr>
                <w:szCs w:val="14"/>
              </w:rPr>
            </w:pPr>
            <w:r>
              <w:t>2.695.540</w:t>
            </w:r>
          </w:p>
        </w:tc>
        <w:tc>
          <w:tcPr>
            <w:tcW w:w="236" w:type="dxa"/>
            <w:tcBorders>
              <w:top w:val="nil"/>
              <w:bottom w:val="nil"/>
            </w:tcBorders>
            <w:shd w:val="clear" w:color="auto" w:fill="auto"/>
            <w:vAlign w:val="center"/>
          </w:tcPr>
          <w:p w14:paraId="03F83317"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52" w:type="dxa"/>
            <w:tcBorders>
              <w:top w:val="nil"/>
              <w:bottom w:val="nil"/>
            </w:tcBorders>
            <w:shd w:val="clear" w:color="auto" w:fill="auto"/>
            <w:vAlign w:val="bottom"/>
          </w:tcPr>
          <w:p w14:paraId="63CCA616" w14:textId="77777777" w:rsidR="00375569" w:rsidRPr="00D84B8A" w:rsidRDefault="00375569" w:rsidP="00E539A5">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2.871.248</w:t>
            </w:r>
          </w:p>
        </w:tc>
        <w:tc>
          <w:tcPr>
            <w:tcW w:w="1199" w:type="dxa"/>
            <w:tcBorders>
              <w:top w:val="nil"/>
              <w:bottom w:val="nil"/>
            </w:tcBorders>
            <w:shd w:val="clear" w:color="auto" w:fill="auto"/>
            <w:vAlign w:val="center"/>
          </w:tcPr>
          <w:p w14:paraId="3D0C84B1" w14:textId="77777777" w:rsidR="00375569" w:rsidRPr="00D84B8A" w:rsidRDefault="00375569" w:rsidP="00E539A5">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t>2.695.540</w:t>
            </w:r>
          </w:p>
        </w:tc>
      </w:tr>
      <w:tr w:rsidR="00375569" w:rsidRPr="00406B5A" w14:paraId="63BBBF71" w14:textId="77777777" w:rsidTr="00725333">
        <w:trPr>
          <w:trHeight w:val="238"/>
          <w:jc w:val="center"/>
        </w:trPr>
        <w:tc>
          <w:tcPr>
            <w:cnfStyle w:val="001000000000" w:firstRow="0" w:lastRow="0" w:firstColumn="1" w:lastColumn="0" w:oddVBand="0" w:evenVBand="0" w:oddHBand="0" w:evenHBand="0" w:firstRowFirstColumn="0" w:firstRowLastColumn="0" w:lastRowFirstColumn="0" w:lastRowLastColumn="0"/>
            <w:tcW w:w="3788" w:type="dxa"/>
            <w:tcBorders>
              <w:top w:val="nil"/>
              <w:bottom w:val="single" w:sz="2" w:space="0" w:color="1F4E79" w:themeColor="accent1" w:themeShade="80"/>
            </w:tcBorders>
            <w:shd w:val="clear" w:color="auto" w:fill="auto"/>
            <w:vAlign w:val="center"/>
          </w:tcPr>
          <w:p w14:paraId="76EDD182" w14:textId="77777777" w:rsidR="00375569" w:rsidRPr="00D84B8A" w:rsidRDefault="00375569" w:rsidP="00E539A5">
            <w:pPr>
              <w:pStyle w:val="08-Tabelageral"/>
              <w:ind w:left="113"/>
              <w:jc w:val="left"/>
              <w:rPr>
                <w:b w:val="0"/>
                <w:szCs w:val="14"/>
              </w:rPr>
            </w:pPr>
            <w:r w:rsidRPr="00D84B8A">
              <w:rPr>
                <w:b w:val="0"/>
                <w:szCs w:val="14"/>
              </w:rPr>
              <w:t xml:space="preserve">Lucros retidos no </w:t>
            </w:r>
            <w:r>
              <w:rPr>
                <w:b w:val="0"/>
                <w:szCs w:val="14"/>
              </w:rPr>
              <w:t>exercício</w:t>
            </w:r>
          </w:p>
        </w:tc>
        <w:tc>
          <w:tcPr>
            <w:tcW w:w="691" w:type="dxa"/>
            <w:tcBorders>
              <w:top w:val="nil"/>
              <w:bottom w:val="single" w:sz="2" w:space="0" w:color="1F4E79" w:themeColor="accent1" w:themeShade="80"/>
            </w:tcBorders>
            <w:shd w:val="clear" w:color="auto" w:fill="auto"/>
            <w:vAlign w:val="center"/>
          </w:tcPr>
          <w:p w14:paraId="1C8B6463"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34" w:type="dxa"/>
            <w:tcBorders>
              <w:top w:val="nil"/>
              <w:bottom w:val="single" w:sz="2" w:space="0" w:color="1F4E79" w:themeColor="accent1" w:themeShade="80"/>
            </w:tcBorders>
            <w:shd w:val="clear" w:color="auto" w:fill="auto"/>
            <w:vAlign w:val="bottom"/>
          </w:tcPr>
          <w:p w14:paraId="2A96DCB1"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1.061.969</w:t>
            </w:r>
          </w:p>
        </w:tc>
        <w:tc>
          <w:tcPr>
            <w:tcW w:w="1239" w:type="dxa"/>
            <w:tcBorders>
              <w:top w:val="nil"/>
              <w:bottom w:val="single" w:sz="2" w:space="0" w:color="1F4E79" w:themeColor="accent1" w:themeShade="80"/>
            </w:tcBorders>
            <w:shd w:val="clear" w:color="auto" w:fill="auto"/>
            <w:vAlign w:val="center"/>
          </w:tcPr>
          <w:p w14:paraId="789D4B03" w14:textId="77777777" w:rsidR="00375569" w:rsidRPr="00D84B8A" w:rsidRDefault="00375569" w:rsidP="00E539A5">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t>1.155.231</w:t>
            </w:r>
          </w:p>
        </w:tc>
        <w:tc>
          <w:tcPr>
            <w:tcW w:w="236" w:type="dxa"/>
            <w:tcBorders>
              <w:top w:val="nil"/>
              <w:bottom w:val="single" w:sz="2" w:space="0" w:color="1F4E79" w:themeColor="accent1" w:themeShade="80"/>
            </w:tcBorders>
            <w:shd w:val="clear" w:color="auto" w:fill="auto"/>
            <w:vAlign w:val="center"/>
          </w:tcPr>
          <w:p w14:paraId="4553B4B1"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52" w:type="dxa"/>
            <w:tcBorders>
              <w:top w:val="nil"/>
              <w:bottom w:val="single" w:sz="2" w:space="0" w:color="1F4E79" w:themeColor="accent1" w:themeShade="80"/>
            </w:tcBorders>
            <w:shd w:val="clear" w:color="auto" w:fill="auto"/>
            <w:vAlign w:val="bottom"/>
          </w:tcPr>
          <w:p w14:paraId="3747B4DB" w14:textId="77777777" w:rsidR="00375569" w:rsidRPr="00D84B8A" w:rsidRDefault="00375569" w:rsidP="00E539A5">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1.061.969</w:t>
            </w:r>
          </w:p>
        </w:tc>
        <w:tc>
          <w:tcPr>
            <w:tcW w:w="1199" w:type="dxa"/>
            <w:tcBorders>
              <w:top w:val="nil"/>
              <w:bottom w:val="single" w:sz="2" w:space="0" w:color="1F4E79" w:themeColor="accent1" w:themeShade="80"/>
            </w:tcBorders>
            <w:shd w:val="clear" w:color="auto" w:fill="auto"/>
            <w:vAlign w:val="center"/>
          </w:tcPr>
          <w:p w14:paraId="54F20522" w14:textId="77777777" w:rsidR="00375569" w:rsidRPr="00D84B8A" w:rsidRDefault="00375569" w:rsidP="00E539A5">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t>1.155.231</w:t>
            </w:r>
          </w:p>
        </w:tc>
      </w:tr>
    </w:tbl>
    <w:p w14:paraId="34AC46F1" w14:textId="77777777" w:rsidR="00375569" w:rsidRDefault="00375569">
      <w:pPr>
        <w:rPr>
          <w:rFonts w:cs="Arial"/>
          <w:sz w:val="14"/>
          <w:szCs w:val="14"/>
        </w:rPr>
      </w:pPr>
      <w:r w:rsidRPr="00E16BE7">
        <w:rPr>
          <w:rFonts w:cs="Arial"/>
          <w:sz w:val="14"/>
          <w:szCs w:val="14"/>
        </w:rPr>
        <w:t>As notas explicativas são parte integrante das demonstrações contábeis</w:t>
      </w:r>
      <w:bookmarkEnd w:id="10"/>
      <w:r>
        <w:rPr>
          <w:rFonts w:cs="Arial"/>
          <w:sz w:val="14"/>
          <w:szCs w:val="14"/>
        </w:rPr>
        <w:t>.</w:t>
      </w:r>
    </w:p>
    <w:p w14:paraId="0A0B9FA8" w14:textId="21DDB142" w:rsidR="00822FBD" w:rsidRPr="00FC723F" w:rsidRDefault="00822FBD" w:rsidP="00565150">
      <w:pPr>
        <w:rPr>
          <w:rFonts w:cs="Arial"/>
          <w:b/>
          <w:spacing w:val="-2"/>
          <w:sz w:val="20"/>
        </w:rPr>
      </w:pPr>
    </w:p>
    <w:p w14:paraId="1889960C" w14:textId="77777777" w:rsidR="00822FBD" w:rsidRPr="00FC723F" w:rsidRDefault="00822FBD">
      <w:pPr>
        <w:rPr>
          <w:rFonts w:cs="Arial"/>
          <w:b/>
          <w:spacing w:val="-2"/>
          <w:sz w:val="20"/>
        </w:rPr>
      </w:pPr>
      <w:r w:rsidRPr="00FC723F">
        <w:rPr>
          <w:rFonts w:cs="Arial"/>
          <w:b/>
          <w:spacing w:val="-2"/>
          <w:sz w:val="20"/>
        </w:rPr>
        <w:br w:type="page"/>
      </w:r>
    </w:p>
    <w:p w14:paraId="01E36B14" w14:textId="6FE5950D" w:rsidR="00F002FA" w:rsidRDefault="007E0D51" w:rsidP="00F002FA">
      <w:pPr>
        <w:pStyle w:val="02-TtulodeNota"/>
        <w:rPr>
          <w:rFonts w:cs="Arial"/>
          <w:color w:val="1F4E79" w:themeColor="accent1" w:themeShade="80"/>
        </w:rPr>
      </w:pPr>
      <w:bookmarkStart w:id="23" w:name="_Toc36837274"/>
      <w:bookmarkStart w:id="24" w:name="_Toc38540203"/>
      <w:bookmarkStart w:id="25" w:name="_Toc38541844"/>
      <w:bookmarkStart w:id="26" w:name="_Toc38563618"/>
      <w:bookmarkStart w:id="27" w:name="_Hlk38563812"/>
      <w:bookmarkStart w:id="28" w:name="_Toc31905827"/>
      <w:bookmarkStart w:id="29" w:name="_Toc31906653"/>
      <w:bookmarkStart w:id="30" w:name="_Toc94861058"/>
      <w:r w:rsidRPr="00FC723F">
        <w:rPr>
          <w:rFonts w:cs="Arial"/>
          <w:color w:val="1F4E79" w:themeColor="accent1" w:themeShade="80"/>
        </w:rPr>
        <w:lastRenderedPageBreak/>
        <w:t>NOTAS EXPLICATIVAS ÀS DEMONSTRAÇÕES CONTÁBEIS</w:t>
      </w:r>
      <w:bookmarkEnd w:id="23"/>
      <w:bookmarkEnd w:id="24"/>
      <w:bookmarkEnd w:id="25"/>
      <w:bookmarkEnd w:id="26"/>
      <w:bookmarkEnd w:id="27"/>
      <w:bookmarkEnd w:id="28"/>
      <w:bookmarkEnd w:id="29"/>
      <w:bookmarkEnd w:id="30"/>
    </w:p>
    <w:p w14:paraId="22231B16" w14:textId="77777777" w:rsidR="00EA249D" w:rsidRPr="00AE28A4" w:rsidRDefault="00EA249D" w:rsidP="00C65C62">
      <w:pPr>
        <w:pStyle w:val="01-Textonormal"/>
      </w:pPr>
    </w:p>
    <w:p w14:paraId="3045B703" w14:textId="076AA8E3" w:rsidR="00D04B44" w:rsidRPr="00D04B44" w:rsidRDefault="00D04B44" w:rsidP="00D04B44">
      <w:pPr>
        <w:pStyle w:val="02-TtulodeNota"/>
        <w:rPr>
          <w:color w:val="1F4E79" w:themeColor="accent1" w:themeShade="80"/>
        </w:rPr>
      </w:pPr>
      <w:bookmarkStart w:id="31" w:name="_Toc94861059"/>
      <w:r w:rsidRPr="00D04B44">
        <w:rPr>
          <w:color w:val="1F4E79" w:themeColor="accent1" w:themeShade="80"/>
        </w:rPr>
        <w:t>1 – CONTEXTO OPERACIONAL</w:t>
      </w:r>
      <w:bookmarkEnd w:id="31"/>
    </w:p>
    <w:p w14:paraId="7D8AC647" w14:textId="77777777" w:rsidR="00D04B44" w:rsidRPr="00C84948" w:rsidRDefault="00D04B44" w:rsidP="00B53A20">
      <w:pPr>
        <w:pStyle w:val="05-Textonormal"/>
      </w:pPr>
      <w:r w:rsidRPr="00C84948">
        <w:t>A BB Seguridade Participações S.A. (“BB Seguridade” ou “Companhia”) é uma empresa de participações (</w:t>
      </w:r>
      <w:r w:rsidRPr="00C84948">
        <w:rPr>
          <w:i/>
          <w:iCs/>
        </w:rPr>
        <w:t>holding</w:t>
      </w:r>
      <w:r w:rsidRPr="00C84948">
        <w:t>) controlada pelo Banco do Brasil S.A., constituída em 20 de dezembro de 2012, e que atua em negócios de seguridade. É uma sociedade anônima de capital aberto e tem suas ações negociadas no segmento Novo Mercado da B3 S.A. - Brasil, Bolsa, Balcão, sob o código “BBSE3”</w:t>
      </w:r>
      <w:r>
        <w:t>,</w:t>
      </w:r>
      <w:r w:rsidRPr="00C84948">
        <w:t xml:space="preserve"> e suas ADRs (</w:t>
      </w:r>
      <w:r w:rsidRPr="00C84948">
        <w:rPr>
          <w:i/>
        </w:rPr>
        <w:t xml:space="preserve">American </w:t>
      </w:r>
      <w:r w:rsidRPr="00946D16">
        <w:rPr>
          <w:i/>
          <w:lang w:val="en-US"/>
        </w:rPr>
        <w:t>Depositary</w:t>
      </w:r>
      <w:r w:rsidRPr="00C84948">
        <w:rPr>
          <w:i/>
        </w:rPr>
        <w:t xml:space="preserve"> </w:t>
      </w:r>
      <w:r w:rsidRPr="00946D16">
        <w:rPr>
          <w:i/>
          <w:lang w:val="en-US"/>
        </w:rPr>
        <w:t>Receipts</w:t>
      </w:r>
      <w:r w:rsidRPr="00C84948">
        <w:t>) no mercado de balcão dos Estados Unidos da América (</w:t>
      </w:r>
      <w:r w:rsidRPr="00C84948">
        <w:rPr>
          <w:i/>
        </w:rPr>
        <w:t>Over-</w:t>
      </w:r>
      <w:r w:rsidRPr="00946D16">
        <w:rPr>
          <w:i/>
          <w:lang w:val="en-US"/>
        </w:rPr>
        <w:t>the</w:t>
      </w:r>
      <w:r w:rsidRPr="00C84948">
        <w:rPr>
          <w:i/>
        </w:rPr>
        <w:t>-</w:t>
      </w:r>
      <w:r w:rsidRPr="00946D16">
        <w:rPr>
          <w:i/>
          <w:lang w:val="en-US"/>
        </w:rPr>
        <w:t>Counter</w:t>
      </w:r>
      <w:r w:rsidRPr="00C84948">
        <w:t>) sob o código “BBSEY”.</w:t>
      </w:r>
    </w:p>
    <w:p w14:paraId="4FE5957B" w14:textId="77777777" w:rsidR="00D04B44" w:rsidRPr="00C84948" w:rsidRDefault="00D04B44" w:rsidP="00B53A20">
      <w:pPr>
        <w:pStyle w:val="05-Textonormal"/>
      </w:pPr>
      <w:r w:rsidRPr="00C84948">
        <w:t xml:space="preserve">Está inscrita </w:t>
      </w:r>
      <w:r>
        <w:t>n</w:t>
      </w:r>
      <w:r w:rsidRPr="00C84948">
        <w:t xml:space="preserve">o CNPJ </w:t>
      </w:r>
      <w:r>
        <w:t xml:space="preserve">sob o </w:t>
      </w:r>
      <w:r w:rsidRPr="00C84948">
        <w:t>nº 17.344.597/0001-94 e sediada no Setor de Autarquias Norte, Quadra 05, Lote B, Torre Sul, 3º Andar, Edifício Banco do Brasil, Asa Norte, Brasília, Distrito Federal, Brasil.</w:t>
      </w:r>
    </w:p>
    <w:p w14:paraId="35A45F55" w14:textId="77777777" w:rsidR="00D04B44" w:rsidRPr="00C84948" w:rsidRDefault="00D04B44" w:rsidP="00B53A20">
      <w:pPr>
        <w:pStyle w:val="05-Textonormal"/>
      </w:pPr>
      <w:r w:rsidRPr="00C84948">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7DEA1CF0" w14:textId="77777777" w:rsidR="00D04B44" w:rsidRPr="00C84948" w:rsidRDefault="00D04B44" w:rsidP="00B53A20">
      <w:pPr>
        <w:pStyle w:val="05-Textonormal"/>
      </w:pPr>
      <w:r w:rsidRPr="00C84948">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196513F5" w14:textId="77777777" w:rsidR="00D04B44" w:rsidRPr="00C84948" w:rsidRDefault="00D04B44" w:rsidP="00B53A20">
      <w:pPr>
        <w:pStyle w:val="05-Textonormal"/>
      </w:pPr>
      <w:r w:rsidRPr="00C84948">
        <w:t>Tais participações estão, atualmente, organizadas em dois segmentos: negócios de risco e acumulação, que operam produtos de seguros, previdência aberta, capitalização e planos de assistência odontológica por meio da BB Seguros com parceiros privados; e negócios de distribuição, que comercializa seguros, previdência aberta, tí</w:t>
      </w:r>
      <w:r>
        <w:t xml:space="preserve">tulos de capitalização e planos </w:t>
      </w:r>
      <w:r w:rsidRPr="00C84948">
        <w:t>privados de assistência odontológica, por meio da BB Corretora, além de investida que atua na distribuição de produtos de seguridade por meio de canais digitais.</w:t>
      </w:r>
    </w:p>
    <w:p w14:paraId="55BB5FB7" w14:textId="77777777" w:rsidR="00D04B44" w:rsidRDefault="00D04B44" w:rsidP="00B53A20">
      <w:pPr>
        <w:pStyle w:val="05-Textonormal"/>
      </w:pPr>
      <w:r w:rsidRPr="00C84948">
        <w:t>Contando com a rede de distribuição do Banco do Brasil como o principal canal de comercialização de um</w:t>
      </w:r>
      <w:r>
        <w:t>a</w:t>
      </w:r>
      <w:r w:rsidRPr="00C84948">
        <w:t xml:space="preserve"> </w:t>
      </w:r>
      <w:r>
        <w:t>carteira</w:t>
      </w:r>
      <w:r w:rsidRPr="00C84948">
        <w:t xml:space="preserve"> complet</w:t>
      </w:r>
      <w:r>
        <w:t>a</w:t>
      </w:r>
      <w:r w:rsidRPr="00C84948">
        <w:t xml:space="preserve"> de produtos com a intermediação de uma corretora própria, a BB Seguridade ocupa hoje posição de destaque no mercado em todos os segmentos em que está presente.</w:t>
      </w:r>
    </w:p>
    <w:p w14:paraId="1053D4C9" w14:textId="77777777" w:rsidR="00D04B44" w:rsidRPr="00B33A0C" w:rsidRDefault="00D04B44" w:rsidP="00B53A20">
      <w:pPr>
        <w:spacing w:before="120" w:after="120"/>
        <w:jc w:val="both"/>
        <w:rPr>
          <w:rFonts w:cs="Arial"/>
          <w:szCs w:val="18"/>
        </w:rPr>
      </w:pPr>
      <w:r w:rsidRPr="00B33A0C">
        <w:rPr>
          <w:rFonts w:cs="Arial"/>
          <w:szCs w:val="18"/>
        </w:rPr>
        <w:t>Desde o início da atual conjuntura, decorrente da pandemia causada pela Covid-19, foram executadas mais de 30 iniciativas com envolvimento de praticamente toda a Companhia, mediante plano específico de enfrentamento à Covid</w:t>
      </w:r>
      <w:r w:rsidRPr="00B33A0C">
        <w:rPr>
          <w:rFonts w:cs="Arial"/>
          <w:szCs w:val="18"/>
        </w:rPr>
        <w:noBreakHyphen/>
        <w:t>19, sustentado sob os pilares de foco extremo, processo decisório ágil e comunicação tempestiva.</w:t>
      </w:r>
    </w:p>
    <w:p w14:paraId="7B16ECAC" w14:textId="77777777" w:rsidR="00D04B44" w:rsidRPr="00385541" w:rsidRDefault="00D04B44" w:rsidP="00B53A20">
      <w:pPr>
        <w:spacing w:before="120" w:after="120"/>
        <w:jc w:val="both"/>
        <w:rPr>
          <w:rFonts w:cs="Arial"/>
          <w:szCs w:val="18"/>
        </w:rPr>
      </w:pPr>
      <w:r w:rsidRPr="00385541">
        <w:rPr>
          <w:rFonts w:cs="Arial"/>
          <w:szCs w:val="18"/>
        </w:rPr>
        <w:t xml:space="preserve">A atual estrutura organizacional da Companhia continua sendo aprimorada para garantir maior ênfase às iniciativas digitais, visando capturar oportunidades decorrentes da aceleração da migração dos consumidores para ambientes </w:t>
      </w:r>
      <w:r w:rsidRPr="00385541">
        <w:rPr>
          <w:rFonts w:cs="Arial"/>
          <w:i/>
          <w:iCs/>
          <w:szCs w:val="18"/>
        </w:rPr>
        <w:t>online</w:t>
      </w:r>
      <w:r w:rsidRPr="00385541">
        <w:rPr>
          <w:rFonts w:cs="Arial"/>
          <w:szCs w:val="18"/>
        </w:rPr>
        <w:t>.</w:t>
      </w:r>
    </w:p>
    <w:p w14:paraId="39827187" w14:textId="77777777" w:rsidR="00D04B44" w:rsidRPr="00B33A0C" w:rsidRDefault="00D04B44" w:rsidP="00B53A20">
      <w:pPr>
        <w:pStyle w:val="05-Textonormal"/>
      </w:pPr>
      <w:r w:rsidRPr="00B33A0C">
        <w:t>Tomar as medidas que sustentem nosso negócio atual, enquanto mantemos o olhar para o novo normal, completam a atuação da Companhia no enfrentamento dos efeitos decorrentes da pandemia. Priorizamos a geração de receitas com negócios mais aderentes e menos impactados pela situação, garantindo que entregas estratégicas de tecnologia não percam o ritmo, além de acelerarmos projetos com alto potencial para capturar oportunidades de mercado.</w:t>
      </w:r>
    </w:p>
    <w:p w14:paraId="5C4A2960" w14:textId="77777777" w:rsidR="00D04B44" w:rsidRPr="00B33A0C" w:rsidRDefault="00D04B44" w:rsidP="00286564">
      <w:pPr>
        <w:pStyle w:val="05-Textonormal"/>
      </w:pPr>
      <w:r w:rsidRPr="00B33A0C">
        <w:t>Dessa forma, a Companhia continua monitorando e avaliando os cenários que possam vir a afetar suas operações, com avaliação diária da situação, atualização das medidas preventivas e ações de minimização de riscos e coordenação da execução de planos de ação no Grupo Coordenador de Continuidade.</w:t>
      </w:r>
    </w:p>
    <w:p w14:paraId="24221FD8" w14:textId="77777777" w:rsidR="00D04B44" w:rsidRPr="00B33A0C" w:rsidRDefault="00D04B44" w:rsidP="00B53A20">
      <w:pPr>
        <w:pStyle w:val="05-Textonormal"/>
      </w:pPr>
      <w:r w:rsidRPr="00B33A0C">
        <w:t xml:space="preserve">Além disso, a BB Seguridade continua adotando medidas para mitigar os impactos decorrentes da pandemia, com o objetivo de manter a segurança dos seus colaboradores, colaborar com a sociedade e com as autoridades na contenção do vírus e dar continuidade às suas operações, tais como a manutenção dos treinamentos e eventos corporativos não presenciais e da realização de reuniões internas e externas por meio de teleconferência e videoconferência. A Companhia adotou também, desde o segundo trimestre de 2020, o trabalho remoto na modalidade </w:t>
      </w:r>
      <w:r w:rsidRPr="00B33A0C">
        <w:rPr>
          <w:i/>
        </w:rPr>
        <w:t>home office</w:t>
      </w:r>
      <w:r w:rsidRPr="00B33A0C">
        <w:t>, com a execução regular de todos os processos da base corporativa.</w:t>
      </w:r>
    </w:p>
    <w:p w14:paraId="4C2C5E63" w14:textId="77777777" w:rsidR="00D04B44" w:rsidRPr="00385541" w:rsidRDefault="00D04B44" w:rsidP="003332CD">
      <w:pPr>
        <w:pStyle w:val="05-Textonormal"/>
      </w:pPr>
      <w:r w:rsidRPr="00385541">
        <w:t>A Companhia elaborou Plano de Retorno ao Escritório no decorrer do 2º trimestre de 2020, que foi continuamente aprimorado e acompanhado ao longo do 4º trimestre de 2021, com o objetivo de garantir um ambiente de trabalho seguro e tranquilo para os funcionários no retorno às atividades nos escritórios da BB Seguridade, assegurando, dessa forma, a continuidade dos negócios.</w:t>
      </w:r>
    </w:p>
    <w:p w14:paraId="5D2DC94A" w14:textId="77777777" w:rsidR="00D04B44" w:rsidRPr="003D77DC" w:rsidRDefault="00D04B44" w:rsidP="003332CD">
      <w:pPr>
        <w:pStyle w:val="05-Textonormal"/>
      </w:pPr>
      <w:r w:rsidRPr="003D77DC">
        <w:t>Continuam sendo acompanhados pela Diretoria Executiva da Companhia os indicadores de média móvel de casos, ocupação dos leitos de UTI, taxa de transmissibilidade e evolução do Programa Nacional de Imunização.</w:t>
      </w:r>
    </w:p>
    <w:p w14:paraId="4090071B" w14:textId="77777777" w:rsidR="00D04B44" w:rsidRPr="00B33A0C" w:rsidRDefault="00D04B44" w:rsidP="003332CD">
      <w:pPr>
        <w:pStyle w:val="05-Textonormal"/>
      </w:pPr>
      <w:r w:rsidRPr="00385541">
        <w:t>Considerando a evolução deste último indicador e a redução dos demais até o final do 4º trimestre de 2021, a BB Seguridade concluiu o retorno gradual ao trabalho presencial dos colaboradores em dezembro de 2021. Os escritórios de Brasília e São Paulo foram adequados para reocupação e sinalizados com as orientações acerca das regras de distanciamento social, higiene e demais determinações das autoridades competentes.</w:t>
      </w:r>
    </w:p>
    <w:p w14:paraId="706D6DDF" w14:textId="77777777" w:rsidR="00D04B44" w:rsidRPr="00B33A0C" w:rsidRDefault="00D04B44" w:rsidP="00B53A20">
      <w:pPr>
        <w:pStyle w:val="05-Textonormal"/>
        <w:rPr>
          <w:rFonts w:eastAsia="MS Mincho" w:cs="Arial"/>
          <w:spacing w:val="0"/>
          <w:lang w:eastAsia="en-US"/>
        </w:rPr>
      </w:pPr>
      <w:r w:rsidRPr="00B33A0C">
        <w:rPr>
          <w:rFonts w:eastAsia="MS Mincho" w:cs="Arial"/>
          <w:spacing w:val="0"/>
          <w:lang w:eastAsia="en-US"/>
        </w:rPr>
        <w:lastRenderedPageBreak/>
        <w:t xml:space="preserve">Mesmo com a retomada das atividades presenciais nos escritórios, as ações corporativas de apoio à saúde mental e atividade física, </w:t>
      </w:r>
      <w:r w:rsidRPr="00B33A0C">
        <w:rPr>
          <w:rFonts w:cs="Arial"/>
        </w:rPr>
        <w:t>ofertadas na modalidade remota,</w:t>
      </w:r>
      <w:r w:rsidRPr="00B33A0C">
        <w:rPr>
          <w:rFonts w:eastAsia="MS Mincho" w:cs="Arial"/>
          <w:spacing w:val="0"/>
          <w:lang w:eastAsia="en-US"/>
        </w:rPr>
        <w:t xml:space="preserve"> continuam sendo disponibilizadas e reforçadas, continuamente, pela Companhia.</w:t>
      </w:r>
    </w:p>
    <w:p w14:paraId="311D06C3" w14:textId="77777777" w:rsidR="00D04B44" w:rsidRPr="00DD5C8A" w:rsidRDefault="00D04B44" w:rsidP="00B53A20">
      <w:pPr>
        <w:pStyle w:val="05-Textonormal"/>
        <w:rPr>
          <w:rFonts w:cs="Arial"/>
        </w:rPr>
      </w:pPr>
      <w:r w:rsidRPr="00B33A0C">
        <w:t>Continuamos entendendo que a BB Seguridade detém a força de trabalho adequada e a liquidez necessária para ultrapassar o desafio da melhor maneira possível. O monitoramento dos possíveis riscos inerentes à pandemia que possam afetar a empresa, a logística e os colaboradores e clientes estão abordados na Nota Explicativa 5 - G</w:t>
      </w:r>
      <w:r w:rsidRPr="00B33A0C">
        <w:rPr>
          <w:rFonts w:cs="Arial"/>
        </w:rPr>
        <w:t>ERENCIAMENTO DE RISCOS.</w:t>
      </w:r>
    </w:p>
    <w:p w14:paraId="6FF197EF" w14:textId="47EDC350" w:rsidR="00EA249D" w:rsidRPr="00AE28A4" w:rsidRDefault="00EA249D" w:rsidP="00C65C62">
      <w:pPr>
        <w:pStyle w:val="01-Textonormal"/>
      </w:pPr>
    </w:p>
    <w:p w14:paraId="3B097653" w14:textId="50076D02" w:rsidR="007D1BF4" w:rsidRPr="007D1BF4" w:rsidRDefault="007D1BF4" w:rsidP="007D1BF4">
      <w:pPr>
        <w:pStyle w:val="02-TtulodeNota"/>
        <w:rPr>
          <w:color w:val="1F4E79" w:themeColor="accent1" w:themeShade="80"/>
        </w:rPr>
      </w:pPr>
      <w:bookmarkStart w:id="32" w:name="_Toc94861060"/>
      <w:r w:rsidRPr="007D1BF4">
        <w:rPr>
          <w:color w:val="1F4E79" w:themeColor="accent1" w:themeShade="80"/>
        </w:rPr>
        <w:t>2 – AQUISIÇÕES, VENDAS E REESTRUTURAÇÕES SOCIETÁRIAS</w:t>
      </w:r>
      <w:bookmarkEnd w:id="32"/>
    </w:p>
    <w:p w14:paraId="750D2B83" w14:textId="77777777" w:rsidR="007D1BF4" w:rsidRPr="008A1338" w:rsidRDefault="007D1BF4" w:rsidP="00A40956">
      <w:pPr>
        <w:pStyle w:val="01-Textonormal"/>
        <w:rPr>
          <w:rFonts w:cs="Arial"/>
          <w:b/>
          <w:snapToGrid w:val="0"/>
          <w:color w:val="1F4E79" w:themeColor="accent1" w:themeShade="80"/>
        </w:rPr>
      </w:pPr>
      <w:r>
        <w:rPr>
          <w:rFonts w:cs="Arial"/>
          <w:b/>
          <w:snapToGrid w:val="0"/>
          <w:color w:val="1F4E79" w:themeColor="accent1" w:themeShade="80"/>
        </w:rPr>
        <w:t>a</w:t>
      </w:r>
      <w:r w:rsidRPr="008A1338">
        <w:rPr>
          <w:rFonts w:cs="Arial"/>
          <w:b/>
          <w:snapToGrid w:val="0"/>
          <w:color w:val="1F4E79" w:themeColor="accent1" w:themeShade="80"/>
        </w:rPr>
        <w:t>) Ciclic Corretora de Seguros S.A.</w:t>
      </w:r>
    </w:p>
    <w:p w14:paraId="154B26DF" w14:textId="77777777" w:rsidR="007D1BF4" w:rsidRPr="008A1338" w:rsidRDefault="007D1BF4" w:rsidP="00A40956">
      <w:pPr>
        <w:pStyle w:val="05-Textonormal"/>
      </w:pPr>
      <w:r w:rsidRPr="008A1338">
        <w:t>Em 27 de fevereiro de 2020, a Assembleia Geral da Ciclic, reunida extraordinariamente, aprovou o aumento de seu capital social em R$ 17.001.400,00</w:t>
      </w:r>
      <w:r>
        <w:t>,</w:t>
      </w:r>
      <w:r w:rsidRPr="008A1338">
        <w:t xml:space="preserve"> mediante emissão de 8.500.700 ações ordinárias e 8.500.700 ações preferenciais, com preço de emissão de R$ 1,00 cada uma.</w:t>
      </w:r>
    </w:p>
    <w:p w14:paraId="7F1EEA3C" w14:textId="77777777" w:rsidR="007D1BF4" w:rsidRPr="008A1338" w:rsidRDefault="007D1BF4" w:rsidP="00A40956">
      <w:pPr>
        <w:pStyle w:val="05-Textonormal"/>
      </w:pPr>
      <w:r w:rsidRPr="008A1338">
        <w:t xml:space="preserve">A BB Corretora de Seguros </w:t>
      </w:r>
      <w:r>
        <w:t xml:space="preserve">e Administradora de Bens </w:t>
      </w:r>
      <w:r w:rsidRPr="008A1338">
        <w:t xml:space="preserve">S.A. subscreveu 4.249.500 ações ordinárias e 8.500.700 ações preferenciais, equivalentes a R$ 12.750.200,00, integralizadas em moeda corrente nacional, na data de realização da Assembleia Geral que deliberou </w:t>
      </w:r>
      <w:r>
        <w:t>pelo aumento do capital social.</w:t>
      </w:r>
    </w:p>
    <w:p w14:paraId="600D0CF6" w14:textId="77777777" w:rsidR="007D1BF4" w:rsidRPr="008A1338" w:rsidRDefault="007D1BF4" w:rsidP="00A40956">
      <w:pPr>
        <w:pStyle w:val="05-Textonormal"/>
      </w:pPr>
      <w:r w:rsidRPr="008A1338">
        <w:t>A PFG do Brasil 2 Participações Ltda</w:t>
      </w:r>
      <w:r>
        <w:t>.</w:t>
      </w:r>
      <w:r w:rsidRPr="008A1338">
        <w:t xml:space="preserve"> subscreveu 4.251.200 ações ordinárias, equivalentes a R$ 4.251.200,00, integralizadas em moeda corrente nacional, na data de realização da Assembleia Geral que deliberou </w:t>
      </w:r>
      <w:r>
        <w:t>pelo aumento do capital social.</w:t>
      </w:r>
    </w:p>
    <w:p w14:paraId="6FB71B4C" w14:textId="77777777" w:rsidR="007D1BF4" w:rsidRDefault="007D1BF4" w:rsidP="002759D9">
      <w:pPr>
        <w:pStyle w:val="05-Textonormal"/>
      </w:pPr>
      <w:r w:rsidRPr="008A1338">
        <w:t>O capital social da Ciclic, totalmente subscrito e integralizado, passou a ser</w:t>
      </w:r>
      <w:r>
        <w:t>, na ocasião,</w:t>
      </w:r>
      <w:r w:rsidRPr="008A1338">
        <w:t xml:space="preserve"> de R$ 44,0 milhões, dividido em 44 milhões de ações, das quais 22 milhões são ações ordinárias e 22 milhões são ações preferenciais, distribuídas entre as acionistas na seguinte proporção</w:t>
      </w:r>
      <w:r>
        <w:t>:</w:t>
      </w:r>
    </w:p>
    <w:tbl>
      <w:tblPr>
        <w:tblStyle w:val="TabeladeLista6Colorida-nfase5"/>
        <w:tblW w:w="9639" w:type="dxa"/>
        <w:jc w:val="center"/>
        <w:tblLayout w:type="fixed"/>
        <w:tblLook w:val="04A0" w:firstRow="1" w:lastRow="0" w:firstColumn="1" w:lastColumn="0" w:noHBand="0" w:noVBand="1"/>
      </w:tblPr>
      <w:tblGrid>
        <w:gridCol w:w="2552"/>
        <w:gridCol w:w="1181"/>
        <w:gridCol w:w="1181"/>
        <w:gridCol w:w="1181"/>
        <w:gridCol w:w="1181"/>
        <w:gridCol w:w="1181"/>
        <w:gridCol w:w="1182"/>
      </w:tblGrid>
      <w:tr w:rsidR="007D1BF4" w:rsidRPr="00355E72" w14:paraId="50B6835F" w14:textId="77777777" w:rsidTr="007D1BF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5E9F1BF5" w14:textId="77777777" w:rsidR="007D1BF4" w:rsidRPr="00355E72" w:rsidRDefault="007D1BF4" w:rsidP="00305341">
            <w:pPr>
              <w:rPr>
                <w:rFonts w:cs="Arial"/>
                <w:szCs w:val="18"/>
              </w:rPr>
            </w:pPr>
            <w:r w:rsidRPr="00355E72">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9006ED5"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CF7D6A">
              <w:rPr>
                <w:rFonts w:eastAsia="Times New Roman" w:cs="Arial"/>
                <w:bCs w:val="0"/>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40A89947"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CF7D6A">
              <w:rPr>
                <w:rFonts w:eastAsia="Times New Roman" w:cs="Arial"/>
                <w:bCs w:val="0"/>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F0CFF9A"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2B2009">
              <w:rPr>
                <w:rFonts w:eastAsia="Times New Roman" w:cs="Arial"/>
                <w:bCs w:val="0"/>
                <w:spacing w:val="-2"/>
                <w:sz w:val="14"/>
                <w:szCs w:val="14"/>
              </w:rPr>
              <w:t>Total</w:t>
            </w:r>
          </w:p>
        </w:tc>
      </w:tr>
      <w:tr w:rsidR="007D1BF4" w:rsidRPr="00355E72" w14:paraId="5EF77CC3"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04DAB7D8" w14:textId="77777777" w:rsidR="007D1BF4" w:rsidRPr="00355E72" w:rsidRDefault="007D1BF4" w:rsidP="00305341">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5CB9543"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E2A033A"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CCACABF"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AD0D2D5"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835203A"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69222BCE"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r>
      <w:tr w:rsidR="007D1BF4" w:rsidRPr="00355E72" w14:paraId="6512E23B"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577A3981" w14:textId="77777777" w:rsidR="007D1BF4" w:rsidRPr="00267627" w:rsidRDefault="007D1BF4" w:rsidP="00305341">
            <w:pPr>
              <w:keepNext/>
              <w:keepLines/>
              <w:spacing w:before="40" w:after="40"/>
              <w:rPr>
                <w:rFonts w:eastAsia="Times New Roman" w:cs="Arial"/>
                <w:b w:val="0"/>
                <w:spacing w:val="-2"/>
                <w:sz w:val="14"/>
                <w:szCs w:val="14"/>
              </w:rPr>
            </w:pPr>
            <w:r w:rsidRPr="00267627">
              <w:rPr>
                <w:rFonts w:eastAsia="Times New Roman" w:cs="Arial"/>
                <w:b w:val="0"/>
                <w:spacing w:val="-2"/>
                <w:sz w:val="14"/>
                <w:szCs w:val="14"/>
              </w:rPr>
              <w:t>BB Corretora</w:t>
            </w:r>
          </w:p>
        </w:tc>
        <w:tc>
          <w:tcPr>
            <w:tcW w:w="1181" w:type="dxa"/>
            <w:tcBorders>
              <w:top w:val="single" w:sz="2" w:space="0" w:color="1F4E79" w:themeColor="accent1" w:themeShade="80"/>
              <w:bottom w:val="nil"/>
            </w:tcBorders>
            <w:shd w:val="clear" w:color="auto" w:fill="auto"/>
            <w:vAlign w:val="center"/>
            <w:hideMark/>
          </w:tcPr>
          <w:p w14:paraId="06FCDC97"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EB77E1">
              <w:rPr>
                <w:rFonts w:eastAsia="Times New Roman" w:cs="Arial"/>
                <w:spacing w:val="-2"/>
                <w:sz w:val="14"/>
                <w:szCs w:val="18"/>
              </w:rPr>
              <w:t>10</w:t>
            </w:r>
            <w:r>
              <w:rPr>
                <w:rFonts w:eastAsia="Times New Roman" w:cs="Arial"/>
                <w:spacing w:val="-2"/>
                <w:sz w:val="14"/>
                <w:szCs w:val="18"/>
              </w:rPr>
              <w:t>.</w:t>
            </w:r>
            <w:r w:rsidRPr="00EB77E1">
              <w:rPr>
                <w:rFonts w:eastAsia="Times New Roman" w:cs="Arial"/>
                <w:spacing w:val="-2"/>
                <w:sz w:val="14"/>
                <w:szCs w:val="18"/>
              </w:rPr>
              <w:t>997</w:t>
            </w:r>
            <w:r>
              <w:rPr>
                <w:rFonts w:eastAsia="Times New Roman" w:cs="Arial"/>
                <w:spacing w:val="-2"/>
                <w:sz w:val="14"/>
                <w:szCs w:val="18"/>
              </w:rPr>
              <w:t>.</w:t>
            </w:r>
            <w:r w:rsidRPr="00EB77E1">
              <w:rPr>
                <w:rFonts w:eastAsia="Times New Roman" w:cs="Arial"/>
                <w:spacing w:val="-2"/>
                <w:sz w:val="14"/>
                <w:szCs w:val="18"/>
              </w:rPr>
              <w:t>800</w:t>
            </w:r>
          </w:p>
        </w:tc>
        <w:tc>
          <w:tcPr>
            <w:tcW w:w="1181" w:type="dxa"/>
            <w:tcBorders>
              <w:top w:val="single" w:sz="2" w:space="0" w:color="1F4E79" w:themeColor="accent1" w:themeShade="80"/>
              <w:bottom w:val="nil"/>
            </w:tcBorders>
            <w:shd w:val="clear" w:color="auto" w:fill="auto"/>
            <w:vAlign w:val="center"/>
            <w:hideMark/>
          </w:tcPr>
          <w:p w14:paraId="2DA72E5A"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49</w:t>
            </w:r>
            <w:r>
              <w:rPr>
                <w:rFonts w:eastAsia="Times New Roman" w:cs="Arial"/>
                <w:spacing w:val="-2"/>
                <w:sz w:val="14"/>
                <w:szCs w:val="18"/>
              </w:rPr>
              <w:t>,</w:t>
            </w:r>
            <w:r w:rsidRPr="00355E72">
              <w:rPr>
                <w:rFonts w:eastAsia="Times New Roman" w:cs="Arial"/>
                <w:spacing w:val="-2"/>
                <w:sz w:val="14"/>
                <w:szCs w:val="18"/>
              </w:rPr>
              <w:t>990</w:t>
            </w:r>
          </w:p>
        </w:tc>
        <w:tc>
          <w:tcPr>
            <w:tcW w:w="1181" w:type="dxa"/>
            <w:tcBorders>
              <w:top w:val="single" w:sz="2" w:space="0" w:color="1F4E79" w:themeColor="accent1" w:themeShade="80"/>
              <w:bottom w:val="nil"/>
            </w:tcBorders>
            <w:shd w:val="clear" w:color="auto" w:fill="auto"/>
            <w:vAlign w:val="center"/>
            <w:hideMark/>
          </w:tcPr>
          <w:p w14:paraId="01A9ED98"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EB77E1">
              <w:rPr>
                <w:rFonts w:eastAsia="Times New Roman" w:cs="Arial"/>
                <w:spacing w:val="-2"/>
                <w:sz w:val="14"/>
                <w:szCs w:val="18"/>
              </w:rPr>
              <w:t>22</w:t>
            </w:r>
            <w:r>
              <w:rPr>
                <w:rFonts w:eastAsia="Times New Roman" w:cs="Arial"/>
                <w:spacing w:val="-2"/>
                <w:sz w:val="14"/>
                <w:szCs w:val="18"/>
              </w:rPr>
              <w:t>.</w:t>
            </w:r>
            <w:r w:rsidRPr="00EB77E1">
              <w:rPr>
                <w:rFonts w:eastAsia="Times New Roman" w:cs="Arial"/>
                <w:spacing w:val="-2"/>
                <w:sz w:val="14"/>
                <w:szCs w:val="18"/>
              </w:rPr>
              <w:t>000</w:t>
            </w:r>
            <w:r>
              <w:rPr>
                <w:rFonts w:eastAsia="Times New Roman" w:cs="Arial"/>
                <w:spacing w:val="-2"/>
                <w:sz w:val="14"/>
                <w:szCs w:val="18"/>
              </w:rPr>
              <w:t>.</w:t>
            </w:r>
            <w:r w:rsidRPr="00EB77E1">
              <w:rPr>
                <w:rFonts w:eastAsia="Times New Roman" w:cs="Arial"/>
                <w:spacing w:val="-2"/>
                <w:sz w:val="14"/>
                <w:szCs w:val="18"/>
              </w:rPr>
              <w:t>000</w:t>
            </w:r>
          </w:p>
        </w:tc>
        <w:tc>
          <w:tcPr>
            <w:tcW w:w="1181" w:type="dxa"/>
            <w:tcBorders>
              <w:top w:val="single" w:sz="2" w:space="0" w:color="1F4E79" w:themeColor="accent1" w:themeShade="80"/>
              <w:bottom w:val="nil"/>
            </w:tcBorders>
            <w:shd w:val="clear" w:color="auto" w:fill="auto"/>
            <w:vAlign w:val="center"/>
            <w:hideMark/>
          </w:tcPr>
          <w:p w14:paraId="6F0C8ADA"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100</w:t>
            </w:r>
            <w:r>
              <w:rPr>
                <w:rFonts w:eastAsia="Times New Roman" w:cs="Arial"/>
                <w:spacing w:val="-2"/>
                <w:sz w:val="14"/>
                <w:szCs w:val="18"/>
              </w:rPr>
              <w:t>,</w:t>
            </w:r>
            <w:r w:rsidRPr="00355E72">
              <w:rPr>
                <w:rFonts w:eastAsia="Times New Roman" w:cs="Arial"/>
                <w:spacing w:val="-2"/>
                <w:sz w:val="14"/>
                <w:szCs w:val="18"/>
              </w:rPr>
              <w:t>000</w:t>
            </w:r>
          </w:p>
        </w:tc>
        <w:tc>
          <w:tcPr>
            <w:tcW w:w="1181" w:type="dxa"/>
            <w:tcBorders>
              <w:top w:val="single" w:sz="2" w:space="0" w:color="1F4E79" w:themeColor="accent1" w:themeShade="80"/>
              <w:bottom w:val="nil"/>
            </w:tcBorders>
            <w:shd w:val="clear" w:color="auto" w:fill="auto"/>
            <w:vAlign w:val="center"/>
            <w:hideMark/>
          </w:tcPr>
          <w:p w14:paraId="4F37B499"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EB77E1">
              <w:rPr>
                <w:rFonts w:eastAsia="Times New Roman" w:cs="Arial"/>
                <w:spacing w:val="-2"/>
                <w:sz w:val="14"/>
                <w:szCs w:val="18"/>
              </w:rPr>
              <w:t>32</w:t>
            </w:r>
            <w:r>
              <w:rPr>
                <w:rFonts w:eastAsia="Times New Roman" w:cs="Arial"/>
                <w:spacing w:val="-2"/>
                <w:sz w:val="14"/>
                <w:szCs w:val="18"/>
              </w:rPr>
              <w:t>.</w:t>
            </w:r>
            <w:r w:rsidRPr="00EB77E1">
              <w:rPr>
                <w:rFonts w:eastAsia="Times New Roman" w:cs="Arial"/>
                <w:spacing w:val="-2"/>
                <w:sz w:val="14"/>
                <w:szCs w:val="18"/>
              </w:rPr>
              <w:t>997</w:t>
            </w:r>
            <w:r>
              <w:rPr>
                <w:rFonts w:eastAsia="Times New Roman" w:cs="Arial"/>
                <w:spacing w:val="-2"/>
                <w:sz w:val="14"/>
                <w:szCs w:val="18"/>
              </w:rPr>
              <w:t>.</w:t>
            </w:r>
            <w:r w:rsidRPr="00EB77E1">
              <w:rPr>
                <w:rFonts w:eastAsia="Times New Roman" w:cs="Arial"/>
                <w:spacing w:val="-2"/>
                <w:sz w:val="14"/>
                <w:szCs w:val="18"/>
              </w:rPr>
              <w:t>800</w:t>
            </w:r>
          </w:p>
        </w:tc>
        <w:tc>
          <w:tcPr>
            <w:tcW w:w="1182" w:type="dxa"/>
            <w:tcBorders>
              <w:top w:val="single" w:sz="2" w:space="0" w:color="1F4E79" w:themeColor="accent1" w:themeShade="80"/>
              <w:bottom w:val="nil"/>
            </w:tcBorders>
            <w:shd w:val="clear" w:color="auto" w:fill="auto"/>
            <w:vAlign w:val="center"/>
            <w:hideMark/>
          </w:tcPr>
          <w:p w14:paraId="27182A13"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74</w:t>
            </w:r>
            <w:r>
              <w:rPr>
                <w:rFonts w:eastAsia="Times New Roman" w:cs="Arial"/>
                <w:spacing w:val="-2"/>
                <w:sz w:val="14"/>
                <w:szCs w:val="18"/>
              </w:rPr>
              <w:t>,</w:t>
            </w:r>
            <w:r w:rsidRPr="00355E72">
              <w:rPr>
                <w:rFonts w:eastAsia="Times New Roman" w:cs="Arial"/>
                <w:spacing w:val="-2"/>
                <w:sz w:val="14"/>
                <w:szCs w:val="18"/>
              </w:rPr>
              <w:t>995</w:t>
            </w:r>
          </w:p>
        </w:tc>
      </w:tr>
      <w:tr w:rsidR="007D1BF4" w:rsidRPr="00355E72" w14:paraId="13E347DB"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207DEEA4" w14:textId="77777777" w:rsidR="007D1BF4" w:rsidRPr="00267627" w:rsidRDefault="007D1BF4" w:rsidP="00305341">
            <w:pPr>
              <w:keepNext/>
              <w:keepLines/>
              <w:spacing w:before="40" w:after="40"/>
              <w:rPr>
                <w:rFonts w:eastAsia="Times New Roman" w:cs="Arial"/>
                <w:b w:val="0"/>
                <w:spacing w:val="-2"/>
                <w:sz w:val="14"/>
                <w:szCs w:val="18"/>
              </w:rPr>
            </w:pPr>
            <w:r w:rsidRPr="00267627">
              <w:rPr>
                <w:rFonts w:eastAsia="Times New Roman" w:cs="Arial"/>
                <w:b w:val="0"/>
                <w:spacing w:val="-2"/>
                <w:sz w:val="14"/>
                <w:szCs w:val="18"/>
              </w:rPr>
              <w:t>PFG2</w:t>
            </w:r>
          </w:p>
        </w:tc>
        <w:tc>
          <w:tcPr>
            <w:tcW w:w="1181" w:type="dxa"/>
            <w:tcBorders>
              <w:top w:val="nil"/>
              <w:bottom w:val="nil"/>
            </w:tcBorders>
            <w:shd w:val="clear" w:color="auto" w:fill="auto"/>
            <w:vAlign w:val="center"/>
            <w:hideMark/>
          </w:tcPr>
          <w:p w14:paraId="1A38D110"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EB77E1">
              <w:rPr>
                <w:rFonts w:eastAsia="Times New Roman" w:cs="Arial"/>
                <w:spacing w:val="-2"/>
                <w:sz w:val="14"/>
                <w:szCs w:val="18"/>
              </w:rPr>
              <w:t>11</w:t>
            </w:r>
            <w:r>
              <w:rPr>
                <w:rFonts w:eastAsia="Times New Roman" w:cs="Arial"/>
                <w:spacing w:val="-2"/>
                <w:sz w:val="14"/>
                <w:szCs w:val="18"/>
              </w:rPr>
              <w:t>.</w:t>
            </w:r>
            <w:r w:rsidRPr="00EB77E1">
              <w:rPr>
                <w:rFonts w:eastAsia="Times New Roman" w:cs="Arial"/>
                <w:spacing w:val="-2"/>
                <w:sz w:val="14"/>
                <w:szCs w:val="18"/>
              </w:rPr>
              <w:t>002</w:t>
            </w:r>
            <w:r>
              <w:rPr>
                <w:rFonts w:eastAsia="Times New Roman" w:cs="Arial"/>
                <w:spacing w:val="-2"/>
                <w:sz w:val="14"/>
                <w:szCs w:val="18"/>
              </w:rPr>
              <w:t>.</w:t>
            </w:r>
            <w:r w:rsidRPr="00EB77E1">
              <w:rPr>
                <w:rFonts w:eastAsia="Times New Roman" w:cs="Arial"/>
                <w:spacing w:val="-2"/>
                <w:sz w:val="14"/>
                <w:szCs w:val="18"/>
              </w:rPr>
              <w:t>200</w:t>
            </w:r>
          </w:p>
        </w:tc>
        <w:tc>
          <w:tcPr>
            <w:tcW w:w="1181" w:type="dxa"/>
            <w:tcBorders>
              <w:top w:val="nil"/>
              <w:bottom w:val="nil"/>
            </w:tcBorders>
            <w:shd w:val="clear" w:color="auto" w:fill="auto"/>
            <w:vAlign w:val="center"/>
            <w:hideMark/>
          </w:tcPr>
          <w:p w14:paraId="10B9113B"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50</w:t>
            </w:r>
            <w:r>
              <w:rPr>
                <w:rFonts w:eastAsia="Times New Roman" w:cs="Arial"/>
                <w:spacing w:val="-2"/>
                <w:sz w:val="14"/>
                <w:szCs w:val="18"/>
              </w:rPr>
              <w:t>,</w:t>
            </w:r>
            <w:r w:rsidRPr="00355E72">
              <w:rPr>
                <w:rFonts w:eastAsia="Times New Roman" w:cs="Arial"/>
                <w:spacing w:val="-2"/>
                <w:sz w:val="14"/>
                <w:szCs w:val="18"/>
              </w:rPr>
              <w:t>010</w:t>
            </w:r>
          </w:p>
        </w:tc>
        <w:tc>
          <w:tcPr>
            <w:tcW w:w="1181" w:type="dxa"/>
            <w:tcBorders>
              <w:top w:val="nil"/>
              <w:bottom w:val="nil"/>
            </w:tcBorders>
            <w:shd w:val="clear" w:color="auto" w:fill="auto"/>
            <w:vAlign w:val="center"/>
            <w:hideMark/>
          </w:tcPr>
          <w:p w14:paraId="26D6C3AD"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w:t>
            </w:r>
          </w:p>
        </w:tc>
        <w:tc>
          <w:tcPr>
            <w:tcW w:w="1181" w:type="dxa"/>
            <w:tcBorders>
              <w:top w:val="nil"/>
              <w:bottom w:val="nil"/>
            </w:tcBorders>
            <w:shd w:val="clear" w:color="auto" w:fill="auto"/>
            <w:vAlign w:val="center"/>
            <w:hideMark/>
          </w:tcPr>
          <w:p w14:paraId="181D8304"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w:t>
            </w:r>
          </w:p>
        </w:tc>
        <w:tc>
          <w:tcPr>
            <w:tcW w:w="1181" w:type="dxa"/>
            <w:tcBorders>
              <w:top w:val="nil"/>
              <w:bottom w:val="nil"/>
            </w:tcBorders>
            <w:shd w:val="clear" w:color="auto" w:fill="auto"/>
            <w:vAlign w:val="center"/>
            <w:hideMark/>
          </w:tcPr>
          <w:p w14:paraId="3F37E8A6"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EB77E1">
              <w:rPr>
                <w:rFonts w:eastAsia="Times New Roman" w:cs="Arial"/>
                <w:spacing w:val="-2"/>
                <w:sz w:val="14"/>
                <w:szCs w:val="18"/>
              </w:rPr>
              <w:t>11</w:t>
            </w:r>
            <w:r>
              <w:rPr>
                <w:rFonts w:eastAsia="Times New Roman" w:cs="Arial"/>
                <w:spacing w:val="-2"/>
                <w:sz w:val="14"/>
                <w:szCs w:val="18"/>
              </w:rPr>
              <w:t>.</w:t>
            </w:r>
            <w:r w:rsidRPr="00EB77E1">
              <w:rPr>
                <w:rFonts w:eastAsia="Times New Roman" w:cs="Arial"/>
                <w:spacing w:val="-2"/>
                <w:sz w:val="14"/>
                <w:szCs w:val="18"/>
              </w:rPr>
              <w:t>002</w:t>
            </w:r>
            <w:r>
              <w:rPr>
                <w:rFonts w:eastAsia="Times New Roman" w:cs="Arial"/>
                <w:spacing w:val="-2"/>
                <w:sz w:val="14"/>
                <w:szCs w:val="18"/>
              </w:rPr>
              <w:t>.</w:t>
            </w:r>
            <w:r w:rsidRPr="00EB77E1">
              <w:rPr>
                <w:rFonts w:eastAsia="Times New Roman" w:cs="Arial"/>
                <w:spacing w:val="-2"/>
                <w:sz w:val="14"/>
                <w:szCs w:val="18"/>
              </w:rPr>
              <w:t>200</w:t>
            </w:r>
          </w:p>
        </w:tc>
        <w:tc>
          <w:tcPr>
            <w:tcW w:w="1182" w:type="dxa"/>
            <w:tcBorders>
              <w:top w:val="nil"/>
              <w:bottom w:val="nil"/>
            </w:tcBorders>
            <w:shd w:val="clear" w:color="auto" w:fill="auto"/>
            <w:vAlign w:val="center"/>
            <w:hideMark/>
          </w:tcPr>
          <w:p w14:paraId="5EE50AFC" w14:textId="77777777" w:rsidR="007D1BF4" w:rsidRPr="00355E72" w:rsidRDefault="007D1BF4" w:rsidP="0030534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25</w:t>
            </w:r>
            <w:r>
              <w:rPr>
                <w:rFonts w:eastAsia="Times New Roman" w:cs="Arial"/>
                <w:spacing w:val="-2"/>
                <w:sz w:val="14"/>
                <w:szCs w:val="18"/>
              </w:rPr>
              <w:t>,</w:t>
            </w:r>
            <w:r w:rsidRPr="00355E72">
              <w:rPr>
                <w:rFonts w:eastAsia="Times New Roman" w:cs="Arial"/>
                <w:spacing w:val="-2"/>
                <w:sz w:val="14"/>
                <w:szCs w:val="18"/>
              </w:rPr>
              <w:t>005</w:t>
            </w:r>
          </w:p>
        </w:tc>
      </w:tr>
      <w:tr w:rsidR="007D1BF4" w:rsidRPr="00355E72" w14:paraId="74DD98D6"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11485C07" w14:textId="77777777" w:rsidR="007D1BF4" w:rsidRPr="00355E72" w:rsidRDefault="007D1BF4" w:rsidP="00305341">
            <w:pPr>
              <w:keepNext/>
              <w:keepLines/>
              <w:spacing w:before="40" w:after="40"/>
              <w:rPr>
                <w:rFonts w:eastAsia="Times New Roman" w:cs="Arial"/>
                <w:spacing w:val="-2"/>
                <w:sz w:val="14"/>
                <w:szCs w:val="14"/>
              </w:rPr>
            </w:pPr>
            <w:r w:rsidRPr="00355E72">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1FFF2640"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EB77E1">
              <w:rPr>
                <w:rFonts w:eastAsia="Times New Roman" w:cs="Arial"/>
                <w:b/>
                <w:spacing w:val="-2"/>
                <w:sz w:val="14"/>
                <w:szCs w:val="18"/>
              </w:rPr>
              <w:t>22</w:t>
            </w:r>
            <w:r>
              <w:rPr>
                <w:rFonts w:eastAsia="Times New Roman" w:cs="Arial"/>
                <w:b/>
                <w:spacing w:val="-2"/>
                <w:sz w:val="14"/>
                <w:szCs w:val="18"/>
              </w:rPr>
              <w:t>.</w:t>
            </w:r>
            <w:r w:rsidRPr="00EB77E1">
              <w:rPr>
                <w:rFonts w:eastAsia="Times New Roman" w:cs="Arial"/>
                <w:b/>
                <w:spacing w:val="-2"/>
                <w:sz w:val="14"/>
                <w:szCs w:val="18"/>
              </w:rPr>
              <w:t>000</w:t>
            </w:r>
            <w:r>
              <w:rPr>
                <w:rFonts w:eastAsia="Times New Roman" w:cs="Arial"/>
                <w:b/>
                <w:spacing w:val="-2"/>
                <w:sz w:val="14"/>
                <w:szCs w:val="18"/>
              </w:rPr>
              <w:t>.</w:t>
            </w:r>
            <w:r w:rsidRPr="00EB77E1">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1A6B3773"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1E3AF439"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EB77E1">
              <w:rPr>
                <w:rFonts w:eastAsia="Times New Roman" w:cs="Arial"/>
                <w:b/>
                <w:spacing w:val="-2"/>
                <w:sz w:val="14"/>
                <w:szCs w:val="18"/>
              </w:rPr>
              <w:t>22</w:t>
            </w:r>
            <w:r>
              <w:rPr>
                <w:rFonts w:eastAsia="Times New Roman" w:cs="Arial"/>
                <w:b/>
                <w:spacing w:val="-2"/>
                <w:sz w:val="14"/>
                <w:szCs w:val="18"/>
              </w:rPr>
              <w:t>.</w:t>
            </w:r>
            <w:r w:rsidRPr="00EB77E1">
              <w:rPr>
                <w:rFonts w:eastAsia="Times New Roman" w:cs="Arial"/>
                <w:b/>
                <w:spacing w:val="-2"/>
                <w:sz w:val="14"/>
                <w:szCs w:val="18"/>
              </w:rPr>
              <w:t>000</w:t>
            </w:r>
            <w:r>
              <w:rPr>
                <w:rFonts w:eastAsia="Times New Roman" w:cs="Arial"/>
                <w:b/>
                <w:spacing w:val="-2"/>
                <w:sz w:val="14"/>
                <w:szCs w:val="18"/>
              </w:rPr>
              <w:t>.</w:t>
            </w:r>
            <w:r w:rsidRPr="00EB77E1">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56B7E015"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671C7A5D"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EB77E1">
              <w:rPr>
                <w:rFonts w:eastAsia="Times New Roman" w:cs="Arial"/>
                <w:b/>
                <w:spacing w:val="-2"/>
                <w:sz w:val="14"/>
                <w:szCs w:val="18"/>
              </w:rPr>
              <w:t>44</w:t>
            </w:r>
            <w:r>
              <w:rPr>
                <w:rFonts w:eastAsia="Times New Roman" w:cs="Arial"/>
                <w:b/>
                <w:spacing w:val="-2"/>
                <w:sz w:val="14"/>
                <w:szCs w:val="18"/>
              </w:rPr>
              <w:t>.</w:t>
            </w:r>
            <w:r w:rsidRPr="00EB77E1">
              <w:rPr>
                <w:rFonts w:eastAsia="Times New Roman" w:cs="Arial"/>
                <w:b/>
                <w:spacing w:val="-2"/>
                <w:sz w:val="14"/>
                <w:szCs w:val="18"/>
              </w:rPr>
              <w:t>000</w:t>
            </w:r>
            <w:r>
              <w:rPr>
                <w:rFonts w:eastAsia="Times New Roman" w:cs="Arial"/>
                <w:b/>
                <w:spacing w:val="-2"/>
                <w:sz w:val="14"/>
                <w:szCs w:val="18"/>
              </w:rPr>
              <w:t>.</w:t>
            </w:r>
            <w:r w:rsidRPr="00EB77E1">
              <w:rPr>
                <w:rFonts w:eastAsia="Times New Roman" w:cs="Arial"/>
                <w:b/>
                <w:spacing w:val="-2"/>
                <w:sz w:val="14"/>
                <w:szCs w:val="18"/>
              </w:rPr>
              <w:t>000</w:t>
            </w:r>
          </w:p>
        </w:tc>
        <w:tc>
          <w:tcPr>
            <w:tcW w:w="1182" w:type="dxa"/>
            <w:tcBorders>
              <w:top w:val="nil"/>
              <w:bottom w:val="single" w:sz="2" w:space="0" w:color="1F4E79" w:themeColor="accent1" w:themeShade="80"/>
            </w:tcBorders>
            <w:shd w:val="clear" w:color="auto" w:fill="auto"/>
            <w:vAlign w:val="center"/>
            <w:hideMark/>
          </w:tcPr>
          <w:p w14:paraId="4A8F41D6" w14:textId="77777777" w:rsidR="007D1BF4" w:rsidRPr="00355E72" w:rsidRDefault="007D1BF4" w:rsidP="0030534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000</w:t>
            </w:r>
          </w:p>
        </w:tc>
      </w:tr>
    </w:tbl>
    <w:p w14:paraId="743D51BC" w14:textId="77777777" w:rsidR="007D1BF4" w:rsidRPr="008A1338" w:rsidRDefault="007D1BF4" w:rsidP="009A323D">
      <w:pPr>
        <w:pStyle w:val="05-Textonormal"/>
      </w:pPr>
      <w:r w:rsidRPr="00801926">
        <w:t>Em 4 de dezembro de 2020, a Assembleia Geral da Ciclic se reuniu novamente, de maneira extraordinária, para aprovar um novo aumento do capital social da Ciclic, em R$ 17.132.548,00</w:t>
      </w:r>
      <w:r>
        <w:t>,</w:t>
      </w:r>
      <w:r w:rsidRPr="00801926">
        <w:t xml:space="preserve"> mediante emissão de 8.566.274 ações ordinárias e 8.566.274 ações preferenciais, com </w:t>
      </w:r>
      <w:r>
        <w:t>preço de emissão de R$ 1,00 por ação</w:t>
      </w:r>
      <w:r w:rsidRPr="00801926">
        <w:t>.</w:t>
      </w:r>
    </w:p>
    <w:p w14:paraId="6F758D35" w14:textId="77777777" w:rsidR="007D1BF4" w:rsidRPr="008A1338" w:rsidRDefault="007D1BF4" w:rsidP="009A323D">
      <w:pPr>
        <w:pStyle w:val="05-Textonormal"/>
      </w:pPr>
      <w:r w:rsidRPr="008A1338">
        <w:t xml:space="preserve">A BB Corretora de Seguros </w:t>
      </w:r>
      <w:r>
        <w:t xml:space="preserve">e Administradora de Bens </w:t>
      </w:r>
      <w:r w:rsidRPr="008A1338">
        <w:t>S.A. subscreveu 4.2</w:t>
      </w:r>
      <w:r>
        <w:t>82</w:t>
      </w:r>
      <w:r w:rsidRPr="008A1338">
        <w:t>.</w:t>
      </w:r>
      <w:r>
        <w:t>280</w:t>
      </w:r>
      <w:r w:rsidRPr="008A1338">
        <w:t xml:space="preserve"> ações ordinárias e 8.5</w:t>
      </w:r>
      <w:r>
        <w:t>66</w:t>
      </w:r>
      <w:r w:rsidRPr="008A1338">
        <w:t>.</w:t>
      </w:r>
      <w:r>
        <w:t>274</w:t>
      </w:r>
      <w:r w:rsidRPr="008A1338">
        <w:t xml:space="preserve"> ações preferenciais, equivalentes a R$ 12.</w:t>
      </w:r>
      <w:r>
        <w:t>848</w:t>
      </w:r>
      <w:r w:rsidRPr="008A1338">
        <w:t>.</w:t>
      </w:r>
      <w:r>
        <w:t>554</w:t>
      </w:r>
      <w:r w:rsidRPr="008A1338">
        <w:t>,00, integralizadas em moeda corrente nacional</w:t>
      </w:r>
      <w:r>
        <w:t xml:space="preserve"> em 7 de dezembro de 2020.</w:t>
      </w:r>
    </w:p>
    <w:p w14:paraId="0BB72A76" w14:textId="77777777" w:rsidR="007D1BF4" w:rsidRPr="008A1338" w:rsidRDefault="007D1BF4" w:rsidP="009A323D">
      <w:pPr>
        <w:pStyle w:val="05-Textonormal"/>
      </w:pPr>
      <w:r w:rsidRPr="008A1338">
        <w:t>A PFG do Brasil 2 Participações Ltda</w:t>
      </w:r>
      <w:r>
        <w:t>.</w:t>
      </w:r>
      <w:r w:rsidRPr="008A1338">
        <w:t xml:space="preserve"> subscreveu 4.2</w:t>
      </w:r>
      <w:r>
        <w:t>83</w:t>
      </w:r>
      <w:r w:rsidRPr="008A1338">
        <w:t>.</w:t>
      </w:r>
      <w:r>
        <w:t>994</w:t>
      </w:r>
      <w:r w:rsidRPr="008A1338">
        <w:t xml:space="preserve"> ações ordinárias, equivalentes a R$ 4.2</w:t>
      </w:r>
      <w:r>
        <w:t>83</w:t>
      </w:r>
      <w:r w:rsidRPr="008A1338">
        <w:t>.</w:t>
      </w:r>
      <w:r>
        <w:t>994</w:t>
      </w:r>
      <w:r w:rsidRPr="008A1338">
        <w:t>,00, integralizadas em moeda corrente nacional</w:t>
      </w:r>
      <w:r>
        <w:t xml:space="preserve"> em 8 de dezembro de 2020.</w:t>
      </w:r>
    </w:p>
    <w:p w14:paraId="0CE49C41" w14:textId="77777777" w:rsidR="007D1BF4" w:rsidRDefault="007D1BF4" w:rsidP="009A323D">
      <w:pPr>
        <w:pStyle w:val="05-Textonormal"/>
      </w:pPr>
      <w:r w:rsidRPr="008A1338">
        <w:t xml:space="preserve">O capital social da Ciclic, totalmente subscrito e integralizado, passou a ser de R$ </w:t>
      </w:r>
      <w:r>
        <w:t>61.132.548,00</w:t>
      </w:r>
      <w:r w:rsidRPr="008A1338">
        <w:t xml:space="preserve">, dividido em </w:t>
      </w:r>
      <w:r>
        <w:t>61.132.548</w:t>
      </w:r>
      <w:r w:rsidRPr="008A1338">
        <w:t xml:space="preserve"> ações, das quais </w:t>
      </w:r>
      <w:r>
        <w:t>30.566.274</w:t>
      </w:r>
      <w:r w:rsidRPr="008A1338">
        <w:t xml:space="preserve"> são ações ordinárias e </w:t>
      </w:r>
      <w:r>
        <w:t>30.566.274</w:t>
      </w:r>
      <w:r w:rsidRPr="008A1338">
        <w:t xml:space="preserve"> são ações preferenciais, distribuídas entre as acionistas na seguinte proporção</w:t>
      </w:r>
      <w:r>
        <w:t>:</w:t>
      </w:r>
    </w:p>
    <w:tbl>
      <w:tblPr>
        <w:tblStyle w:val="TabeladeLista6Colorida-nfase5"/>
        <w:tblW w:w="9639" w:type="dxa"/>
        <w:jc w:val="center"/>
        <w:tblLayout w:type="fixed"/>
        <w:tblLook w:val="04A0" w:firstRow="1" w:lastRow="0" w:firstColumn="1" w:lastColumn="0" w:noHBand="0" w:noVBand="1"/>
      </w:tblPr>
      <w:tblGrid>
        <w:gridCol w:w="2552"/>
        <w:gridCol w:w="1181"/>
        <w:gridCol w:w="1181"/>
        <w:gridCol w:w="1181"/>
        <w:gridCol w:w="1181"/>
        <w:gridCol w:w="1181"/>
        <w:gridCol w:w="1182"/>
      </w:tblGrid>
      <w:tr w:rsidR="007D1BF4" w:rsidRPr="00355E72" w14:paraId="36648094" w14:textId="77777777" w:rsidTr="001C468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394B239C" w14:textId="77777777" w:rsidR="007D1BF4" w:rsidRPr="00355E72" w:rsidRDefault="007D1BF4" w:rsidP="00B638C2">
            <w:pPr>
              <w:rPr>
                <w:rFonts w:cs="Arial"/>
                <w:szCs w:val="18"/>
              </w:rPr>
            </w:pPr>
            <w:r w:rsidRPr="00355E72">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2A1E1C7"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CF7D6A">
              <w:rPr>
                <w:rFonts w:eastAsia="Times New Roman" w:cs="Arial"/>
                <w:bCs w:val="0"/>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675F5B6B"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CF7D6A">
              <w:rPr>
                <w:rFonts w:eastAsia="Times New Roman" w:cs="Arial"/>
                <w:bCs w:val="0"/>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504306B0" w14:textId="77777777" w:rsidR="007D1BF4" w:rsidRPr="002B2009"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2B2009">
              <w:rPr>
                <w:rFonts w:eastAsia="Times New Roman" w:cs="Arial"/>
                <w:bCs w:val="0"/>
                <w:spacing w:val="-2"/>
                <w:sz w:val="14"/>
                <w:szCs w:val="14"/>
              </w:rPr>
              <w:t>Total</w:t>
            </w:r>
          </w:p>
        </w:tc>
      </w:tr>
      <w:tr w:rsidR="007D1BF4" w:rsidRPr="00355E72" w14:paraId="0EA4B011" w14:textId="77777777" w:rsidTr="004A02B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48A58428" w14:textId="77777777" w:rsidR="007D1BF4" w:rsidRPr="00355E72" w:rsidRDefault="007D1BF4" w:rsidP="00B638C2">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0CBDCEF"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7E76D99"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0464904E"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100AE6B"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2300D8C"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CF7D6A">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7884830E"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355E72">
              <w:rPr>
                <w:rFonts w:eastAsia="Times New Roman" w:cs="Arial"/>
                <w:b/>
                <w:spacing w:val="-2"/>
                <w:sz w:val="14"/>
                <w:szCs w:val="14"/>
              </w:rPr>
              <w:t>%</w:t>
            </w:r>
          </w:p>
        </w:tc>
      </w:tr>
      <w:tr w:rsidR="007D1BF4" w:rsidRPr="00355E72" w14:paraId="0EFF6193" w14:textId="77777777" w:rsidTr="004A02BD">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5F0338F1" w14:textId="77777777" w:rsidR="007D1BF4" w:rsidRPr="00267627" w:rsidRDefault="007D1BF4" w:rsidP="00B638C2">
            <w:pPr>
              <w:keepNext/>
              <w:keepLines/>
              <w:spacing w:before="40" w:after="40"/>
              <w:rPr>
                <w:rFonts w:eastAsia="Times New Roman" w:cs="Arial"/>
                <w:b w:val="0"/>
                <w:spacing w:val="-2"/>
                <w:sz w:val="14"/>
                <w:szCs w:val="14"/>
              </w:rPr>
            </w:pPr>
            <w:r w:rsidRPr="00267627">
              <w:rPr>
                <w:rFonts w:eastAsia="Times New Roman" w:cs="Arial"/>
                <w:b w:val="0"/>
                <w:spacing w:val="-2"/>
                <w:sz w:val="14"/>
                <w:szCs w:val="14"/>
              </w:rPr>
              <w:t>BB Corretora</w:t>
            </w:r>
          </w:p>
        </w:tc>
        <w:tc>
          <w:tcPr>
            <w:tcW w:w="1181" w:type="dxa"/>
            <w:tcBorders>
              <w:top w:val="single" w:sz="2" w:space="0" w:color="1F4E79" w:themeColor="accent1" w:themeShade="80"/>
              <w:bottom w:val="nil"/>
            </w:tcBorders>
            <w:shd w:val="clear" w:color="auto" w:fill="auto"/>
            <w:vAlign w:val="center"/>
            <w:hideMark/>
          </w:tcPr>
          <w:p w14:paraId="19AC5B4E"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15.280.080</w:t>
            </w:r>
          </w:p>
        </w:tc>
        <w:tc>
          <w:tcPr>
            <w:tcW w:w="1181" w:type="dxa"/>
            <w:tcBorders>
              <w:top w:val="single" w:sz="2" w:space="0" w:color="1F4E79" w:themeColor="accent1" w:themeShade="80"/>
              <w:bottom w:val="nil"/>
            </w:tcBorders>
            <w:shd w:val="clear" w:color="auto" w:fill="auto"/>
            <w:vAlign w:val="center"/>
            <w:hideMark/>
          </w:tcPr>
          <w:p w14:paraId="04378C71"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49</w:t>
            </w:r>
            <w:r>
              <w:rPr>
                <w:rFonts w:eastAsia="Times New Roman" w:cs="Arial"/>
                <w:spacing w:val="-2"/>
                <w:sz w:val="14"/>
                <w:szCs w:val="18"/>
              </w:rPr>
              <w:t>,</w:t>
            </w:r>
            <w:r w:rsidRPr="00355E72">
              <w:rPr>
                <w:rFonts w:eastAsia="Times New Roman" w:cs="Arial"/>
                <w:spacing w:val="-2"/>
                <w:sz w:val="14"/>
                <w:szCs w:val="18"/>
              </w:rPr>
              <w:t>99</w:t>
            </w:r>
            <w:r>
              <w:rPr>
                <w:rFonts w:eastAsia="Times New Roman" w:cs="Arial"/>
                <w:spacing w:val="-2"/>
                <w:sz w:val="14"/>
                <w:szCs w:val="18"/>
              </w:rPr>
              <w:t>0</w:t>
            </w:r>
          </w:p>
        </w:tc>
        <w:tc>
          <w:tcPr>
            <w:tcW w:w="1181" w:type="dxa"/>
            <w:tcBorders>
              <w:top w:val="single" w:sz="2" w:space="0" w:color="1F4E79" w:themeColor="accent1" w:themeShade="80"/>
              <w:bottom w:val="nil"/>
            </w:tcBorders>
            <w:shd w:val="clear" w:color="auto" w:fill="auto"/>
            <w:vAlign w:val="center"/>
            <w:hideMark/>
          </w:tcPr>
          <w:p w14:paraId="62137B01" w14:textId="77777777" w:rsidR="007D1BF4" w:rsidRPr="00A64ACF"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8"/>
              </w:rPr>
            </w:pPr>
            <w:r w:rsidRPr="00A64ACF">
              <w:rPr>
                <w:rFonts w:eastAsia="Times New Roman" w:cs="Arial"/>
                <w:bCs/>
                <w:spacing w:val="-2"/>
                <w:sz w:val="14"/>
                <w:szCs w:val="18"/>
              </w:rPr>
              <w:t>30.566.274</w:t>
            </w:r>
          </w:p>
        </w:tc>
        <w:tc>
          <w:tcPr>
            <w:tcW w:w="1181" w:type="dxa"/>
            <w:tcBorders>
              <w:top w:val="single" w:sz="2" w:space="0" w:color="1F4E79" w:themeColor="accent1" w:themeShade="80"/>
              <w:bottom w:val="nil"/>
            </w:tcBorders>
            <w:shd w:val="clear" w:color="auto" w:fill="auto"/>
            <w:vAlign w:val="center"/>
            <w:hideMark/>
          </w:tcPr>
          <w:p w14:paraId="2062B8CC"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100</w:t>
            </w:r>
            <w:r>
              <w:rPr>
                <w:rFonts w:eastAsia="Times New Roman" w:cs="Arial"/>
                <w:spacing w:val="-2"/>
                <w:sz w:val="14"/>
                <w:szCs w:val="18"/>
              </w:rPr>
              <w:t>,</w:t>
            </w:r>
            <w:r w:rsidRPr="00355E72">
              <w:rPr>
                <w:rFonts w:eastAsia="Times New Roman" w:cs="Arial"/>
                <w:spacing w:val="-2"/>
                <w:sz w:val="14"/>
                <w:szCs w:val="18"/>
              </w:rPr>
              <w:t>000</w:t>
            </w:r>
          </w:p>
        </w:tc>
        <w:tc>
          <w:tcPr>
            <w:tcW w:w="1181" w:type="dxa"/>
            <w:tcBorders>
              <w:top w:val="single" w:sz="2" w:space="0" w:color="1F4E79" w:themeColor="accent1" w:themeShade="80"/>
              <w:bottom w:val="nil"/>
            </w:tcBorders>
            <w:shd w:val="clear" w:color="auto" w:fill="auto"/>
            <w:vAlign w:val="center"/>
            <w:hideMark/>
          </w:tcPr>
          <w:p w14:paraId="06581F03"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45.846.354</w:t>
            </w:r>
          </w:p>
        </w:tc>
        <w:tc>
          <w:tcPr>
            <w:tcW w:w="1182" w:type="dxa"/>
            <w:tcBorders>
              <w:top w:val="single" w:sz="2" w:space="0" w:color="1F4E79" w:themeColor="accent1" w:themeShade="80"/>
              <w:bottom w:val="nil"/>
            </w:tcBorders>
            <w:shd w:val="clear" w:color="auto" w:fill="auto"/>
            <w:vAlign w:val="center"/>
            <w:hideMark/>
          </w:tcPr>
          <w:p w14:paraId="7DAA72B4"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74</w:t>
            </w:r>
            <w:r>
              <w:rPr>
                <w:rFonts w:eastAsia="Times New Roman" w:cs="Arial"/>
                <w:spacing w:val="-2"/>
                <w:sz w:val="14"/>
                <w:szCs w:val="18"/>
              </w:rPr>
              <w:t>,</w:t>
            </w:r>
            <w:r w:rsidRPr="00355E72">
              <w:rPr>
                <w:rFonts w:eastAsia="Times New Roman" w:cs="Arial"/>
                <w:spacing w:val="-2"/>
                <w:sz w:val="14"/>
                <w:szCs w:val="18"/>
              </w:rPr>
              <w:t>995</w:t>
            </w:r>
          </w:p>
        </w:tc>
      </w:tr>
      <w:tr w:rsidR="007D1BF4" w:rsidRPr="00355E72" w14:paraId="4DCF5A2E" w14:textId="77777777" w:rsidTr="008F597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764EF361" w14:textId="77777777" w:rsidR="007D1BF4" w:rsidRPr="00267627" w:rsidRDefault="007D1BF4" w:rsidP="00B638C2">
            <w:pPr>
              <w:keepNext/>
              <w:keepLines/>
              <w:spacing w:before="40" w:after="40"/>
              <w:rPr>
                <w:rFonts w:eastAsia="Times New Roman" w:cs="Arial"/>
                <w:b w:val="0"/>
                <w:spacing w:val="-2"/>
                <w:sz w:val="14"/>
                <w:szCs w:val="18"/>
              </w:rPr>
            </w:pPr>
            <w:r w:rsidRPr="00267627">
              <w:rPr>
                <w:rFonts w:eastAsia="Times New Roman" w:cs="Arial"/>
                <w:b w:val="0"/>
                <w:spacing w:val="-2"/>
                <w:sz w:val="14"/>
                <w:szCs w:val="18"/>
              </w:rPr>
              <w:t>PFG2</w:t>
            </w:r>
          </w:p>
        </w:tc>
        <w:tc>
          <w:tcPr>
            <w:tcW w:w="1181" w:type="dxa"/>
            <w:tcBorders>
              <w:top w:val="nil"/>
              <w:bottom w:val="nil"/>
            </w:tcBorders>
            <w:shd w:val="clear" w:color="auto" w:fill="auto"/>
            <w:vAlign w:val="center"/>
            <w:hideMark/>
          </w:tcPr>
          <w:p w14:paraId="4DDBCC2B"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15.286.194</w:t>
            </w:r>
          </w:p>
        </w:tc>
        <w:tc>
          <w:tcPr>
            <w:tcW w:w="1181" w:type="dxa"/>
            <w:tcBorders>
              <w:top w:val="nil"/>
              <w:bottom w:val="nil"/>
            </w:tcBorders>
            <w:shd w:val="clear" w:color="auto" w:fill="auto"/>
            <w:vAlign w:val="center"/>
            <w:hideMark/>
          </w:tcPr>
          <w:p w14:paraId="0434783F"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50</w:t>
            </w:r>
            <w:r>
              <w:rPr>
                <w:rFonts w:eastAsia="Times New Roman" w:cs="Arial"/>
                <w:spacing w:val="-2"/>
                <w:sz w:val="14"/>
                <w:szCs w:val="18"/>
              </w:rPr>
              <w:t>,</w:t>
            </w:r>
            <w:r w:rsidRPr="00355E72">
              <w:rPr>
                <w:rFonts w:eastAsia="Times New Roman" w:cs="Arial"/>
                <w:spacing w:val="-2"/>
                <w:sz w:val="14"/>
                <w:szCs w:val="18"/>
              </w:rPr>
              <w:t>01</w:t>
            </w:r>
            <w:r>
              <w:rPr>
                <w:rFonts w:eastAsia="Times New Roman" w:cs="Arial"/>
                <w:spacing w:val="-2"/>
                <w:sz w:val="14"/>
                <w:szCs w:val="18"/>
              </w:rPr>
              <w:t>0</w:t>
            </w:r>
          </w:p>
        </w:tc>
        <w:tc>
          <w:tcPr>
            <w:tcW w:w="1181" w:type="dxa"/>
            <w:tcBorders>
              <w:top w:val="nil"/>
              <w:bottom w:val="nil"/>
            </w:tcBorders>
            <w:shd w:val="clear" w:color="auto" w:fill="auto"/>
            <w:vAlign w:val="center"/>
            <w:hideMark/>
          </w:tcPr>
          <w:p w14:paraId="6BF5CE91"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w:t>
            </w:r>
          </w:p>
        </w:tc>
        <w:tc>
          <w:tcPr>
            <w:tcW w:w="1181" w:type="dxa"/>
            <w:tcBorders>
              <w:top w:val="nil"/>
              <w:bottom w:val="nil"/>
            </w:tcBorders>
            <w:shd w:val="clear" w:color="auto" w:fill="auto"/>
            <w:vAlign w:val="center"/>
            <w:hideMark/>
          </w:tcPr>
          <w:p w14:paraId="50028E08"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w:t>
            </w:r>
          </w:p>
        </w:tc>
        <w:tc>
          <w:tcPr>
            <w:tcW w:w="1181" w:type="dxa"/>
            <w:tcBorders>
              <w:top w:val="nil"/>
              <w:bottom w:val="nil"/>
            </w:tcBorders>
            <w:shd w:val="clear" w:color="auto" w:fill="auto"/>
            <w:vAlign w:val="center"/>
            <w:hideMark/>
          </w:tcPr>
          <w:p w14:paraId="0D0F9E67"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15.286.194</w:t>
            </w:r>
          </w:p>
        </w:tc>
        <w:tc>
          <w:tcPr>
            <w:tcW w:w="1182" w:type="dxa"/>
            <w:tcBorders>
              <w:top w:val="nil"/>
              <w:bottom w:val="nil"/>
            </w:tcBorders>
            <w:shd w:val="clear" w:color="auto" w:fill="auto"/>
            <w:vAlign w:val="center"/>
            <w:hideMark/>
          </w:tcPr>
          <w:p w14:paraId="2B3C9290" w14:textId="77777777" w:rsidR="007D1BF4" w:rsidRPr="00355E72" w:rsidRDefault="007D1BF4" w:rsidP="00B638C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355E72">
              <w:rPr>
                <w:rFonts w:eastAsia="Times New Roman" w:cs="Arial"/>
                <w:spacing w:val="-2"/>
                <w:sz w:val="14"/>
                <w:szCs w:val="18"/>
              </w:rPr>
              <w:t>25</w:t>
            </w:r>
            <w:r>
              <w:rPr>
                <w:rFonts w:eastAsia="Times New Roman" w:cs="Arial"/>
                <w:spacing w:val="-2"/>
                <w:sz w:val="14"/>
                <w:szCs w:val="18"/>
              </w:rPr>
              <w:t>,</w:t>
            </w:r>
            <w:r w:rsidRPr="00355E72">
              <w:rPr>
                <w:rFonts w:eastAsia="Times New Roman" w:cs="Arial"/>
                <w:spacing w:val="-2"/>
                <w:sz w:val="14"/>
                <w:szCs w:val="18"/>
              </w:rPr>
              <w:t>005</w:t>
            </w:r>
          </w:p>
        </w:tc>
      </w:tr>
      <w:tr w:rsidR="007D1BF4" w:rsidRPr="00355E72" w14:paraId="584E2DD2" w14:textId="77777777" w:rsidTr="004A02BD">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26C37592" w14:textId="77777777" w:rsidR="007D1BF4" w:rsidRPr="00355E72" w:rsidRDefault="007D1BF4" w:rsidP="00B638C2">
            <w:pPr>
              <w:keepNext/>
              <w:keepLines/>
              <w:spacing w:before="40" w:after="40"/>
              <w:rPr>
                <w:rFonts w:eastAsia="Times New Roman" w:cs="Arial"/>
                <w:spacing w:val="-2"/>
                <w:sz w:val="14"/>
                <w:szCs w:val="14"/>
              </w:rPr>
            </w:pPr>
            <w:r w:rsidRPr="00355E72">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33823A3B"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Pr>
                <w:rFonts w:eastAsia="Times New Roman" w:cs="Arial"/>
                <w:b/>
                <w:spacing w:val="-2"/>
                <w:sz w:val="14"/>
                <w:szCs w:val="18"/>
              </w:rPr>
              <w:t>30.566.274</w:t>
            </w:r>
          </w:p>
        </w:tc>
        <w:tc>
          <w:tcPr>
            <w:tcW w:w="1181" w:type="dxa"/>
            <w:tcBorders>
              <w:top w:val="nil"/>
              <w:bottom w:val="single" w:sz="2" w:space="0" w:color="1F4E79" w:themeColor="accent1" w:themeShade="80"/>
            </w:tcBorders>
            <w:shd w:val="clear" w:color="auto" w:fill="auto"/>
            <w:vAlign w:val="center"/>
            <w:hideMark/>
          </w:tcPr>
          <w:p w14:paraId="2600BB42"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w:t>
            </w:r>
            <w:r>
              <w:rPr>
                <w:rFonts w:eastAsia="Times New Roman" w:cs="Arial"/>
                <w:b/>
                <w:spacing w:val="-2"/>
                <w:sz w:val="14"/>
                <w:szCs w:val="18"/>
              </w:rPr>
              <w:t>0</w:t>
            </w:r>
          </w:p>
        </w:tc>
        <w:tc>
          <w:tcPr>
            <w:tcW w:w="1181" w:type="dxa"/>
            <w:tcBorders>
              <w:top w:val="nil"/>
              <w:bottom w:val="single" w:sz="2" w:space="0" w:color="1F4E79" w:themeColor="accent1" w:themeShade="80"/>
            </w:tcBorders>
            <w:shd w:val="clear" w:color="auto" w:fill="auto"/>
            <w:vAlign w:val="center"/>
            <w:hideMark/>
          </w:tcPr>
          <w:p w14:paraId="051C93F1"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Pr>
                <w:rFonts w:eastAsia="Times New Roman" w:cs="Arial"/>
                <w:b/>
                <w:spacing w:val="-2"/>
                <w:sz w:val="14"/>
                <w:szCs w:val="18"/>
              </w:rPr>
              <w:t>30.566.274</w:t>
            </w:r>
          </w:p>
        </w:tc>
        <w:tc>
          <w:tcPr>
            <w:tcW w:w="1181" w:type="dxa"/>
            <w:tcBorders>
              <w:top w:val="nil"/>
              <w:bottom w:val="single" w:sz="2" w:space="0" w:color="1F4E79" w:themeColor="accent1" w:themeShade="80"/>
            </w:tcBorders>
            <w:shd w:val="clear" w:color="auto" w:fill="auto"/>
            <w:vAlign w:val="center"/>
            <w:hideMark/>
          </w:tcPr>
          <w:p w14:paraId="34644A89"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068C3646"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Pr>
                <w:rFonts w:eastAsia="Times New Roman" w:cs="Arial"/>
                <w:b/>
                <w:spacing w:val="-2"/>
                <w:sz w:val="14"/>
                <w:szCs w:val="18"/>
              </w:rPr>
              <w:t>61.132.548</w:t>
            </w:r>
          </w:p>
        </w:tc>
        <w:tc>
          <w:tcPr>
            <w:tcW w:w="1182" w:type="dxa"/>
            <w:tcBorders>
              <w:top w:val="nil"/>
              <w:bottom w:val="single" w:sz="2" w:space="0" w:color="1F4E79" w:themeColor="accent1" w:themeShade="80"/>
            </w:tcBorders>
            <w:shd w:val="clear" w:color="auto" w:fill="auto"/>
            <w:vAlign w:val="center"/>
            <w:hideMark/>
          </w:tcPr>
          <w:p w14:paraId="4C0AE05D" w14:textId="77777777" w:rsidR="007D1BF4" w:rsidRPr="00355E72" w:rsidRDefault="007D1BF4" w:rsidP="00B638C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55E72">
              <w:rPr>
                <w:rFonts w:eastAsia="Times New Roman" w:cs="Arial"/>
                <w:b/>
                <w:spacing w:val="-2"/>
                <w:sz w:val="14"/>
                <w:szCs w:val="18"/>
              </w:rPr>
              <w:t>100</w:t>
            </w:r>
            <w:r>
              <w:rPr>
                <w:rFonts w:eastAsia="Times New Roman" w:cs="Arial"/>
                <w:b/>
                <w:spacing w:val="-2"/>
                <w:sz w:val="14"/>
                <w:szCs w:val="18"/>
              </w:rPr>
              <w:t>,</w:t>
            </w:r>
            <w:r w:rsidRPr="00355E72">
              <w:rPr>
                <w:rFonts w:eastAsia="Times New Roman" w:cs="Arial"/>
                <w:b/>
                <w:spacing w:val="-2"/>
                <w:sz w:val="14"/>
                <w:szCs w:val="18"/>
              </w:rPr>
              <w:t>000</w:t>
            </w:r>
          </w:p>
        </w:tc>
      </w:tr>
    </w:tbl>
    <w:p w14:paraId="4A40A98E" w14:textId="77777777" w:rsidR="007D1BF4" w:rsidRDefault="007D1BF4" w:rsidP="00A64ACF">
      <w:pPr>
        <w:pStyle w:val="01-Textonormal"/>
        <w:rPr>
          <w:rFonts w:cs="Arial"/>
          <w:b/>
          <w:snapToGrid w:val="0"/>
          <w:color w:val="1F4E79" w:themeColor="accent1" w:themeShade="80"/>
        </w:rPr>
      </w:pPr>
    </w:p>
    <w:p w14:paraId="2DB58561" w14:textId="77777777" w:rsidR="007D1BF4" w:rsidRPr="008A1338" w:rsidRDefault="007D1BF4" w:rsidP="00A64ACF">
      <w:pPr>
        <w:pStyle w:val="01-Textonormal"/>
        <w:rPr>
          <w:rFonts w:cs="Arial"/>
          <w:b/>
          <w:snapToGrid w:val="0"/>
          <w:color w:val="1F4E79" w:themeColor="accent1" w:themeShade="80"/>
        </w:rPr>
      </w:pPr>
      <w:r>
        <w:rPr>
          <w:rFonts w:cs="Arial"/>
          <w:b/>
          <w:snapToGrid w:val="0"/>
          <w:color w:val="1F4E79" w:themeColor="accent1" w:themeShade="80"/>
        </w:rPr>
        <w:t>b</w:t>
      </w:r>
      <w:r w:rsidRPr="008A1338">
        <w:rPr>
          <w:rFonts w:cs="Arial"/>
          <w:b/>
          <w:snapToGrid w:val="0"/>
          <w:color w:val="1F4E79" w:themeColor="accent1" w:themeShade="80"/>
        </w:rPr>
        <w:t xml:space="preserve">) </w:t>
      </w:r>
      <w:r>
        <w:rPr>
          <w:rFonts w:cs="Arial"/>
          <w:b/>
          <w:snapToGrid w:val="0"/>
          <w:color w:val="1F4E79" w:themeColor="accent1" w:themeShade="80"/>
        </w:rPr>
        <w:t>Brasilprev</w:t>
      </w:r>
      <w:r w:rsidRPr="008A1338">
        <w:rPr>
          <w:rFonts w:cs="Arial"/>
          <w:b/>
          <w:snapToGrid w:val="0"/>
          <w:color w:val="1F4E79" w:themeColor="accent1" w:themeShade="80"/>
        </w:rPr>
        <w:t xml:space="preserve"> Seguros</w:t>
      </w:r>
      <w:r>
        <w:rPr>
          <w:rFonts w:cs="Arial"/>
          <w:b/>
          <w:snapToGrid w:val="0"/>
          <w:color w:val="1F4E79" w:themeColor="accent1" w:themeShade="80"/>
        </w:rPr>
        <w:t xml:space="preserve"> e Previdência</w:t>
      </w:r>
      <w:r w:rsidRPr="008A1338">
        <w:rPr>
          <w:rFonts w:cs="Arial"/>
          <w:b/>
          <w:snapToGrid w:val="0"/>
          <w:color w:val="1F4E79" w:themeColor="accent1" w:themeShade="80"/>
        </w:rPr>
        <w:t xml:space="preserve"> S.A.</w:t>
      </w:r>
    </w:p>
    <w:p w14:paraId="27CA9715" w14:textId="77777777" w:rsidR="007D1BF4" w:rsidRPr="008A1338" w:rsidRDefault="007D1BF4" w:rsidP="00ED3E8A">
      <w:pPr>
        <w:pStyle w:val="05-Textonormal"/>
      </w:pPr>
      <w:r w:rsidRPr="00801926">
        <w:t>Em 30 de dezembro de 2020, a Assembleia Geral da Brasilprev se reuniu, de maneira extraordinária, para aprovar o aumento de capital social da Brasilprev, em R$ 1.199.998.758,74</w:t>
      </w:r>
      <w:r>
        <w:t>,</w:t>
      </w:r>
      <w:r w:rsidRPr="00801926">
        <w:t xml:space="preserve"> mediante emissão de 422.686 ações ordinárias e 422.686 ações preferenciais, com preço de emissão de R$ 1.419,49 cada uma, calculado com base no Patrimônio Líquido da Brasilprev de 30 de novembro de 2020. Na mesma data, a BB Seguridade Participações S.A. divulgou Fato Relevante ao mercado comunicando a transação</w:t>
      </w:r>
      <w:r>
        <w:t xml:space="preserve">. </w:t>
      </w:r>
      <w:r w:rsidRPr="00C96DA4">
        <w:t>O reforço se f</w:t>
      </w:r>
      <w:r>
        <w:t>e</w:t>
      </w:r>
      <w:r w:rsidRPr="00C96DA4">
        <w:t>z necessário em virtude da forte alta do IGP-M, ocorrida</w:t>
      </w:r>
      <w:r>
        <w:t>,</w:t>
      </w:r>
      <w:r w:rsidRPr="00C96DA4">
        <w:t xml:space="preserve"> principalmente</w:t>
      </w:r>
      <w:r>
        <w:t>,</w:t>
      </w:r>
      <w:r w:rsidRPr="00C96DA4">
        <w:t xml:space="preserve"> no 2º semestre de 2020, com impacto nos planos </w:t>
      </w:r>
      <w:r>
        <w:t xml:space="preserve">de previdência </w:t>
      </w:r>
      <w:r w:rsidRPr="00C96DA4">
        <w:t>tradicionais</w:t>
      </w:r>
      <w:r>
        <w:t>.</w:t>
      </w:r>
    </w:p>
    <w:p w14:paraId="2212C6FD" w14:textId="77777777" w:rsidR="007D1BF4" w:rsidRPr="008A1338" w:rsidRDefault="007D1BF4" w:rsidP="00ED3E8A">
      <w:pPr>
        <w:pStyle w:val="05-Textonormal"/>
      </w:pPr>
      <w:r w:rsidRPr="008A1338">
        <w:t xml:space="preserve">A BB </w:t>
      </w:r>
      <w:r>
        <w:t xml:space="preserve">Seguros Participações </w:t>
      </w:r>
      <w:r w:rsidRPr="008A1338">
        <w:t xml:space="preserve">S.A. subscreveu </w:t>
      </w:r>
      <w:r>
        <w:t>211.301</w:t>
      </w:r>
      <w:r w:rsidRPr="008A1338">
        <w:t xml:space="preserve"> ações ordinárias e </w:t>
      </w:r>
      <w:r>
        <w:t>422.686</w:t>
      </w:r>
      <w:r w:rsidRPr="008A1338">
        <w:t xml:space="preserve"> ações preferenciais, equivalentes a R$</w:t>
      </w:r>
      <w:r>
        <w:t> 899.939.450,39</w:t>
      </w:r>
      <w:r w:rsidRPr="008A1338">
        <w:t xml:space="preserve">, </w:t>
      </w:r>
      <w:r>
        <w:t xml:space="preserve">enquanto a </w:t>
      </w:r>
      <w:r w:rsidRPr="00B05866">
        <w:t>PFG do Brasil Ltda. subscreveu 211.385 ações ordinárias, equivalentes a R$</w:t>
      </w:r>
      <w:r>
        <w:t> </w:t>
      </w:r>
      <w:r w:rsidRPr="00B05866">
        <w:t>300.05</w:t>
      </w:r>
      <w:r>
        <w:t>9</w:t>
      </w:r>
      <w:r w:rsidRPr="00B05866">
        <w:t>.</w:t>
      </w:r>
      <w:r>
        <w:t>308</w:t>
      </w:r>
      <w:r w:rsidRPr="00B05866">
        <w:t>,</w:t>
      </w:r>
      <w:r>
        <w:t>3</w:t>
      </w:r>
      <w:r w:rsidRPr="00B05866">
        <w:t>5</w:t>
      </w:r>
      <w:r>
        <w:t>, tendo as acionistas deliberado pela integralização até 31 de janeiro de 2021.</w:t>
      </w:r>
    </w:p>
    <w:p w14:paraId="4568A0E4" w14:textId="77777777" w:rsidR="007D1BF4" w:rsidRDefault="007D1BF4" w:rsidP="00ED3E8A">
      <w:pPr>
        <w:pStyle w:val="05-Textonormal"/>
      </w:pPr>
      <w:r w:rsidRPr="008A1338">
        <w:lastRenderedPageBreak/>
        <w:t xml:space="preserve">O capital social da </w:t>
      </w:r>
      <w:r>
        <w:t>Brasilprev</w:t>
      </w:r>
      <w:r w:rsidRPr="008A1338">
        <w:t>, totalmente subscrito</w:t>
      </w:r>
      <w:r>
        <w:t xml:space="preserve">, </w:t>
      </w:r>
      <w:r w:rsidRPr="008A1338">
        <w:t xml:space="preserve">passou a ser de R$ </w:t>
      </w:r>
      <w:r>
        <w:t>2.929.257.699,28, totalmente integralizados</w:t>
      </w:r>
      <w:r w:rsidRPr="008A1338">
        <w:t xml:space="preserve">, dividido em </w:t>
      </w:r>
      <w:r>
        <w:t>3.135.452</w:t>
      </w:r>
      <w:r w:rsidRPr="008A1338">
        <w:t xml:space="preserve"> de ações, das quais </w:t>
      </w:r>
      <w:r>
        <w:t>1.567.726</w:t>
      </w:r>
      <w:r w:rsidRPr="008A1338">
        <w:t xml:space="preserve"> são ações ordinárias e </w:t>
      </w:r>
      <w:r>
        <w:t>1.567.726</w:t>
      </w:r>
      <w:r w:rsidRPr="008A1338">
        <w:t xml:space="preserve"> são ações preferenciais, distribuídas entre as acionistas na seguinte proporção</w:t>
      </w:r>
      <w:r>
        <w:t>:</w:t>
      </w:r>
    </w:p>
    <w:tbl>
      <w:tblPr>
        <w:tblStyle w:val="TabeladeLista6Colorida-nfase5"/>
        <w:tblW w:w="9639" w:type="dxa"/>
        <w:jc w:val="center"/>
        <w:tblLayout w:type="fixed"/>
        <w:tblLook w:val="04A0" w:firstRow="1" w:lastRow="0" w:firstColumn="1" w:lastColumn="0" w:noHBand="0" w:noVBand="1"/>
      </w:tblPr>
      <w:tblGrid>
        <w:gridCol w:w="2552"/>
        <w:gridCol w:w="1181"/>
        <w:gridCol w:w="1181"/>
        <w:gridCol w:w="1181"/>
        <w:gridCol w:w="1181"/>
        <w:gridCol w:w="1181"/>
        <w:gridCol w:w="1182"/>
      </w:tblGrid>
      <w:tr w:rsidR="007D1BF4" w:rsidRPr="00B05866" w14:paraId="0CF695AB" w14:textId="77777777" w:rsidTr="007D1BF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2EF4626D" w14:textId="77777777" w:rsidR="007D1BF4" w:rsidRPr="00B05866" w:rsidRDefault="007D1BF4" w:rsidP="00925318">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7070B5CE"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EFB813E"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19A0676"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7D1BF4" w:rsidRPr="00B05866" w14:paraId="2865E094"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6AD86875" w14:textId="77777777" w:rsidR="007D1BF4" w:rsidRPr="00B05866" w:rsidRDefault="007D1BF4" w:rsidP="00925318">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0B2C43B6"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C2E47E7"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68937E4"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93210E6"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0BF370C"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02AFABFE"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7D1BF4" w:rsidRPr="00B05866" w14:paraId="398CC675"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6765552C" w14:textId="77777777" w:rsidR="007D1BF4" w:rsidRPr="00B05866" w:rsidRDefault="007D1BF4" w:rsidP="00925318">
            <w:pPr>
              <w:keepNext/>
              <w:keepLines/>
              <w:spacing w:before="40" w:after="40"/>
              <w:rPr>
                <w:rFonts w:eastAsia="Times New Roman" w:cs="Arial"/>
                <w:b w:val="0"/>
                <w:spacing w:val="-2"/>
                <w:sz w:val="14"/>
                <w:szCs w:val="14"/>
              </w:rPr>
            </w:pPr>
            <w:r w:rsidRPr="00B05866">
              <w:rPr>
                <w:rFonts w:eastAsia="Times New Roman" w:cs="Arial"/>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35816DCC"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783.707</w:t>
            </w:r>
          </w:p>
        </w:tc>
        <w:tc>
          <w:tcPr>
            <w:tcW w:w="1181" w:type="dxa"/>
            <w:tcBorders>
              <w:top w:val="single" w:sz="2" w:space="0" w:color="1F4E79" w:themeColor="accent1" w:themeShade="80"/>
              <w:bottom w:val="nil"/>
            </w:tcBorders>
            <w:shd w:val="clear" w:color="auto" w:fill="auto"/>
            <w:vAlign w:val="center"/>
            <w:hideMark/>
          </w:tcPr>
          <w:p w14:paraId="415E0BC4"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49,990</w:t>
            </w:r>
          </w:p>
        </w:tc>
        <w:tc>
          <w:tcPr>
            <w:tcW w:w="1181" w:type="dxa"/>
            <w:tcBorders>
              <w:top w:val="single" w:sz="2" w:space="0" w:color="1F4E79" w:themeColor="accent1" w:themeShade="80"/>
              <w:bottom w:val="nil"/>
            </w:tcBorders>
            <w:shd w:val="clear" w:color="auto" w:fill="auto"/>
            <w:vAlign w:val="center"/>
            <w:hideMark/>
          </w:tcPr>
          <w:p w14:paraId="4FF6442E"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8"/>
              </w:rPr>
            </w:pPr>
            <w:r w:rsidRPr="00B05866">
              <w:rPr>
                <w:rFonts w:eastAsia="Times New Roman" w:cs="Arial"/>
                <w:bCs/>
                <w:spacing w:val="-2"/>
                <w:sz w:val="14"/>
                <w:szCs w:val="18"/>
              </w:rPr>
              <w:t>1.567.726</w:t>
            </w:r>
          </w:p>
        </w:tc>
        <w:tc>
          <w:tcPr>
            <w:tcW w:w="1181" w:type="dxa"/>
            <w:tcBorders>
              <w:top w:val="single" w:sz="2" w:space="0" w:color="1F4E79" w:themeColor="accent1" w:themeShade="80"/>
              <w:bottom w:val="nil"/>
            </w:tcBorders>
            <w:shd w:val="clear" w:color="auto" w:fill="auto"/>
            <w:vAlign w:val="center"/>
            <w:hideMark/>
          </w:tcPr>
          <w:p w14:paraId="35A27AB8"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100,000</w:t>
            </w:r>
          </w:p>
        </w:tc>
        <w:tc>
          <w:tcPr>
            <w:tcW w:w="1181" w:type="dxa"/>
            <w:tcBorders>
              <w:top w:val="single" w:sz="2" w:space="0" w:color="1F4E79" w:themeColor="accent1" w:themeShade="80"/>
              <w:bottom w:val="nil"/>
            </w:tcBorders>
            <w:shd w:val="clear" w:color="auto" w:fill="auto"/>
            <w:vAlign w:val="center"/>
            <w:hideMark/>
          </w:tcPr>
          <w:p w14:paraId="354AAECD"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2.351.433</w:t>
            </w:r>
          </w:p>
        </w:tc>
        <w:tc>
          <w:tcPr>
            <w:tcW w:w="1182" w:type="dxa"/>
            <w:tcBorders>
              <w:top w:val="single" w:sz="2" w:space="0" w:color="1F4E79" w:themeColor="accent1" w:themeShade="80"/>
              <w:bottom w:val="nil"/>
            </w:tcBorders>
            <w:shd w:val="clear" w:color="auto" w:fill="auto"/>
            <w:vAlign w:val="center"/>
            <w:hideMark/>
          </w:tcPr>
          <w:p w14:paraId="0D20ACAB"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74,995</w:t>
            </w:r>
          </w:p>
        </w:tc>
      </w:tr>
      <w:tr w:rsidR="007D1BF4" w:rsidRPr="00B05866" w14:paraId="05B0C830"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68A64208" w14:textId="77777777" w:rsidR="007D1BF4" w:rsidRPr="00B05866" w:rsidRDefault="007D1BF4" w:rsidP="00925318">
            <w:pPr>
              <w:keepNext/>
              <w:keepLines/>
              <w:spacing w:before="40" w:after="40"/>
              <w:rPr>
                <w:rFonts w:eastAsia="Times New Roman" w:cs="Arial"/>
                <w:b w:val="0"/>
                <w:spacing w:val="-2"/>
                <w:sz w:val="14"/>
                <w:szCs w:val="18"/>
              </w:rPr>
            </w:pPr>
            <w:r w:rsidRPr="00B05866">
              <w:rPr>
                <w:rFonts w:eastAsia="Times New Roman" w:cs="Arial"/>
                <w:spacing w:val="-2"/>
                <w:sz w:val="14"/>
                <w:szCs w:val="18"/>
              </w:rPr>
              <w:t>PFG</w:t>
            </w:r>
          </w:p>
        </w:tc>
        <w:tc>
          <w:tcPr>
            <w:tcW w:w="1181" w:type="dxa"/>
            <w:tcBorders>
              <w:top w:val="nil"/>
              <w:bottom w:val="nil"/>
            </w:tcBorders>
            <w:shd w:val="clear" w:color="auto" w:fill="auto"/>
            <w:vAlign w:val="center"/>
            <w:hideMark/>
          </w:tcPr>
          <w:p w14:paraId="4D400A57"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784.019</w:t>
            </w:r>
          </w:p>
        </w:tc>
        <w:tc>
          <w:tcPr>
            <w:tcW w:w="1181" w:type="dxa"/>
            <w:tcBorders>
              <w:top w:val="nil"/>
              <w:bottom w:val="nil"/>
            </w:tcBorders>
            <w:shd w:val="clear" w:color="auto" w:fill="auto"/>
            <w:vAlign w:val="center"/>
            <w:hideMark/>
          </w:tcPr>
          <w:p w14:paraId="2CD998DA"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50,010</w:t>
            </w:r>
          </w:p>
        </w:tc>
        <w:tc>
          <w:tcPr>
            <w:tcW w:w="1181" w:type="dxa"/>
            <w:tcBorders>
              <w:top w:val="nil"/>
              <w:bottom w:val="nil"/>
            </w:tcBorders>
            <w:shd w:val="clear" w:color="auto" w:fill="auto"/>
            <w:vAlign w:val="center"/>
            <w:hideMark/>
          </w:tcPr>
          <w:p w14:paraId="32C9B697"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w:t>
            </w:r>
          </w:p>
        </w:tc>
        <w:tc>
          <w:tcPr>
            <w:tcW w:w="1181" w:type="dxa"/>
            <w:tcBorders>
              <w:top w:val="nil"/>
              <w:bottom w:val="nil"/>
            </w:tcBorders>
            <w:shd w:val="clear" w:color="auto" w:fill="auto"/>
            <w:vAlign w:val="center"/>
            <w:hideMark/>
          </w:tcPr>
          <w:p w14:paraId="7F6E9F0F"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w:t>
            </w:r>
          </w:p>
        </w:tc>
        <w:tc>
          <w:tcPr>
            <w:tcW w:w="1181" w:type="dxa"/>
            <w:tcBorders>
              <w:top w:val="nil"/>
              <w:bottom w:val="nil"/>
            </w:tcBorders>
            <w:shd w:val="clear" w:color="auto" w:fill="auto"/>
            <w:vAlign w:val="center"/>
            <w:hideMark/>
          </w:tcPr>
          <w:p w14:paraId="51D90B58"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784.019</w:t>
            </w:r>
          </w:p>
        </w:tc>
        <w:tc>
          <w:tcPr>
            <w:tcW w:w="1182" w:type="dxa"/>
            <w:tcBorders>
              <w:top w:val="nil"/>
              <w:bottom w:val="nil"/>
            </w:tcBorders>
            <w:shd w:val="clear" w:color="auto" w:fill="auto"/>
            <w:vAlign w:val="center"/>
            <w:hideMark/>
          </w:tcPr>
          <w:p w14:paraId="0E95036B" w14:textId="77777777" w:rsidR="007D1BF4" w:rsidRPr="00B05866" w:rsidRDefault="007D1BF4" w:rsidP="0092531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B05866">
              <w:rPr>
                <w:rFonts w:eastAsia="Times New Roman" w:cs="Arial"/>
                <w:spacing w:val="-2"/>
                <w:sz w:val="14"/>
                <w:szCs w:val="18"/>
              </w:rPr>
              <w:t>25,005</w:t>
            </w:r>
          </w:p>
        </w:tc>
      </w:tr>
      <w:tr w:rsidR="007D1BF4" w:rsidRPr="00355E72" w14:paraId="35B87169"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69FC8245" w14:textId="77777777" w:rsidR="007D1BF4" w:rsidRPr="00B05866" w:rsidRDefault="007D1BF4" w:rsidP="00925318">
            <w:pPr>
              <w:keepNext/>
              <w:keepLines/>
              <w:spacing w:before="40" w:after="40"/>
              <w:rPr>
                <w:rFonts w:eastAsia="Times New Roman" w:cs="Arial"/>
                <w:spacing w:val="-2"/>
                <w:sz w:val="14"/>
                <w:szCs w:val="14"/>
              </w:rPr>
            </w:pPr>
            <w:r w:rsidRPr="00B05866">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171E910C"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1.567.726</w:t>
            </w:r>
          </w:p>
        </w:tc>
        <w:tc>
          <w:tcPr>
            <w:tcW w:w="1181" w:type="dxa"/>
            <w:tcBorders>
              <w:top w:val="nil"/>
              <w:bottom w:val="single" w:sz="2" w:space="0" w:color="1F4E79" w:themeColor="accent1" w:themeShade="80"/>
            </w:tcBorders>
            <w:shd w:val="clear" w:color="auto" w:fill="auto"/>
            <w:vAlign w:val="center"/>
            <w:hideMark/>
          </w:tcPr>
          <w:p w14:paraId="0AAF3621"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7EBC4F60"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1.567.726</w:t>
            </w:r>
          </w:p>
        </w:tc>
        <w:tc>
          <w:tcPr>
            <w:tcW w:w="1181" w:type="dxa"/>
            <w:tcBorders>
              <w:top w:val="nil"/>
              <w:bottom w:val="single" w:sz="2" w:space="0" w:color="1F4E79" w:themeColor="accent1" w:themeShade="80"/>
            </w:tcBorders>
            <w:shd w:val="clear" w:color="auto" w:fill="auto"/>
            <w:vAlign w:val="center"/>
            <w:hideMark/>
          </w:tcPr>
          <w:p w14:paraId="193E0958"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7BF924FF"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3.135.452</w:t>
            </w:r>
          </w:p>
        </w:tc>
        <w:tc>
          <w:tcPr>
            <w:tcW w:w="1182" w:type="dxa"/>
            <w:tcBorders>
              <w:top w:val="nil"/>
              <w:bottom w:val="single" w:sz="2" w:space="0" w:color="1F4E79" w:themeColor="accent1" w:themeShade="80"/>
            </w:tcBorders>
            <w:shd w:val="clear" w:color="auto" w:fill="auto"/>
            <w:vAlign w:val="center"/>
            <w:hideMark/>
          </w:tcPr>
          <w:p w14:paraId="200D350A" w14:textId="77777777" w:rsidR="007D1BF4" w:rsidRPr="00B05866" w:rsidRDefault="007D1BF4" w:rsidP="009253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B05866">
              <w:rPr>
                <w:rFonts w:eastAsia="Times New Roman" w:cs="Arial"/>
                <w:b/>
                <w:spacing w:val="-2"/>
                <w:sz w:val="14"/>
                <w:szCs w:val="18"/>
              </w:rPr>
              <w:t>100,000</w:t>
            </w:r>
          </w:p>
        </w:tc>
      </w:tr>
    </w:tbl>
    <w:p w14:paraId="7FE3AC7F" w14:textId="77777777" w:rsidR="007D1BF4" w:rsidRDefault="007D1BF4" w:rsidP="008F1FCF">
      <w:pPr>
        <w:pStyle w:val="07-Legenda"/>
      </w:pPr>
    </w:p>
    <w:p w14:paraId="5C5D7ECB" w14:textId="77777777" w:rsidR="007D1BF4" w:rsidRPr="007C7504" w:rsidRDefault="007D1BF4" w:rsidP="00AE0597">
      <w:pPr>
        <w:pStyle w:val="05-Textonormal"/>
      </w:pPr>
      <w:r>
        <w:t xml:space="preserve">Em consonância com o Comunicado ao Mercado divulgado pela BB Seguridade </w:t>
      </w:r>
      <w:r w:rsidRPr="00801926">
        <w:t>Participações S.A.</w:t>
      </w:r>
      <w:r>
        <w:t xml:space="preserve"> em 15 de junho de 2021, a Brasilprev realizou, em 7 de junho de 2021, a emissão de 550.000 debêntures subordinadas, não conversíveis em ações, com valor nominal unitário de R$ 1.000,00, perfazendo o montante total de R$ 550.000.000,00. A emissão não alterou a participação detida pela BB Seguros </w:t>
      </w:r>
      <w:r w:rsidRPr="007D3AAA">
        <w:t>Participações S.A.</w:t>
      </w:r>
      <w:r>
        <w:t xml:space="preserve"> no capital total da Brasilprev e os recursos captados foram utilizados para a cobertura de seu Capital Mínimo Requerido.</w:t>
      </w:r>
    </w:p>
    <w:p w14:paraId="09D618ED" w14:textId="77777777" w:rsidR="007D1BF4" w:rsidRDefault="007D1BF4" w:rsidP="00AC6825">
      <w:pPr>
        <w:pStyle w:val="05-Textonormal"/>
        <w:rPr>
          <w:color w:val="000000" w:themeColor="text1"/>
        </w:rPr>
      </w:pPr>
      <w:r>
        <w:rPr>
          <w:color w:val="000000" w:themeColor="text1"/>
        </w:rPr>
        <w:t>No dia</w:t>
      </w:r>
      <w:r w:rsidRPr="00AC6825">
        <w:rPr>
          <w:color w:val="000000" w:themeColor="text1"/>
        </w:rPr>
        <w:t xml:space="preserve"> </w:t>
      </w:r>
      <w:r w:rsidRPr="0088150A">
        <w:rPr>
          <w:color w:val="000000" w:themeColor="text1"/>
        </w:rPr>
        <w:t xml:space="preserve">25 de junho de </w:t>
      </w:r>
      <w:r w:rsidRPr="00AC6825">
        <w:rPr>
          <w:color w:val="000000" w:themeColor="text1"/>
        </w:rPr>
        <w:t>2021</w:t>
      </w:r>
      <w:r>
        <w:rPr>
          <w:color w:val="000000" w:themeColor="text1"/>
        </w:rPr>
        <w:t>,</w:t>
      </w:r>
      <w:r w:rsidRPr="00AC6825">
        <w:rPr>
          <w:color w:val="000000" w:themeColor="text1"/>
        </w:rPr>
        <w:t xml:space="preserve"> a Assembleia Geral da Brasilprev </w:t>
      </w:r>
      <w:r w:rsidRPr="00896C18">
        <w:t xml:space="preserve">se reuniu, </w:t>
      </w:r>
      <w:r>
        <w:t>extraordinariamente</w:t>
      </w:r>
      <w:r w:rsidRPr="00896C18">
        <w:t xml:space="preserve">, para aprovar um novo aumento do capital social da </w:t>
      </w:r>
      <w:r w:rsidRPr="00AC6825">
        <w:rPr>
          <w:color w:val="000000" w:themeColor="text1"/>
        </w:rPr>
        <w:t xml:space="preserve">Brasilprev, em R$ 599.999.556,89, mediante emissão de 191.211 novas ações ordinárias e 191.211 novas ações preferenciais, com preço de emissão de R$ 1.568,95 cada uma, calculado com base no Patrimônio Líquido da </w:t>
      </w:r>
      <w:r>
        <w:rPr>
          <w:color w:val="000000" w:themeColor="text1"/>
        </w:rPr>
        <w:t>Brasilprev</w:t>
      </w:r>
      <w:r w:rsidRPr="00AC6825">
        <w:rPr>
          <w:color w:val="000000" w:themeColor="text1"/>
        </w:rPr>
        <w:t xml:space="preserve"> </w:t>
      </w:r>
      <w:r w:rsidRPr="007D3AAA">
        <w:rPr>
          <w:color w:val="000000" w:themeColor="text1"/>
        </w:rPr>
        <w:t>em 31 de m</w:t>
      </w:r>
      <w:r w:rsidRPr="00AC6825">
        <w:rPr>
          <w:color w:val="000000" w:themeColor="text1"/>
        </w:rPr>
        <w:t>aio de 2021.</w:t>
      </w:r>
      <w:r>
        <w:rPr>
          <w:color w:val="000000" w:themeColor="text1"/>
        </w:rPr>
        <w:t xml:space="preserve"> Anteriormente, em 22 de junho de 2021, </w:t>
      </w:r>
      <w:r w:rsidRPr="00801926">
        <w:t>a BB Seguridade Participações S.A.</w:t>
      </w:r>
      <w:r>
        <w:t xml:space="preserve"> já havia divulgado Fato Relevante ao mercado, informando a aprovação deste reforço de capital pelo seu Conselho de Administração.</w:t>
      </w:r>
    </w:p>
    <w:p w14:paraId="7586F424" w14:textId="77777777" w:rsidR="007D1BF4" w:rsidRPr="00AC6825" w:rsidRDefault="007D1BF4" w:rsidP="007D3AAA">
      <w:pPr>
        <w:pStyle w:val="05-Textonormal"/>
        <w:rPr>
          <w:color w:val="FF0000"/>
        </w:rPr>
      </w:pPr>
      <w:r w:rsidRPr="007D3AAA">
        <w:t xml:space="preserve">A BB Seguros Participações S.A. subscreveu </w:t>
      </w:r>
      <w:r w:rsidRPr="00A66587">
        <w:t>95.586 ações ordinárias e 191.211</w:t>
      </w:r>
      <w:r>
        <w:t xml:space="preserve"> </w:t>
      </w:r>
      <w:r w:rsidRPr="00A66587">
        <w:t>ações preferenciais, equivalentes a R$</w:t>
      </w:r>
      <w:r>
        <w:t> </w:t>
      </w:r>
      <w:r w:rsidRPr="00A66587">
        <w:t>449.969.073,22</w:t>
      </w:r>
      <w:r w:rsidRPr="00F90E6B">
        <w:t xml:space="preserve">, enquanto a PFG do Brasil Ltda. subscreveu 95.625 ações ordinárias, equivalentes a R$ 150.030.483,67, </w:t>
      </w:r>
      <w:r w:rsidRPr="007D3AAA">
        <w:t xml:space="preserve">integralizadas em moeda corrente </w:t>
      </w:r>
      <w:r w:rsidRPr="00AC6825">
        <w:rPr>
          <w:color w:val="000000" w:themeColor="text1"/>
        </w:rPr>
        <w:t>nacional em 28 de junho de 2021.</w:t>
      </w:r>
      <w:r>
        <w:rPr>
          <w:color w:val="000000" w:themeColor="text1"/>
        </w:rPr>
        <w:t xml:space="preserve"> N</w:t>
      </w:r>
      <w:r w:rsidRPr="004F4CA0">
        <w:rPr>
          <w:color w:val="000000" w:themeColor="text1"/>
        </w:rPr>
        <w:t xml:space="preserve">ão houve mudança nos </w:t>
      </w:r>
      <w:r>
        <w:rPr>
          <w:color w:val="000000" w:themeColor="text1"/>
        </w:rPr>
        <w:t>percentuais</w:t>
      </w:r>
      <w:r w:rsidRPr="004F4CA0">
        <w:rPr>
          <w:color w:val="000000" w:themeColor="text1"/>
        </w:rPr>
        <w:t xml:space="preserve"> de participação da BB Seguros no capital </w:t>
      </w:r>
      <w:r>
        <w:rPr>
          <w:color w:val="000000" w:themeColor="text1"/>
        </w:rPr>
        <w:t xml:space="preserve">social </w:t>
      </w:r>
      <w:r w:rsidRPr="004F4CA0">
        <w:rPr>
          <w:color w:val="000000" w:themeColor="text1"/>
        </w:rPr>
        <w:t>da Brasilprev</w:t>
      </w:r>
      <w:r>
        <w:rPr>
          <w:color w:val="000000" w:themeColor="text1"/>
        </w:rPr>
        <w:t>.</w:t>
      </w:r>
    </w:p>
    <w:p w14:paraId="5551042F" w14:textId="77777777" w:rsidR="007D1BF4" w:rsidRDefault="007D1BF4" w:rsidP="007D3AAA">
      <w:pPr>
        <w:pStyle w:val="05-Textonormal"/>
      </w:pPr>
      <w:r w:rsidRPr="008A1338">
        <w:t xml:space="preserve">O capital social da </w:t>
      </w:r>
      <w:r>
        <w:t>Brasilprev</w:t>
      </w:r>
      <w:r w:rsidRPr="008A1338">
        <w:t>, totalmente subscrito</w:t>
      </w:r>
      <w:r>
        <w:t xml:space="preserve">, </w:t>
      </w:r>
      <w:r w:rsidRPr="008A1338">
        <w:t xml:space="preserve">passou a ser de </w:t>
      </w:r>
      <w:r>
        <w:t>R$ 3.529.257.256,17, totalmente integralizados</w:t>
      </w:r>
      <w:r w:rsidRPr="008A1338">
        <w:t xml:space="preserve">, dividido em </w:t>
      </w:r>
      <w:r>
        <w:t xml:space="preserve">3.517.874 </w:t>
      </w:r>
      <w:r w:rsidRPr="008A1338">
        <w:t xml:space="preserve">ações, das quais </w:t>
      </w:r>
      <w:r>
        <w:t xml:space="preserve">1.758.937 </w:t>
      </w:r>
      <w:r w:rsidRPr="008A1338">
        <w:t xml:space="preserve">são ações ordinárias e </w:t>
      </w:r>
      <w:r>
        <w:t xml:space="preserve">1.758.937 </w:t>
      </w:r>
      <w:r w:rsidRPr="008A1338">
        <w:t>são ações preferenciais, distribuídas entre as acionistas na seguinte proporção</w:t>
      </w:r>
      <w:r>
        <w:t>:</w:t>
      </w:r>
    </w:p>
    <w:tbl>
      <w:tblPr>
        <w:tblStyle w:val="TabeladeLista6Colorida-nfase5"/>
        <w:tblW w:w="9639" w:type="dxa"/>
        <w:jc w:val="center"/>
        <w:tblLayout w:type="fixed"/>
        <w:tblLook w:val="04A0" w:firstRow="1" w:lastRow="0" w:firstColumn="1" w:lastColumn="0" w:noHBand="0" w:noVBand="1"/>
      </w:tblPr>
      <w:tblGrid>
        <w:gridCol w:w="2552"/>
        <w:gridCol w:w="1181"/>
        <w:gridCol w:w="1181"/>
        <w:gridCol w:w="1181"/>
        <w:gridCol w:w="1181"/>
        <w:gridCol w:w="1181"/>
        <w:gridCol w:w="1182"/>
      </w:tblGrid>
      <w:tr w:rsidR="007D1BF4" w:rsidRPr="00B05866" w14:paraId="3E997E64" w14:textId="77777777" w:rsidTr="007D1BF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201A69B3" w14:textId="77777777" w:rsidR="007D1BF4" w:rsidRPr="00B05866" w:rsidRDefault="007D1BF4" w:rsidP="006A27B3">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3055BDB6"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645BC61B"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FCBF597" w14:textId="77777777" w:rsidR="007D1BF4" w:rsidRPr="00B05866" w:rsidRDefault="007D1BF4" w:rsidP="001C468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7D1BF4" w:rsidRPr="00B05866" w14:paraId="48E4EFF6"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2192A8AF" w14:textId="77777777" w:rsidR="007D1BF4" w:rsidRPr="00B05866" w:rsidRDefault="007D1BF4" w:rsidP="006A27B3">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25DF9B3"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A40FD61"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A45324D"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BA7996C"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7B5C230"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42E79250" w14:textId="77777777" w:rsidR="007D1BF4" w:rsidRPr="00B05866"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7D1BF4" w:rsidRPr="00B05866" w14:paraId="349F626F"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11D69599" w14:textId="77777777" w:rsidR="007D1BF4" w:rsidRPr="00B05866" w:rsidRDefault="007D1BF4" w:rsidP="006A27B3">
            <w:pPr>
              <w:keepNext/>
              <w:keepLines/>
              <w:spacing w:before="40" w:after="40"/>
              <w:rPr>
                <w:rFonts w:eastAsia="Times New Roman" w:cs="Arial"/>
                <w:b w:val="0"/>
                <w:spacing w:val="-2"/>
                <w:sz w:val="14"/>
                <w:szCs w:val="14"/>
              </w:rPr>
            </w:pPr>
            <w:r w:rsidRPr="00B05866">
              <w:rPr>
                <w:rFonts w:eastAsia="Times New Roman" w:cs="Arial"/>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7035D144" w14:textId="77777777" w:rsidR="007D1BF4" w:rsidRPr="001F571E"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AC6825">
              <w:rPr>
                <w:rFonts w:eastAsia="Times New Roman" w:cs="Arial"/>
                <w:color w:val="auto"/>
                <w:spacing w:val="-2"/>
                <w:sz w:val="14"/>
                <w:szCs w:val="18"/>
              </w:rPr>
              <w:t>879.293</w:t>
            </w:r>
          </w:p>
        </w:tc>
        <w:tc>
          <w:tcPr>
            <w:tcW w:w="1181" w:type="dxa"/>
            <w:tcBorders>
              <w:top w:val="single" w:sz="2" w:space="0" w:color="1F4E79" w:themeColor="accent1" w:themeShade="80"/>
              <w:bottom w:val="nil"/>
            </w:tcBorders>
            <w:shd w:val="clear" w:color="auto" w:fill="auto"/>
            <w:vAlign w:val="center"/>
            <w:hideMark/>
          </w:tcPr>
          <w:p w14:paraId="5BAA10DE" w14:textId="77777777" w:rsidR="007D1BF4" w:rsidRPr="000C418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49,990</w:t>
            </w:r>
          </w:p>
        </w:tc>
        <w:tc>
          <w:tcPr>
            <w:tcW w:w="1181" w:type="dxa"/>
            <w:tcBorders>
              <w:top w:val="single" w:sz="2" w:space="0" w:color="1F4E79" w:themeColor="accent1" w:themeShade="80"/>
              <w:bottom w:val="nil"/>
            </w:tcBorders>
            <w:shd w:val="clear" w:color="auto" w:fill="auto"/>
            <w:vAlign w:val="center"/>
            <w:hideMark/>
          </w:tcPr>
          <w:p w14:paraId="2655F588" w14:textId="77777777" w:rsidR="007D1BF4" w:rsidRPr="001F571E"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8"/>
              </w:rPr>
            </w:pPr>
            <w:r w:rsidRPr="00AC6825">
              <w:rPr>
                <w:rFonts w:eastAsia="Times New Roman" w:cs="Arial"/>
                <w:bCs/>
                <w:color w:val="auto"/>
                <w:spacing w:val="-2"/>
                <w:sz w:val="14"/>
                <w:szCs w:val="18"/>
              </w:rPr>
              <w:t>1.758.937</w:t>
            </w:r>
          </w:p>
        </w:tc>
        <w:tc>
          <w:tcPr>
            <w:tcW w:w="1181" w:type="dxa"/>
            <w:tcBorders>
              <w:top w:val="single" w:sz="2" w:space="0" w:color="1F4E79" w:themeColor="accent1" w:themeShade="80"/>
              <w:bottom w:val="nil"/>
            </w:tcBorders>
            <w:shd w:val="clear" w:color="auto" w:fill="auto"/>
            <w:vAlign w:val="center"/>
            <w:hideMark/>
          </w:tcPr>
          <w:p w14:paraId="4AB936ED" w14:textId="77777777" w:rsidR="007D1BF4" w:rsidRPr="000C418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100,000</w:t>
            </w:r>
          </w:p>
        </w:tc>
        <w:tc>
          <w:tcPr>
            <w:tcW w:w="1181" w:type="dxa"/>
            <w:tcBorders>
              <w:top w:val="single" w:sz="2" w:space="0" w:color="1F4E79" w:themeColor="accent1" w:themeShade="80"/>
              <w:bottom w:val="nil"/>
            </w:tcBorders>
            <w:shd w:val="clear" w:color="auto" w:fill="auto"/>
            <w:vAlign w:val="center"/>
            <w:hideMark/>
          </w:tcPr>
          <w:p w14:paraId="3E7CF7BE" w14:textId="77777777" w:rsidR="007D1BF4" w:rsidRPr="001F571E"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AC6825">
              <w:rPr>
                <w:rFonts w:eastAsia="Times New Roman" w:cs="Arial"/>
                <w:color w:val="auto"/>
                <w:spacing w:val="-2"/>
                <w:sz w:val="14"/>
                <w:szCs w:val="18"/>
              </w:rPr>
              <w:t>2.638.230</w:t>
            </w:r>
          </w:p>
        </w:tc>
        <w:tc>
          <w:tcPr>
            <w:tcW w:w="1182" w:type="dxa"/>
            <w:tcBorders>
              <w:top w:val="single" w:sz="2" w:space="0" w:color="1F4E79" w:themeColor="accent1" w:themeShade="80"/>
              <w:bottom w:val="nil"/>
            </w:tcBorders>
            <w:shd w:val="clear" w:color="auto" w:fill="auto"/>
            <w:vAlign w:val="center"/>
            <w:hideMark/>
          </w:tcPr>
          <w:p w14:paraId="5B38FF1A" w14:textId="77777777" w:rsidR="007D1BF4" w:rsidRPr="001F571E"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74,995</w:t>
            </w:r>
          </w:p>
        </w:tc>
      </w:tr>
      <w:tr w:rsidR="007D1BF4" w:rsidRPr="00B05866" w14:paraId="4191A6AB" w14:textId="77777777" w:rsidTr="007D1BF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61901BEE" w14:textId="77777777" w:rsidR="007D1BF4" w:rsidRPr="00B05866" w:rsidRDefault="007D1BF4" w:rsidP="006A27B3">
            <w:pPr>
              <w:keepNext/>
              <w:keepLines/>
              <w:spacing w:before="40" w:after="40"/>
              <w:rPr>
                <w:rFonts w:eastAsia="Times New Roman" w:cs="Arial"/>
                <w:b w:val="0"/>
                <w:spacing w:val="-2"/>
                <w:sz w:val="14"/>
                <w:szCs w:val="18"/>
              </w:rPr>
            </w:pPr>
            <w:r w:rsidRPr="00B05866">
              <w:rPr>
                <w:rFonts w:eastAsia="Times New Roman" w:cs="Arial"/>
                <w:spacing w:val="-2"/>
                <w:sz w:val="14"/>
                <w:szCs w:val="18"/>
              </w:rPr>
              <w:t>PFG</w:t>
            </w:r>
          </w:p>
        </w:tc>
        <w:tc>
          <w:tcPr>
            <w:tcW w:w="1181" w:type="dxa"/>
            <w:tcBorders>
              <w:top w:val="nil"/>
              <w:bottom w:val="nil"/>
            </w:tcBorders>
            <w:shd w:val="clear" w:color="auto" w:fill="auto"/>
            <w:vAlign w:val="center"/>
            <w:hideMark/>
          </w:tcPr>
          <w:p w14:paraId="708C70F8" w14:textId="77777777" w:rsidR="007D1BF4" w:rsidRPr="00AC6825"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sidRPr="00AC6825">
              <w:rPr>
                <w:rFonts w:eastAsia="Times New Roman" w:cs="Arial"/>
                <w:color w:val="auto"/>
                <w:spacing w:val="-2"/>
                <w:sz w:val="14"/>
                <w:szCs w:val="18"/>
              </w:rPr>
              <w:t>879.644</w:t>
            </w:r>
          </w:p>
        </w:tc>
        <w:tc>
          <w:tcPr>
            <w:tcW w:w="1181" w:type="dxa"/>
            <w:tcBorders>
              <w:top w:val="nil"/>
              <w:bottom w:val="nil"/>
            </w:tcBorders>
            <w:shd w:val="clear" w:color="auto" w:fill="auto"/>
            <w:vAlign w:val="center"/>
            <w:hideMark/>
          </w:tcPr>
          <w:p w14:paraId="56D6CF6E" w14:textId="77777777" w:rsidR="007D1BF4" w:rsidRPr="001F571E"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50,010</w:t>
            </w:r>
          </w:p>
        </w:tc>
        <w:tc>
          <w:tcPr>
            <w:tcW w:w="1181" w:type="dxa"/>
            <w:tcBorders>
              <w:top w:val="nil"/>
              <w:bottom w:val="nil"/>
            </w:tcBorders>
            <w:shd w:val="clear" w:color="auto" w:fill="auto"/>
            <w:vAlign w:val="center"/>
            <w:hideMark/>
          </w:tcPr>
          <w:p w14:paraId="09E09A30" w14:textId="77777777" w:rsidR="007D1BF4" w:rsidRPr="000C4183"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0887D425" w14:textId="77777777" w:rsidR="007D1BF4" w:rsidRPr="000C4183"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5DE24577" w14:textId="77777777" w:rsidR="007D1BF4" w:rsidRPr="00AC6825"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sidRPr="00AC6825">
              <w:rPr>
                <w:rFonts w:eastAsia="Times New Roman" w:cs="Arial"/>
                <w:color w:val="auto"/>
                <w:spacing w:val="-2"/>
                <w:sz w:val="14"/>
                <w:szCs w:val="18"/>
              </w:rPr>
              <w:t>879.644</w:t>
            </w:r>
          </w:p>
        </w:tc>
        <w:tc>
          <w:tcPr>
            <w:tcW w:w="1182" w:type="dxa"/>
            <w:tcBorders>
              <w:top w:val="nil"/>
              <w:bottom w:val="nil"/>
            </w:tcBorders>
            <w:shd w:val="clear" w:color="auto" w:fill="auto"/>
            <w:vAlign w:val="center"/>
            <w:hideMark/>
          </w:tcPr>
          <w:p w14:paraId="4C8FBEA5" w14:textId="77777777" w:rsidR="007D1BF4" w:rsidRPr="001F571E" w:rsidRDefault="007D1BF4" w:rsidP="006A27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25,005</w:t>
            </w:r>
          </w:p>
        </w:tc>
      </w:tr>
      <w:tr w:rsidR="007D1BF4" w:rsidRPr="00375AF3" w14:paraId="1152804E" w14:textId="77777777" w:rsidTr="007D1BF4">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0BB3C916" w14:textId="77777777" w:rsidR="007D1BF4" w:rsidRPr="00375AF3" w:rsidRDefault="007D1BF4" w:rsidP="006A27B3">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0B36181A"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color w:val="auto"/>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35475F62"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0E230673"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375AF3">
              <w:rPr>
                <w:rFonts w:eastAsia="Times New Roman" w:cs="Arial"/>
                <w:b/>
                <w:bCs/>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70BB2711"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56D6A758"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375AF3">
              <w:rPr>
                <w:rFonts w:eastAsia="Times New Roman" w:cs="Arial"/>
                <w:b/>
                <w:color w:val="auto"/>
                <w:spacing w:val="-2"/>
                <w:sz w:val="14"/>
                <w:szCs w:val="18"/>
              </w:rPr>
              <w:t>3.517.874</w:t>
            </w:r>
          </w:p>
        </w:tc>
        <w:tc>
          <w:tcPr>
            <w:tcW w:w="1182" w:type="dxa"/>
            <w:tcBorders>
              <w:top w:val="nil"/>
              <w:bottom w:val="single" w:sz="2" w:space="0" w:color="1F4E79" w:themeColor="accent1" w:themeShade="80"/>
            </w:tcBorders>
            <w:shd w:val="clear" w:color="auto" w:fill="auto"/>
            <w:vAlign w:val="center"/>
            <w:hideMark/>
          </w:tcPr>
          <w:p w14:paraId="03DEB1AA" w14:textId="77777777" w:rsidR="007D1BF4" w:rsidRPr="00375AF3" w:rsidRDefault="007D1BF4" w:rsidP="006A27B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r>
    </w:tbl>
    <w:p w14:paraId="2510F6FF" w14:textId="77777777" w:rsidR="007D1BF4" w:rsidRDefault="007D1BF4" w:rsidP="009D03DE">
      <w:pPr>
        <w:pStyle w:val="05-Textonormal"/>
      </w:pPr>
    </w:p>
    <w:p w14:paraId="16E05321" w14:textId="77777777" w:rsidR="007D1BF4" w:rsidRPr="008A1338" w:rsidRDefault="007D1BF4" w:rsidP="00343C3B">
      <w:pPr>
        <w:pStyle w:val="01-Textonormal"/>
        <w:rPr>
          <w:rFonts w:cs="Arial"/>
          <w:b/>
          <w:snapToGrid w:val="0"/>
          <w:color w:val="1F4E79" w:themeColor="accent1" w:themeShade="80"/>
        </w:rPr>
      </w:pPr>
      <w:r>
        <w:rPr>
          <w:rFonts w:cs="Arial"/>
          <w:b/>
          <w:snapToGrid w:val="0"/>
          <w:color w:val="1F4E79" w:themeColor="accent1" w:themeShade="80"/>
        </w:rPr>
        <w:t>c</w:t>
      </w:r>
      <w:r w:rsidRPr="008A1338">
        <w:rPr>
          <w:rFonts w:cs="Arial"/>
          <w:b/>
          <w:snapToGrid w:val="0"/>
          <w:color w:val="1F4E79" w:themeColor="accent1" w:themeShade="80"/>
        </w:rPr>
        <w:t xml:space="preserve">) </w:t>
      </w:r>
      <w:r w:rsidRPr="00343C3B">
        <w:rPr>
          <w:rFonts w:cs="Arial"/>
          <w:b/>
          <w:snapToGrid w:val="0"/>
          <w:color w:val="1F4E79" w:themeColor="accent1" w:themeShade="80"/>
        </w:rPr>
        <w:t>Brasil</w:t>
      </w:r>
      <w:r>
        <w:rPr>
          <w:rFonts w:cs="Arial"/>
          <w:b/>
          <w:snapToGrid w:val="0"/>
          <w:color w:val="1F4E79" w:themeColor="accent1" w:themeShade="80"/>
        </w:rPr>
        <w:t>c</w:t>
      </w:r>
      <w:r w:rsidRPr="00343C3B">
        <w:rPr>
          <w:rFonts w:cs="Arial"/>
          <w:b/>
          <w:snapToGrid w:val="0"/>
          <w:color w:val="1F4E79" w:themeColor="accent1" w:themeShade="80"/>
        </w:rPr>
        <w:t xml:space="preserve">ap Capitalização S.A. </w:t>
      </w:r>
    </w:p>
    <w:p w14:paraId="36E1DF32" w14:textId="77777777" w:rsidR="007D1BF4" w:rsidRDefault="007D1BF4" w:rsidP="00343C3B">
      <w:pPr>
        <w:pStyle w:val="05-Textonormal"/>
        <w:rPr>
          <w:rFonts w:cs="Arial"/>
        </w:rPr>
      </w:pPr>
      <w:r>
        <w:rPr>
          <w:rFonts w:cs="Arial"/>
        </w:rPr>
        <w:t xml:space="preserve">Em 31 de março de 2021, foi aprovado, em Assembleia Geral Extraordinária da Brasilcap, o </w:t>
      </w:r>
      <w:r w:rsidRPr="00CC72AC">
        <w:rPr>
          <w:rFonts w:cs="Arial"/>
        </w:rPr>
        <w:t xml:space="preserve">aumento do capital social </w:t>
      </w:r>
      <w:r>
        <w:rPr>
          <w:rFonts w:cs="Arial"/>
        </w:rPr>
        <w:t xml:space="preserve">da companhia, </w:t>
      </w:r>
      <w:r w:rsidRPr="00CC72AC">
        <w:rPr>
          <w:rFonts w:cs="Arial"/>
        </w:rPr>
        <w:t>de R$</w:t>
      </w:r>
      <w:r>
        <w:rPr>
          <w:rFonts w:cs="Arial"/>
        </w:rPr>
        <w:t> </w:t>
      </w:r>
      <w:r w:rsidRPr="00CC72AC">
        <w:rPr>
          <w:rFonts w:cs="Arial"/>
        </w:rPr>
        <w:t>231.264.117,06 para R$</w:t>
      </w:r>
      <w:r>
        <w:rPr>
          <w:rFonts w:cs="Arial"/>
        </w:rPr>
        <w:t xml:space="preserve"> 254.392.710,76</w:t>
      </w:r>
      <w:r w:rsidRPr="00CC72AC">
        <w:rPr>
          <w:rFonts w:cs="Arial"/>
        </w:rPr>
        <w:t xml:space="preserve">, representando </w:t>
      </w:r>
      <w:r>
        <w:rPr>
          <w:rFonts w:cs="Arial"/>
        </w:rPr>
        <w:t xml:space="preserve">um </w:t>
      </w:r>
      <w:r w:rsidRPr="00CC72AC">
        <w:rPr>
          <w:rFonts w:cs="Arial"/>
        </w:rPr>
        <w:t>aumento de R$</w:t>
      </w:r>
      <w:r>
        <w:rPr>
          <w:rFonts w:cs="Arial"/>
        </w:rPr>
        <w:t xml:space="preserve"> </w:t>
      </w:r>
      <w:r w:rsidRPr="00CC72AC">
        <w:rPr>
          <w:rFonts w:cs="Arial"/>
        </w:rPr>
        <w:t xml:space="preserve">23.128.593,70, mediante </w:t>
      </w:r>
      <w:r>
        <w:rPr>
          <w:rFonts w:cs="Arial"/>
        </w:rPr>
        <w:t xml:space="preserve">a </w:t>
      </w:r>
      <w:r w:rsidRPr="00D854A9">
        <w:rPr>
          <w:rFonts w:cs="Arial"/>
        </w:rPr>
        <w:t xml:space="preserve">capitalização das reservas </w:t>
      </w:r>
      <w:r w:rsidRPr="007448E3">
        <w:rPr>
          <w:rFonts w:cs="Arial"/>
        </w:rPr>
        <w:t>de lucros</w:t>
      </w:r>
      <w:r>
        <w:rPr>
          <w:rFonts w:cs="Arial"/>
        </w:rPr>
        <w:t xml:space="preserve"> </w:t>
      </w:r>
      <w:r w:rsidRPr="004419B1">
        <w:rPr>
          <w:rFonts w:cs="Arial"/>
        </w:rPr>
        <w:t>excedentes ao limite legal</w:t>
      </w:r>
      <w:r w:rsidRPr="00D854A9">
        <w:rPr>
          <w:rFonts w:cs="Arial"/>
        </w:rPr>
        <w:t>, sem modificação do número de</w:t>
      </w:r>
      <w:r w:rsidRPr="00CC72AC">
        <w:rPr>
          <w:rFonts w:cs="Arial"/>
        </w:rPr>
        <w:t xml:space="preserve"> ações</w:t>
      </w:r>
      <w:r>
        <w:rPr>
          <w:rFonts w:cs="Arial"/>
        </w:rPr>
        <w:t>.</w:t>
      </w:r>
    </w:p>
    <w:p w14:paraId="123C6293" w14:textId="77777777" w:rsidR="007D1BF4" w:rsidRPr="002D5F83" w:rsidRDefault="007D1BF4" w:rsidP="00343C3B">
      <w:pPr>
        <w:pStyle w:val="05-Textonormal"/>
        <w:rPr>
          <w:rFonts w:cs="Arial"/>
        </w:rPr>
      </w:pPr>
      <w:r w:rsidRPr="009D5E2B">
        <w:rPr>
          <w:rFonts w:cs="Arial"/>
        </w:rPr>
        <w:t xml:space="preserve">Em 31 de dezembro de 2021, </w:t>
      </w:r>
      <w:r>
        <w:rPr>
          <w:rFonts w:cs="Arial"/>
        </w:rPr>
        <w:t xml:space="preserve">foi aprovado, em </w:t>
      </w:r>
      <w:r w:rsidRPr="009D5E2B">
        <w:rPr>
          <w:rFonts w:cs="Arial"/>
        </w:rPr>
        <w:t>Assembleia Geral Extraordinária da Brasilcap</w:t>
      </w:r>
      <w:r>
        <w:rPr>
          <w:rFonts w:cs="Arial"/>
        </w:rPr>
        <w:t>,</w:t>
      </w:r>
      <w:r w:rsidRPr="009D5E2B">
        <w:rPr>
          <w:rFonts w:cs="Arial"/>
        </w:rPr>
        <w:t xml:space="preserve"> o aumento de capital social da companhia, de R$ 254.392.710,76 para R$ 354.398.110,76, mediante a emissão de 76.340.000 ações preferenciais, nominativas e sem valor nominal, pe</w:t>
      </w:r>
      <w:r>
        <w:rPr>
          <w:rFonts w:cs="Arial"/>
        </w:rPr>
        <w:t xml:space="preserve">lo preço de emissão de R$ 1,31 </w:t>
      </w:r>
      <w:r w:rsidRPr="009D5E2B">
        <w:rPr>
          <w:rFonts w:cs="Arial"/>
        </w:rPr>
        <w:t>por ação, fixado conforme previsto no parágrafo 1º, do artigo 170, da Lei das S.A</w:t>
      </w:r>
      <w:r>
        <w:rPr>
          <w:rFonts w:cs="Arial"/>
        </w:rPr>
        <w:t>.</w:t>
      </w:r>
      <w:r w:rsidRPr="009D5E2B">
        <w:rPr>
          <w:rFonts w:cs="Arial"/>
          <w:b/>
          <w:bCs/>
        </w:rPr>
        <w:t xml:space="preserve">, </w:t>
      </w:r>
      <w:r w:rsidRPr="009D5E2B">
        <w:rPr>
          <w:rFonts w:cs="Arial"/>
        </w:rPr>
        <w:t>totalizando um aumento de capital no valor de R$ 100.005.400,00, capitalizados via créditos decorrentes d</w:t>
      </w:r>
      <w:r>
        <w:rPr>
          <w:rFonts w:cs="Arial"/>
        </w:rPr>
        <w:t>os</w:t>
      </w:r>
      <w:r w:rsidRPr="009D5E2B">
        <w:rPr>
          <w:rFonts w:cs="Arial"/>
        </w:rPr>
        <w:t xml:space="preserve"> Instrumentos Particulares de Adiantamento para Futuro Aumento de Capital (AFAC), celebrados em 22 de dezembro de 2021 entre a Brasilcap e os acionistas BB Seguros Participações S.A., Icatu Seguros S.A. e Companhia de Seguros Aliança da Bahia.</w:t>
      </w:r>
      <w:r w:rsidRPr="00C15425">
        <w:rPr>
          <w:rFonts w:cs="Arial"/>
        </w:rPr>
        <w:t xml:space="preserve"> </w:t>
      </w:r>
    </w:p>
    <w:p w14:paraId="319E59F9" w14:textId="77777777" w:rsidR="007D1BF4" w:rsidRPr="002D5F83" w:rsidRDefault="007D1BF4" w:rsidP="00363295">
      <w:pPr>
        <w:pStyle w:val="05-Textonormal"/>
        <w:rPr>
          <w:rFonts w:cs="Arial"/>
          <w:highlight w:val="yellow"/>
        </w:rPr>
      </w:pPr>
      <w:r w:rsidRPr="002D5F83">
        <w:rPr>
          <w:rFonts w:cs="Arial"/>
        </w:rPr>
        <w:t xml:space="preserve">A </w:t>
      </w:r>
      <w:r w:rsidRPr="00C15425">
        <w:rPr>
          <w:rFonts w:cs="Arial"/>
          <w:bCs/>
        </w:rPr>
        <w:t>BB Seguros Participações S.A.</w:t>
      </w:r>
      <w:r w:rsidRPr="002D5F83">
        <w:rPr>
          <w:rFonts w:cs="Arial"/>
        </w:rPr>
        <w:t xml:space="preserve"> subscreveu </w:t>
      </w:r>
      <w:r w:rsidRPr="00C15425">
        <w:rPr>
          <w:rFonts w:cs="Arial"/>
        </w:rPr>
        <w:t>e integralizou</w:t>
      </w:r>
      <w:r>
        <w:rPr>
          <w:rFonts w:cs="Arial"/>
        </w:rPr>
        <w:t>, na proporção de sua atual participação acionária,</w:t>
      </w:r>
      <w:r w:rsidRPr="002D5F83">
        <w:rPr>
          <w:rFonts w:cs="Arial"/>
        </w:rPr>
        <w:t xml:space="preserve"> 50.888.244 ações preferenciais, equivalentes a R$</w:t>
      </w:r>
      <w:r>
        <w:rPr>
          <w:rFonts w:cs="Arial"/>
        </w:rPr>
        <w:t> </w:t>
      </w:r>
      <w:r w:rsidRPr="002D5F83">
        <w:rPr>
          <w:rFonts w:cs="Arial"/>
        </w:rPr>
        <w:t>66.</w:t>
      </w:r>
      <w:r>
        <w:rPr>
          <w:rFonts w:cs="Arial"/>
        </w:rPr>
        <w:t>663.599,64;</w:t>
      </w:r>
      <w:r w:rsidRPr="00EE7F70">
        <w:rPr>
          <w:rFonts w:cs="Arial"/>
        </w:rPr>
        <w:t xml:space="preserve"> a </w:t>
      </w:r>
      <w:r w:rsidRPr="00456E2A">
        <w:rPr>
          <w:rFonts w:cs="Arial"/>
          <w:bCs/>
        </w:rPr>
        <w:t>Icatu Seguros S.A</w:t>
      </w:r>
      <w:r>
        <w:rPr>
          <w:rFonts w:cs="Arial"/>
          <w:bCs/>
        </w:rPr>
        <w:t>.</w:t>
      </w:r>
      <w:r w:rsidRPr="00487D2B">
        <w:rPr>
          <w:rFonts w:cs="Arial"/>
        </w:rPr>
        <w:t xml:space="preserve"> subscreveu </w:t>
      </w:r>
      <w:r w:rsidRPr="00C15425">
        <w:rPr>
          <w:rFonts w:cs="Arial"/>
        </w:rPr>
        <w:t>e integralizou</w:t>
      </w:r>
      <w:r>
        <w:rPr>
          <w:rFonts w:cs="Arial"/>
        </w:rPr>
        <w:t xml:space="preserve"> 12.725.878 </w:t>
      </w:r>
      <w:r w:rsidRPr="00EE7F70">
        <w:rPr>
          <w:rFonts w:cs="Arial"/>
        </w:rPr>
        <w:t xml:space="preserve">ações preferenciais, equivalentes a </w:t>
      </w:r>
      <w:r w:rsidRPr="00487D2B">
        <w:rPr>
          <w:rFonts w:cs="Arial"/>
        </w:rPr>
        <w:t>R$ 16.670.900,18</w:t>
      </w:r>
      <w:r>
        <w:rPr>
          <w:rFonts w:cs="Arial"/>
        </w:rPr>
        <w:t>;</w:t>
      </w:r>
      <w:r w:rsidRPr="00487D2B">
        <w:rPr>
          <w:rFonts w:cs="Arial"/>
        </w:rPr>
        <w:t xml:space="preserve"> a </w:t>
      </w:r>
      <w:r w:rsidRPr="00456E2A">
        <w:rPr>
          <w:rFonts w:cs="Arial"/>
          <w:bCs/>
        </w:rPr>
        <w:t>Companhia de Seguros Aliança da Bahia</w:t>
      </w:r>
      <w:r w:rsidRPr="00487D2B">
        <w:rPr>
          <w:rFonts w:cs="Arial"/>
        </w:rPr>
        <w:t xml:space="preserve"> subscreveu </w:t>
      </w:r>
      <w:r w:rsidRPr="00C15425">
        <w:rPr>
          <w:rFonts w:cs="Arial"/>
        </w:rPr>
        <w:t>e integralizou</w:t>
      </w:r>
      <w:r w:rsidRPr="00EE7F70">
        <w:rPr>
          <w:rFonts w:cs="Arial"/>
        </w:rPr>
        <w:t xml:space="preserve"> 12.085.282</w:t>
      </w:r>
      <w:r w:rsidRPr="00487D2B">
        <w:rPr>
          <w:rFonts w:cs="Arial"/>
        </w:rPr>
        <w:t xml:space="preserve"> ações preferenciais, equivalentes a R$</w:t>
      </w:r>
      <w:r>
        <w:rPr>
          <w:rFonts w:cs="Arial"/>
        </w:rPr>
        <w:t> 15.831.719,42</w:t>
      </w:r>
      <w:r w:rsidRPr="00487D2B">
        <w:rPr>
          <w:rFonts w:cs="Arial"/>
        </w:rPr>
        <w:t xml:space="preserve">. Além disso, </w:t>
      </w:r>
      <w:r w:rsidRPr="00C15425">
        <w:rPr>
          <w:rFonts w:cs="Arial"/>
        </w:rPr>
        <w:t>mediante a capitalização d</w:t>
      </w:r>
      <w:r>
        <w:rPr>
          <w:rFonts w:cs="Arial"/>
        </w:rPr>
        <w:t>os</w:t>
      </w:r>
      <w:r w:rsidRPr="00C15425">
        <w:rPr>
          <w:rFonts w:cs="Arial"/>
        </w:rPr>
        <w:t xml:space="preserve"> créditos decorrentes do AFAC</w:t>
      </w:r>
      <w:r>
        <w:rPr>
          <w:rFonts w:cs="Arial"/>
        </w:rPr>
        <w:t>,</w:t>
      </w:r>
      <w:r w:rsidRPr="00C15425">
        <w:rPr>
          <w:rFonts w:cs="Arial"/>
        </w:rPr>
        <w:t xml:space="preserve"> </w:t>
      </w:r>
      <w:r w:rsidRPr="00487D2B">
        <w:rPr>
          <w:rFonts w:cs="Arial"/>
        </w:rPr>
        <w:t xml:space="preserve">a </w:t>
      </w:r>
      <w:r w:rsidRPr="00C15425">
        <w:rPr>
          <w:rFonts w:cs="Arial"/>
        </w:rPr>
        <w:t>Icatu Seguros S.A</w:t>
      </w:r>
      <w:r>
        <w:rPr>
          <w:rFonts w:cs="Arial"/>
        </w:rPr>
        <w:t>.</w:t>
      </w:r>
      <w:r w:rsidRPr="00487D2B">
        <w:rPr>
          <w:rFonts w:cs="Arial"/>
        </w:rPr>
        <w:t xml:space="preserve"> subscreveu </w:t>
      </w:r>
      <w:r w:rsidRPr="00C15425">
        <w:rPr>
          <w:rFonts w:cs="Arial"/>
        </w:rPr>
        <w:t>e integralizou</w:t>
      </w:r>
      <w:r>
        <w:rPr>
          <w:rFonts w:cs="Arial"/>
        </w:rPr>
        <w:t xml:space="preserve"> 328.568</w:t>
      </w:r>
      <w:r w:rsidRPr="00EE7F70">
        <w:rPr>
          <w:rFonts w:cs="Arial"/>
        </w:rPr>
        <w:t xml:space="preserve"> ações preferenciais, equivalentes a R$</w:t>
      </w:r>
      <w:r>
        <w:rPr>
          <w:rFonts w:cs="Arial"/>
        </w:rPr>
        <w:t> </w:t>
      </w:r>
      <w:r w:rsidRPr="00EE7F70">
        <w:rPr>
          <w:rFonts w:cs="Arial"/>
        </w:rPr>
        <w:t>430.424,08</w:t>
      </w:r>
      <w:r w:rsidRPr="002D5F83">
        <w:rPr>
          <w:rFonts w:cs="Arial"/>
        </w:rPr>
        <w:t xml:space="preserve"> e a </w:t>
      </w:r>
      <w:r w:rsidRPr="00456E2A">
        <w:rPr>
          <w:rFonts w:cs="Arial"/>
          <w:bCs/>
        </w:rPr>
        <w:t>Companhia de Seguros Aliança da Bahia</w:t>
      </w:r>
      <w:r w:rsidRPr="002D5F83">
        <w:rPr>
          <w:rFonts w:cs="Arial"/>
        </w:rPr>
        <w:t xml:space="preserve"> subscreveu </w:t>
      </w:r>
      <w:r w:rsidRPr="00C15425">
        <w:rPr>
          <w:rFonts w:cs="Arial"/>
        </w:rPr>
        <w:t>e integralizou</w:t>
      </w:r>
      <w:r w:rsidRPr="00EE7F70">
        <w:rPr>
          <w:rFonts w:cs="Arial"/>
        </w:rPr>
        <w:t xml:space="preserve"> 312.028</w:t>
      </w:r>
      <w:r w:rsidRPr="002D5F83">
        <w:rPr>
          <w:rFonts w:cs="Arial"/>
        </w:rPr>
        <w:t xml:space="preserve"> ações preferenciais</w:t>
      </w:r>
      <w:r>
        <w:rPr>
          <w:rFonts w:cs="Arial"/>
        </w:rPr>
        <w:t xml:space="preserve">, </w:t>
      </w:r>
      <w:r w:rsidRPr="00E37300">
        <w:rPr>
          <w:rFonts w:cs="Arial"/>
        </w:rPr>
        <w:t xml:space="preserve">equivalentes a R$ 408.756,68, </w:t>
      </w:r>
      <w:r w:rsidRPr="004419B1">
        <w:rPr>
          <w:rFonts w:cs="Arial"/>
        </w:rPr>
        <w:t>sob a condição d</w:t>
      </w:r>
      <w:r w:rsidRPr="00E37300">
        <w:rPr>
          <w:rFonts w:cs="Arial"/>
        </w:rPr>
        <w:t>e os demais acionistas minoritários da Brasilcap não exercerem seu direito</w:t>
      </w:r>
      <w:r w:rsidRPr="002D5F83">
        <w:rPr>
          <w:rFonts w:cs="Arial"/>
        </w:rPr>
        <w:t xml:space="preserve"> de preferência</w:t>
      </w:r>
      <w:r>
        <w:rPr>
          <w:rFonts w:cs="Arial"/>
        </w:rPr>
        <w:t xml:space="preserve">. </w:t>
      </w:r>
      <w:r>
        <w:t xml:space="preserve">A emissão manteve inalterada a participação detida pela BB Seguros </w:t>
      </w:r>
      <w:r w:rsidRPr="007D3AAA">
        <w:t>Participações S.A.</w:t>
      </w:r>
      <w:r>
        <w:t xml:space="preserve"> no capital total da Brasilcap.</w:t>
      </w:r>
    </w:p>
    <w:p w14:paraId="22EE849E" w14:textId="77777777" w:rsidR="007D1BF4" w:rsidRPr="007C7504" w:rsidRDefault="007D1BF4" w:rsidP="009D03DE">
      <w:pPr>
        <w:pStyle w:val="05-Textonormal"/>
      </w:pPr>
      <w:r w:rsidRPr="00B419A4">
        <w:rPr>
          <w:rFonts w:cs="Arial"/>
        </w:rPr>
        <w:t>Nesse sentido, o capital social da Brasilcap, totalmente subscrito</w:t>
      </w:r>
      <w:r w:rsidRPr="00CC72AC">
        <w:rPr>
          <w:rFonts w:cs="Arial"/>
        </w:rPr>
        <w:t>, pass</w:t>
      </w:r>
      <w:r>
        <w:rPr>
          <w:rFonts w:cs="Arial"/>
        </w:rPr>
        <w:t>ará</w:t>
      </w:r>
      <w:r w:rsidRPr="00CC72AC">
        <w:rPr>
          <w:rFonts w:cs="Arial"/>
        </w:rPr>
        <w:t xml:space="preserve"> a ser de </w:t>
      </w:r>
      <w:r w:rsidRPr="00CC72AC">
        <w:rPr>
          <w:rFonts w:cs="Arial"/>
          <w:iCs/>
        </w:rPr>
        <w:t>R$</w:t>
      </w:r>
      <w:r>
        <w:rPr>
          <w:rFonts w:cs="Arial"/>
        </w:rPr>
        <w:t xml:space="preserve"> 354.398.110,76</w:t>
      </w:r>
      <w:r w:rsidRPr="00CC72AC">
        <w:rPr>
          <w:rFonts w:cs="Arial"/>
        </w:rPr>
        <w:t xml:space="preserve">, totalmente integralizados, </w:t>
      </w:r>
      <w:r>
        <w:rPr>
          <w:rFonts w:cs="Arial"/>
          <w:iCs/>
        </w:rPr>
        <w:t>dividido em 216.010.804</w:t>
      </w:r>
      <w:r w:rsidRPr="00CC72AC">
        <w:rPr>
          <w:rFonts w:cs="Arial"/>
          <w:iCs/>
        </w:rPr>
        <w:t xml:space="preserve"> ações ordinárias, nominativas e sem valor no</w:t>
      </w:r>
      <w:r>
        <w:rPr>
          <w:rFonts w:cs="Arial"/>
          <w:iCs/>
        </w:rPr>
        <w:t>minal, e em 184.329.196</w:t>
      </w:r>
      <w:r w:rsidRPr="00CC72AC">
        <w:rPr>
          <w:rFonts w:cs="Arial"/>
          <w:iCs/>
        </w:rPr>
        <w:t xml:space="preserve"> ações preferenciais, nominativas e sem valor nominal</w:t>
      </w:r>
      <w:r w:rsidRPr="00456E2A">
        <w:rPr>
          <w:rFonts w:cs="Arial"/>
        </w:rPr>
        <w:t>.</w:t>
      </w:r>
      <w:r>
        <w:rPr>
          <w:rFonts w:cs="Arial"/>
          <w:highlight w:val="yellow"/>
        </w:rPr>
        <w:t xml:space="preserve"> </w:t>
      </w:r>
    </w:p>
    <w:p w14:paraId="6689668E" w14:textId="25B29B95" w:rsidR="00375569" w:rsidRPr="00F97A88" w:rsidRDefault="00375569" w:rsidP="00F97A88">
      <w:pPr>
        <w:pStyle w:val="02-TtulodeNota"/>
        <w:rPr>
          <w:color w:val="1F4E79" w:themeColor="accent1" w:themeShade="80"/>
        </w:rPr>
      </w:pPr>
      <w:bookmarkStart w:id="33" w:name="OLE_LINK4"/>
      <w:bookmarkStart w:id="34" w:name="_Toc94861061"/>
      <w:r w:rsidRPr="00F97A88">
        <w:rPr>
          <w:color w:val="1F4E79" w:themeColor="accent1" w:themeShade="80"/>
        </w:rPr>
        <w:lastRenderedPageBreak/>
        <w:t>3 – APRESENTAÇÃO DAS DEMONSTRAÇÕES CONTÁBEIS</w:t>
      </w:r>
      <w:bookmarkEnd w:id="34"/>
    </w:p>
    <w:p w14:paraId="40304C6C" w14:textId="77777777" w:rsidR="00375569" w:rsidRPr="0046511C" w:rsidRDefault="00375569" w:rsidP="0046511C">
      <w:pPr>
        <w:pStyle w:val="03-SubttulodeNota"/>
        <w:rPr>
          <w:color w:val="1F4E79" w:themeColor="accent1" w:themeShade="80"/>
        </w:rPr>
      </w:pPr>
      <w:r w:rsidRPr="0046511C">
        <w:rPr>
          <w:color w:val="1F4E79" w:themeColor="accent1" w:themeShade="80"/>
        </w:rPr>
        <w:t>a) Declaração de Conformidade</w:t>
      </w:r>
    </w:p>
    <w:p w14:paraId="17F0A839" w14:textId="77777777" w:rsidR="00375569" w:rsidRPr="00C17038" w:rsidRDefault="00375569" w:rsidP="00C17038">
      <w:pPr>
        <w:pStyle w:val="05-Textonormal"/>
      </w:pPr>
      <w:r w:rsidRPr="00C17038">
        <w:t xml:space="preserve">As </w:t>
      </w:r>
      <w:r>
        <w:t>demonstrações contábeis individuais</w:t>
      </w:r>
      <w:r w:rsidRPr="00C17038">
        <w:t xml:space="preserve"> foram elaboradas e estão sendo apresentadas em conformidade com as práticas contábeis adotadas no Brasil que compreendem as diretrizes emanadas da Lei das Sociedades por Ações e os pronunciamentos do Comitê de Pronunciamentos Contábeis (CPC), aprovados pelo Conselho Federal de Contabilidade (CFC).</w:t>
      </w:r>
    </w:p>
    <w:p w14:paraId="06725625" w14:textId="77777777" w:rsidR="00375569" w:rsidRPr="00C17038" w:rsidRDefault="00375569" w:rsidP="00C17038">
      <w:pPr>
        <w:pStyle w:val="05-Textonormal"/>
      </w:pPr>
      <w:r w:rsidRPr="00C17038">
        <w:t>As demonstrações contábeis</w:t>
      </w:r>
      <w:r>
        <w:t xml:space="preserve"> </w:t>
      </w:r>
      <w:r w:rsidRPr="00C17038">
        <w:t xml:space="preserve">consolidadas foram </w:t>
      </w:r>
      <w:r>
        <w:t xml:space="preserve">elaboradas e estão sendo apresentadas </w:t>
      </w:r>
      <w:r w:rsidRPr="00C17038">
        <w:t xml:space="preserve">em conformidade com as Normas Internacionais de Relatório Financeiro (IFRS), emitidas pelo </w:t>
      </w:r>
      <w:r w:rsidRPr="005253EE">
        <w:rPr>
          <w:i/>
        </w:rPr>
        <w:t>International Accounting Standards Board</w:t>
      </w:r>
      <w:r w:rsidRPr="00C17038">
        <w:t xml:space="preserve"> (IASB).</w:t>
      </w:r>
    </w:p>
    <w:p w14:paraId="6B5F8F33" w14:textId="77777777" w:rsidR="00375569" w:rsidRPr="00C17038" w:rsidRDefault="00375569" w:rsidP="00C17038">
      <w:pPr>
        <w:pStyle w:val="05-Textonormal"/>
      </w:pPr>
      <w:r w:rsidRPr="00C17038">
        <w:t xml:space="preserve">Não há divergências de práticas contábeis adotadas para estas </w:t>
      </w:r>
      <w:r>
        <w:t>demonstrações contábeis individuais</w:t>
      </w:r>
      <w:r w:rsidRPr="00C17038">
        <w:t xml:space="preserve"> e consolidadas, tendo em vista a conformidade das </w:t>
      </w:r>
      <w:r>
        <w:t>práticas</w:t>
      </w:r>
      <w:r w:rsidRPr="00C17038">
        <w:t xml:space="preserve"> contábeis adotadas no Brasil e aquelas emitidas pelo IASB.</w:t>
      </w:r>
    </w:p>
    <w:p w14:paraId="4C05757D" w14:textId="77777777" w:rsidR="00375569" w:rsidRPr="00C17038" w:rsidRDefault="00375569" w:rsidP="00C17038">
      <w:pPr>
        <w:pStyle w:val="05-Textonormal"/>
      </w:pPr>
      <w:r w:rsidRPr="00C17038">
        <w:t>Todas as informações relevantes próprias das demonstrações contábeis</w:t>
      </w:r>
      <w:r>
        <w:t xml:space="preserve"> </w:t>
      </w:r>
      <w:r w:rsidRPr="00C17038">
        <w:t>estão evidenciadas e correspondem as utilizadas pela Administração na sua gestão.</w:t>
      </w:r>
    </w:p>
    <w:p w14:paraId="08790DDC" w14:textId="77777777" w:rsidR="00375569" w:rsidRDefault="00375569" w:rsidP="00646444">
      <w:pPr>
        <w:pStyle w:val="05-Textonormal"/>
      </w:pPr>
      <w:r w:rsidRPr="00C17038">
        <w:t>Estas demonstrações contábeis</w:t>
      </w:r>
      <w:r>
        <w:t xml:space="preserve"> f</w:t>
      </w:r>
      <w:r w:rsidRPr="00C17038">
        <w:t>oram aprovadas e autorizadas pel</w:t>
      </w:r>
      <w:r>
        <w:t>o Conselho de Administração em 04.02.2022.</w:t>
      </w:r>
    </w:p>
    <w:p w14:paraId="27157568" w14:textId="77777777" w:rsidR="00375569" w:rsidRPr="0046511C" w:rsidRDefault="00375569" w:rsidP="0046511C">
      <w:pPr>
        <w:pStyle w:val="03-SubttulodeNota"/>
        <w:rPr>
          <w:color w:val="1F4E79" w:themeColor="accent1" w:themeShade="80"/>
        </w:rPr>
      </w:pPr>
      <w:r w:rsidRPr="0046511C">
        <w:rPr>
          <w:color w:val="1F4E79" w:themeColor="accent1" w:themeShade="80"/>
        </w:rPr>
        <w:t>b) Continuidade</w:t>
      </w:r>
    </w:p>
    <w:p w14:paraId="7D45F15E" w14:textId="77777777" w:rsidR="00375569" w:rsidRPr="00FD38B0" w:rsidRDefault="00375569" w:rsidP="00C17038">
      <w:pPr>
        <w:pStyle w:val="05-Textonormal"/>
      </w:pPr>
      <w:r w:rsidRPr="00FD38B0">
        <w:t xml:space="preserve">A Administração avaliou a capacidade </w:t>
      </w:r>
      <w:r>
        <w:t xml:space="preserve">da BB Seguridade </w:t>
      </w:r>
      <w:r w:rsidRPr="00FD38B0">
        <w:t>continuar operando normalmente e está convencida de que el</w:t>
      </w:r>
      <w:r w:rsidRPr="00FF2135">
        <w:t>a</w:t>
      </w:r>
      <w:r>
        <w:t xml:space="preserve"> </w:t>
      </w:r>
      <w:r w:rsidRPr="00FD38B0">
        <w:t>possui recursos para dar continuidade a seus negócios no futuro. Adicionalmente, a Administração não</w:t>
      </w:r>
      <w:r>
        <w:t xml:space="preserve"> </w:t>
      </w:r>
      <w:r w:rsidRPr="00FD38B0">
        <w:t>tem</w:t>
      </w:r>
      <w:r>
        <w:t xml:space="preserve"> </w:t>
      </w:r>
      <w:r w:rsidRPr="00FD38B0">
        <w:t xml:space="preserve">conhecimento de nenhuma incerteza material que possa gerar dúvidas significativas sobre a sua capacidade de continuar operando. Assim, estas </w:t>
      </w:r>
      <w:r>
        <w:t xml:space="preserve">demonstrações contábeis individuais e </w:t>
      </w:r>
      <w:r w:rsidRPr="00FD38B0">
        <w:t>consolidadas foram preparadas com base no pressuposto</w:t>
      </w:r>
      <w:r>
        <w:t xml:space="preserve"> </w:t>
      </w:r>
      <w:r w:rsidRPr="00FD38B0">
        <w:t>de continuidade</w:t>
      </w:r>
      <w:r>
        <w:t xml:space="preserve"> o</w:t>
      </w:r>
      <w:r w:rsidRPr="00FD38B0">
        <w:t>peracional</w:t>
      </w:r>
      <w:r>
        <w:t>.</w:t>
      </w:r>
    </w:p>
    <w:p w14:paraId="7F499423" w14:textId="77777777" w:rsidR="00375569" w:rsidRPr="0046511C" w:rsidRDefault="00375569" w:rsidP="0046511C">
      <w:pPr>
        <w:pStyle w:val="03-SubttulodeNota"/>
        <w:rPr>
          <w:color w:val="1F4E79" w:themeColor="accent1" w:themeShade="80"/>
        </w:rPr>
      </w:pPr>
      <w:r w:rsidRPr="0046511C">
        <w:rPr>
          <w:color w:val="1F4E79" w:themeColor="accent1" w:themeShade="80"/>
        </w:rPr>
        <w:t>c) Bases de Mensuração dos Ativos e dos Passivos</w:t>
      </w:r>
    </w:p>
    <w:p w14:paraId="44C4FF9F" w14:textId="77777777" w:rsidR="00375569" w:rsidRPr="00F16C8B" w:rsidRDefault="00375569" w:rsidP="00C17038">
      <w:pPr>
        <w:pStyle w:val="05-Textonormal"/>
      </w:pPr>
      <w:r w:rsidRPr="00F16C8B">
        <w:t xml:space="preserve">Estas </w:t>
      </w:r>
      <w:r>
        <w:t>demonstrações contábeis individuais</w:t>
      </w:r>
      <w:r w:rsidRPr="00F16C8B">
        <w:t xml:space="preserve"> e consolidadas foram preparadas utilizando o custo histórico como base de mensuração, exceto para ativos financeiros </w:t>
      </w:r>
      <w:r>
        <w:t>mensurados</w:t>
      </w:r>
      <w:r w:rsidRPr="00F16C8B">
        <w:t xml:space="preserve"> ao valor justo por meio do resultado</w:t>
      </w:r>
      <w:r>
        <w:t>.</w:t>
      </w:r>
    </w:p>
    <w:p w14:paraId="548F48CF" w14:textId="77777777" w:rsidR="00375569" w:rsidRPr="0046511C" w:rsidRDefault="00375569" w:rsidP="0046511C">
      <w:pPr>
        <w:pStyle w:val="03-SubttulodeNota"/>
        <w:rPr>
          <w:color w:val="1F4E79" w:themeColor="accent1" w:themeShade="80"/>
        </w:rPr>
      </w:pPr>
      <w:r w:rsidRPr="0046511C">
        <w:rPr>
          <w:color w:val="1F4E79" w:themeColor="accent1" w:themeShade="80"/>
        </w:rPr>
        <w:t>d) Moeda Funcional e de Apresentação</w:t>
      </w:r>
    </w:p>
    <w:p w14:paraId="17E90312" w14:textId="77777777" w:rsidR="00375569" w:rsidRDefault="00375569" w:rsidP="0046511C">
      <w:pPr>
        <w:pStyle w:val="05-Textonormal1"/>
      </w:pPr>
      <w:r>
        <w:t>A</w:t>
      </w:r>
      <w:r w:rsidRPr="001A0BAA">
        <w:t>s demonstrações contábeis</w:t>
      </w:r>
      <w:r>
        <w:t xml:space="preserve"> da BB Seguridade, para fins de moeda funcional e de apresentação, </w:t>
      </w:r>
      <w:r w:rsidRPr="001A0BAA">
        <w:t>são apresentadas em Reais (R$)</w:t>
      </w:r>
      <w:r>
        <w:t>.</w:t>
      </w:r>
    </w:p>
    <w:p w14:paraId="61278328" w14:textId="77777777" w:rsidR="00375569" w:rsidRPr="0046511C" w:rsidRDefault="00375569" w:rsidP="0046511C">
      <w:pPr>
        <w:pStyle w:val="03-SubttulodeNota"/>
        <w:rPr>
          <w:color w:val="1F4E79" w:themeColor="accent1" w:themeShade="80"/>
        </w:rPr>
      </w:pPr>
      <w:r w:rsidRPr="0046511C">
        <w:rPr>
          <w:color w:val="1F4E79" w:themeColor="accent1" w:themeShade="80"/>
        </w:rPr>
        <w:t>e) Base de Consolidação</w:t>
      </w:r>
    </w:p>
    <w:p w14:paraId="43DF8985" w14:textId="77777777" w:rsidR="00375569" w:rsidRDefault="00375569" w:rsidP="0046511C">
      <w:pPr>
        <w:pStyle w:val="05-Textonormal1"/>
      </w:pPr>
      <w:r>
        <w:t xml:space="preserve">As demonstrações contábeis da BB Seguridade </w:t>
      </w:r>
      <w:r w:rsidRPr="001A0BAA">
        <w:t>incluem a consolidação dos ativos e passivos da BB Seguridade e das suas controladas, conforme descrito no quadro a seguir:</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94"/>
        <w:gridCol w:w="604"/>
        <w:gridCol w:w="1411"/>
        <w:gridCol w:w="1412"/>
        <w:gridCol w:w="283"/>
        <w:gridCol w:w="1417"/>
        <w:gridCol w:w="1418"/>
      </w:tblGrid>
      <w:tr w:rsidR="00375569" w:rsidRPr="0048242D" w14:paraId="0352C1C2" w14:textId="77777777" w:rsidTr="00F97A88">
        <w:trPr>
          <w:trHeight w:val="238"/>
          <w:jc w:val="center"/>
        </w:trPr>
        <w:tc>
          <w:tcPr>
            <w:tcW w:w="3094" w:type="dxa"/>
            <w:vMerge w:val="restart"/>
            <w:tcBorders>
              <w:bottom w:val="nil"/>
            </w:tcBorders>
            <w:shd w:val="clear" w:color="auto" w:fill="auto"/>
            <w:vAlign w:val="center"/>
          </w:tcPr>
          <w:p w14:paraId="71AB940C" w14:textId="77777777" w:rsidR="00375569" w:rsidRPr="0055383E" w:rsidRDefault="00375569" w:rsidP="009B350E">
            <w:pPr>
              <w:pStyle w:val="08-Tabelageral"/>
              <w:jc w:val="left"/>
              <w:rPr>
                <w:rFonts w:cs="Arial"/>
                <w:b/>
                <w:sz w:val="18"/>
              </w:rPr>
            </w:pPr>
            <w:r w:rsidRPr="0055383E">
              <w:rPr>
                <w:rFonts w:cs="Arial"/>
                <w:b/>
              </w:rPr>
              <w:t>Empresa</w:t>
            </w:r>
          </w:p>
        </w:tc>
        <w:tc>
          <w:tcPr>
            <w:tcW w:w="604" w:type="dxa"/>
            <w:tcBorders>
              <w:bottom w:val="nil"/>
            </w:tcBorders>
            <w:shd w:val="clear" w:color="auto" w:fill="auto"/>
            <w:vAlign w:val="center"/>
          </w:tcPr>
          <w:p w14:paraId="5E5B7D4E" w14:textId="77777777" w:rsidR="00375569" w:rsidRPr="0055383E" w:rsidRDefault="00375569" w:rsidP="009B350E">
            <w:pPr>
              <w:spacing w:after="0"/>
              <w:jc w:val="right"/>
              <w:rPr>
                <w:rFonts w:cs="Arial"/>
                <w:b/>
                <w:szCs w:val="18"/>
              </w:rPr>
            </w:pPr>
          </w:p>
        </w:tc>
        <w:tc>
          <w:tcPr>
            <w:tcW w:w="1411" w:type="dxa"/>
            <w:vMerge w:val="restart"/>
            <w:tcBorders>
              <w:bottom w:val="nil"/>
            </w:tcBorders>
            <w:shd w:val="clear" w:color="auto" w:fill="auto"/>
            <w:vAlign w:val="center"/>
          </w:tcPr>
          <w:p w14:paraId="76E2F75E" w14:textId="77777777" w:rsidR="00375569" w:rsidRPr="0055383E" w:rsidRDefault="00375569" w:rsidP="009B350E">
            <w:pPr>
              <w:pStyle w:val="08-Tabelageral"/>
              <w:rPr>
                <w:rFonts w:cs="Arial"/>
                <w:b/>
                <w:bCs/>
              </w:rPr>
            </w:pPr>
            <w:r w:rsidRPr="0055383E">
              <w:rPr>
                <w:rFonts w:cs="Arial"/>
                <w:b/>
              </w:rPr>
              <w:t>Atividade</w:t>
            </w:r>
          </w:p>
        </w:tc>
        <w:tc>
          <w:tcPr>
            <w:tcW w:w="1412" w:type="dxa"/>
            <w:vMerge w:val="restart"/>
            <w:tcBorders>
              <w:bottom w:val="nil"/>
            </w:tcBorders>
            <w:shd w:val="clear" w:color="auto" w:fill="auto"/>
            <w:vAlign w:val="center"/>
          </w:tcPr>
          <w:p w14:paraId="7C38CFC6" w14:textId="77777777" w:rsidR="00375569" w:rsidRPr="0055383E" w:rsidRDefault="00375569" w:rsidP="009B350E">
            <w:pPr>
              <w:pStyle w:val="08-Tabelageral"/>
              <w:rPr>
                <w:rFonts w:cs="Arial"/>
                <w:b/>
              </w:rPr>
            </w:pPr>
            <w:r w:rsidRPr="0055383E">
              <w:rPr>
                <w:rFonts w:cs="Arial"/>
                <w:b/>
              </w:rPr>
              <w:t>País de Constituição</w:t>
            </w:r>
          </w:p>
        </w:tc>
        <w:tc>
          <w:tcPr>
            <w:tcW w:w="283" w:type="dxa"/>
            <w:tcBorders>
              <w:bottom w:val="nil"/>
            </w:tcBorders>
            <w:shd w:val="clear" w:color="auto" w:fill="auto"/>
            <w:vAlign w:val="center"/>
          </w:tcPr>
          <w:p w14:paraId="2A87DE3C" w14:textId="77777777" w:rsidR="00375569" w:rsidRPr="0055383E" w:rsidRDefault="00375569" w:rsidP="009B350E">
            <w:pPr>
              <w:spacing w:after="0"/>
              <w:jc w:val="right"/>
              <w:rPr>
                <w:rFonts w:cs="Arial"/>
                <w:b/>
                <w:szCs w:val="18"/>
              </w:rPr>
            </w:pPr>
          </w:p>
        </w:tc>
        <w:tc>
          <w:tcPr>
            <w:tcW w:w="2835" w:type="dxa"/>
            <w:gridSpan w:val="2"/>
            <w:tcBorders>
              <w:bottom w:val="nil"/>
            </w:tcBorders>
            <w:shd w:val="clear" w:color="auto" w:fill="auto"/>
            <w:vAlign w:val="center"/>
          </w:tcPr>
          <w:p w14:paraId="39656EA7" w14:textId="77777777" w:rsidR="00375569" w:rsidRPr="0055383E" w:rsidRDefault="00375569" w:rsidP="009B350E">
            <w:pPr>
              <w:spacing w:after="0"/>
              <w:jc w:val="center"/>
              <w:rPr>
                <w:rFonts w:cs="Arial"/>
                <w:b/>
                <w:szCs w:val="18"/>
              </w:rPr>
            </w:pPr>
            <w:r>
              <w:rPr>
                <w:rFonts w:cs="Arial"/>
                <w:b/>
                <w:sz w:val="14"/>
                <w:szCs w:val="18"/>
              </w:rPr>
              <w:t>% Participação T</w:t>
            </w:r>
            <w:r w:rsidRPr="0055383E">
              <w:rPr>
                <w:rFonts w:cs="Arial"/>
                <w:b/>
                <w:sz w:val="14"/>
                <w:szCs w:val="18"/>
              </w:rPr>
              <w:t>otal</w:t>
            </w:r>
          </w:p>
        </w:tc>
      </w:tr>
      <w:tr w:rsidR="00375569" w:rsidRPr="0048242D" w14:paraId="34BD42AA" w14:textId="77777777" w:rsidTr="00F97A88">
        <w:trPr>
          <w:trHeight w:val="238"/>
          <w:jc w:val="center"/>
        </w:trPr>
        <w:tc>
          <w:tcPr>
            <w:tcW w:w="3094" w:type="dxa"/>
            <w:vMerge/>
            <w:tcBorders>
              <w:top w:val="nil"/>
              <w:bottom w:val="single" w:sz="2" w:space="0" w:color="1F4E79" w:themeColor="accent1" w:themeShade="80"/>
            </w:tcBorders>
            <w:shd w:val="clear" w:color="auto" w:fill="auto"/>
          </w:tcPr>
          <w:p w14:paraId="18DFCEB9" w14:textId="77777777" w:rsidR="00375569" w:rsidRPr="0055383E" w:rsidRDefault="00375569" w:rsidP="00C33728">
            <w:pPr>
              <w:pStyle w:val="08-Tabelageral"/>
              <w:jc w:val="left"/>
              <w:rPr>
                <w:rFonts w:cs="Arial"/>
                <w:b/>
              </w:rPr>
            </w:pPr>
          </w:p>
        </w:tc>
        <w:tc>
          <w:tcPr>
            <w:tcW w:w="604" w:type="dxa"/>
            <w:tcBorders>
              <w:top w:val="nil"/>
              <w:bottom w:val="single" w:sz="2" w:space="0" w:color="1F4E79" w:themeColor="accent1" w:themeShade="80"/>
            </w:tcBorders>
            <w:shd w:val="clear" w:color="auto" w:fill="auto"/>
          </w:tcPr>
          <w:p w14:paraId="5D0A5F3B" w14:textId="77777777" w:rsidR="00375569" w:rsidRPr="0055383E" w:rsidRDefault="00375569" w:rsidP="00C33728">
            <w:pPr>
              <w:pStyle w:val="08-Tabelageral"/>
              <w:jc w:val="center"/>
              <w:rPr>
                <w:rFonts w:cs="Arial"/>
                <w:b/>
              </w:rPr>
            </w:pPr>
          </w:p>
        </w:tc>
        <w:tc>
          <w:tcPr>
            <w:tcW w:w="1411" w:type="dxa"/>
            <w:vMerge/>
            <w:tcBorders>
              <w:top w:val="nil"/>
              <w:bottom w:val="single" w:sz="2" w:space="0" w:color="1F4E79" w:themeColor="accent1" w:themeShade="80"/>
            </w:tcBorders>
            <w:shd w:val="clear" w:color="auto" w:fill="auto"/>
          </w:tcPr>
          <w:p w14:paraId="71F44AF9" w14:textId="77777777" w:rsidR="00375569" w:rsidRPr="0055383E" w:rsidRDefault="00375569" w:rsidP="00C33728">
            <w:pPr>
              <w:pStyle w:val="08-Tabelageral"/>
              <w:jc w:val="center"/>
              <w:rPr>
                <w:rFonts w:cs="Arial"/>
                <w:b/>
              </w:rPr>
            </w:pPr>
          </w:p>
        </w:tc>
        <w:tc>
          <w:tcPr>
            <w:tcW w:w="1412" w:type="dxa"/>
            <w:vMerge/>
            <w:tcBorders>
              <w:top w:val="nil"/>
              <w:bottom w:val="single" w:sz="2" w:space="0" w:color="1F4E79" w:themeColor="accent1" w:themeShade="80"/>
            </w:tcBorders>
            <w:shd w:val="clear" w:color="auto" w:fill="auto"/>
          </w:tcPr>
          <w:p w14:paraId="43ED2BEA" w14:textId="77777777" w:rsidR="00375569" w:rsidRPr="0055383E" w:rsidRDefault="00375569" w:rsidP="00C33728">
            <w:pPr>
              <w:pStyle w:val="08-Tabelageral"/>
              <w:jc w:val="center"/>
              <w:rPr>
                <w:rFonts w:cs="Arial"/>
                <w:b/>
              </w:rPr>
            </w:pPr>
          </w:p>
        </w:tc>
        <w:tc>
          <w:tcPr>
            <w:tcW w:w="283" w:type="dxa"/>
            <w:tcBorders>
              <w:top w:val="nil"/>
              <w:bottom w:val="single" w:sz="2" w:space="0" w:color="1F4E79" w:themeColor="accent1" w:themeShade="80"/>
            </w:tcBorders>
            <w:shd w:val="clear" w:color="auto" w:fill="auto"/>
          </w:tcPr>
          <w:p w14:paraId="7CBA9AC7" w14:textId="77777777" w:rsidR="00375569" w:rsidRPr="0055383E" w:rsidRDefault="00375569" w:rsidP="00C33728">
            <w:pPr>
              <w:pStyle w:val="08-Tabelageral"/>
              <w:jc w:val="center"/>
              <w:rPr>
                <w:rFonts w:cs="Arial"/>
                <w:b/>
              </w:rPr>
            </w:pPr>
          </w:p>
        </w:tc>
        <w:tc>
          <w:tcPr>
            <w:tcW w:w="1417" w:type="dxa"/>
            <w:tcBorders>
              <w:top w:val="nil"/>
              <w:bottom w:val="single" w:sz="2" w:space="0" w:color="1F4E79" w:themeColor="accent1" w:themeShade="80"/>
            </w:tcBorders>
            <w:shd w:val="clear" w:color="auto" w:fill="auto"/>
          </w:tcPr>
          <w:p w14:paraId="1DD0BE47" w14:textId="77777777" w:rsidR="00375569" w:rsidRPr="0055383E" w:rsidRDefault="00375569" w:rsidP="00741AEF">
            <w:pPr>
              <w:pStyle w:val="08-Tabelageral"/>
              <w:rPr>
                <w:rFonts w:cs="Arial"/>
                <w:b/>
              </w:rPr>
            </w:pPr>
            <w:r w:rsidRPr="0055383E">
              <w:rPr>
                <w:rFonts w:cs="Arial"/>
                <w:b/>
              </w:rPr>
              <w:t>3</w:t>
            </w:r>
            <w:r>
              <w:rPr>
                <w:rFonts w:cs="Arial"/>
                <w:b/>
              </w:rPr>
              <w:t>1</w:t>
            </w:r>
            <w:r w:rsidRPr="0055383E">
              <w:rPr>
                <w:rFonts w:cs="Arial"/>
                <w:b/>
              </w:rPr>
              <w:t>.</w:t>
            </w:r>
            <w:r>
              <w:rPr>
                <w:rFonts w:cs="Arial"/>
                <w:b/>
              </w:rPr>
              <w:t>12</w:t>
            </w:r>
            <w:r w:rsidRPr="0055383E">
              <w:rPr>
                <w:rFonts w:cs="Arial"/>
                <w:b/>
              </w:rPr>
              <w:t>.202</w:t>
            </w:r>
            <w:r>
              <w:rPr>
                <w:rFonts w:cs="Arial"/>
                <w:b/>
              </w:rPr>
              <w:t>1</w:t>
            </w:r>
          </w:p>
        </w:tc>
        <w:tc>
          <w:tcPr>
            <w:tcW w:w="1418" w:type="dxa"/>
            <w:tcBorders>
              <w:top w:val="nil"/>
              <w:bottom w:val="single" w:sz="2" w:space="0" w:color="1F4E79" w:themeColor="accent1" w:themeShade="80"/>
            </w:tcBorders>
            <w:shd w:val="clear" w:color="auto" w:fill="auto"/>
          </w:tcPr>
          <w:p w14:paraId="6C20788A" w14:textId="77777777" w:rsidR="00375569" w:rsidRPr="0055383E" w:rsidRDefault="00375569" w:rsidP="005D7CA4">
            <w:pPr>
              <w:pStyle w:val="08-Tabelageral"/>
              <w:rPr>
                <w:rFonts w:cs="Arial"/>
                <w:b/>
              </w:rPr>
            </w:pPr>
            <w:r w:rsidRPr="0055383E">
              <w:rPr>
                <w:rFonts w:cs="Arial"/>
                <w:b/>
              </w:rPr>
              <w:t>31.12.20</w:t>
            </w:r>
            <w:r>
              <w:rPr>
                <w:rFonts w:cs="Arial"/>
                <w:b/>
              </w:rPr>
              <w:t>20</w:t>
            </w:r>
          </w:p>
        </w:tc>
      </w:tr>
      <w:tr w:rsidR="00375569" w:rsidRPr="0048242D" w14:paraId="16A9EE44" w14:textId="77777777" w:rsidTr="00F97A88">
        <w:trPr>
          <w:trHeight w:val="238"/>
          <w:jc w:val="center"/>
        </w:trPr>
        <w:tc>
          <w:tcPr>
            <w:tcW w:w="3094" w:type="dxa"/>
            <w:tcBorders>
              <w:bottom w:val="nil"/>
            </w:tcBorders>
            <w:shd w:val="clear" w:color="auto" w:fill="auto"/>
          </w:tcPr>
          <w:p w14:paraId="5BB34966" w14:textId="77777777" w:rsidR="00375569" w:rsidRPr="0048242D" w:rsidRDefault="00375569" w:rsidP="00C33728">
            <w:pPr>
              <w:pStyle w:val="08-Tabelageral"/>
              <w:jc w:val="left"/>
              <w:rPr>
                <w:rFonts w:cs="Arial"/>
                <w:b/>
                <w:bCs/>
                <w:szCs w:val="14"/>
              </w:rPr>
            </w:pPr>
            <w:r w:rsidRPr="0048242D">
              <w:rPr>
                <w:rFonts w:cs="Arial"/>
                <w:szCs w:val="14"/>
              </w:rPr>
              <w:t>BB Seguros</w:t>
            </w:r>
          </w:p>
        </w:tc>
        <w:tc>
          <w:tcPr>
            <w:tcW w:w="604" w:type="dxa"/>
            <w:tcBorders>
              <w:bottom w:val="nil"/>
            </w:tcBorders>
            <w:shd w:val="clear" w:color="auto" w:fill="auto"/>
          </w:tcPr>
          <w:p w14:paraId="0813BF80" w14:textId="77777777" w:rsidR="00375569" w:rsidRPr="0048242D" w:rsidRDefault="00375569" w:rsidP="00C33728">
            <w:pPr>
              <w:pStyle w:val="08-Tabelageral"/>
              <w:jc w:val="center"/>
              <w:rPr>
                <w:rFonts w:cs="Arial"/>
                <w:szCs w:val="14"/>
              </w:rPr>
            </w:pPr>
          </w:p>
        </w:tc>
        <w:tc>
          <w:tcPr>
            <w:tcW w:w="1411" w:type="dxa"/>
            <w:tcBorders>
              <w:bottom w:val="nil"/>
            </w:tcBorders>
            <w:shd w:val="clear" w:color="auto" w:fill="auto"/>
          </w:tcPr>
          <w:p w14:paraId="78A6451F" w14:textId="77777777" w:rsidR="00375569" w:rsidRPr="0048242D" w:rsidRDefault="00375569" w:rsidP="00C33728">
            <w:pPr>
              <w:pStyle w:val="08-Tabelageral"/>
              <w:rPr>
                <w:rFonts w:cs="Arial"/>
                <w:szCs w:val="14"/>
              </w:rPr>
            </w:pPr>
            <w:r w:rsidRPr="0048242D">
              <w:rPr>
                <w:rFonts w:cs="Arial"/>
                <w:szCs w:val="14"/>
              </w:rPr>
              <w:t>Holding</w:t>
            </w:r>
          </w:p>
        </w:tc>
        <w:tc>
          <w:tcPr>
            <w:tcW w:w="1412" w:type="dxa"/>
            <w:tcBorders>
              <w:bottom w:val="nil"/>
            </w:tcBorders>
            <w:shd w:val="clear" w:color="auto" w:fill="auto"/>
          </w:tcPr>
          <w:p w14:paraId="1DB6BC3C" w14:textId="77777777" w:rsidR="00375569" w:rsidRPr="0048242D" w:rsidRDefault="00375569" w:rsidP="00C33728">
            <w:pPr>
              <w:pStyle w:val="08-Tabelageral"/>
              <w:rPr>
                <w:rFonts w:cs="Arial"/>
              </w:rPr>
            </w:pPr>
            <w:r w:rsidRPr="0048242D">
              <w:rPr>
                <w:rFonts w:cs="Arial"/>
              </w:rPr>
              <w:t>Brasil</w:t>
            </w:r>
          </w:p>
        </w:tc>
        <w:tc>
          <w:tcPr>
            <w:tcW w:w="283" w:type="dxa"/>
            <w:tcBorders>
              <w:bottom w:val="nil"/>
            </w:tcBorders>
            <w:shd w:val="clear" w:color="auto" w:fill="auto"/>
          </w:tcPr>
          <w:p w14:paraId="06601AF3" w14:textId="77777777" w:rsidR="00375569" w:rsidRPr="0048242D" w:rsidRDefault="00375569" w:rsidP="00C33728">
            <w:pPr>
              <w:pStyle w:val="08-Tabelageral"/>
              <w:rPr>
                <w:rFonts w:cs="Arial"/>
                <w:szCs w:val="14"/>
              </w:rPr>
            </w:pPr>
          </w:p>
        </w:tc>
        <w:tc>
          <w:tcPr>
            <w:tcW w:w="1417" w:type="dxa"/>
            <w:tcBorders>
              <w:bottom w:val="nil"/>
            </w:tcBorders>
            <w:shd w:val="clear" w:color="auto" w:fill="auto"/>
          </w:tcPr>
          <w:p w14:paraId="2FF684E4" w14:textId="77777777" w:rsidR="00375569" w:rsidRPr="0048242D" w:rsidRDefault="00375569" w:rsidP="0046511C">
            <w:pPr>
              <w:pStyle w:val="08-Tabelageral"/>
              <w:rPr>
                <w:rFonts w:cs="Arial"/>
                <w:szCs w:val="14"/>
              </w:rPr>
            </w:pPr>
            <w:r w:rsidRPr="0048242D">
              <w:rPr>
                <w:rFonts w:cs="Arial"/>
                <w:szCs w:val="14"/>
              </w:rPr>
              <w:t xml:space="preserve">100% </w:t>
            </w:r>
          </w:p>
        </w:tc>
        <w:tc>
          <w:tcPr>
            <w:tcW w:w="1418" w:type="dxa"/>
            <w:tcBorders>
              <w:bottom w:val="nil"/>
            </w:tcBorders>
            <w:shd w:val="clear" w:color="auto" w:fill="auto"/>
          </w:tcPr>
          <w:p w14:paraId="1F54E38A" w14:textId="77777777" w:rsidR="00375569" w:rsidRPr="0048242D" w:rsidRDefault="00375569" w:rsidP="0046511C">
            <w:pPr>
              <w:pStyle w:val="08-Tabelageral"/>
              <w:rPr>
                <w:rFonts w:cs="Arial"/>
              </w:rPr>
            </w:pPr>
            <w:r w:rsidRPr="0048242D">
              <w:rPr>
                <w:rFonts w:cs="Arial"/>
              </w:rPr>
              <w:t>100%</w:t>
            </w:r>
          </w:p>
        </w:tc>
      </w:tr>
      <w:tr w:rsidR="00375569" w:rsidRPr="0048242D" w14:paraId="1F017400" w14:textId="77777777" w:rsidTr="00F97A88">
        <w:trPr>
          <w:trHeight w:val="238"/>
          <w:jc w:val="center"/>
        </w:trPr>
        <w:tc>
          <w:tcPr>
            <w:tcW w:w="3094" w:type="dxa"/>
            <w:tcBorders>
              <w:top w:val="nil"/>
            </w:tcBorders>
            <w:shd w:val="clear" w:color="auto" w:fill="auto"/>
          </w:tcPr>
          <w:p w14:paraId="102664F9" w14:textId="77777777" w:rsidR="00375569" w:rsidRPr="005551CF" w:rsidRDefault="00375569" w:rsidP="00C33728">
            <w:pPr>
              <w:pStyle w:val="08-Tabelageral"/>
              <w:jc w:val="left"/>
              <w:rPr>
                <w:rFonts w:cs="Arial"/>
                <w:b/>
              </w:rPr>
            </w:pPr>
            <w:r>
              <w:rPr>
                <w:rFonts w:cs="Arial"/>
              </w:rPr>
              <w:t>BB Corretora</w:t>
            </w:r>
          </w:p>
        </w:tc>
        <w:tc>
          <w:tcPr>
            <w:tcW w:w="604" w:type="dxa"/>
            <w:tcBorders>
              <w:top w:val="nil"/>
            </w:tcBorders>
            <w:shd w:val="clear" w:color="auto" w:fill="auto"/>
          </w:tcPr>
          <w:p w14:paraId="2BFC55C3" w14:textId="77777777" w:rsidR="00375569" w:rsidRPr="0048242D" w:rsidRDefault="00375569" w:rsidP="00C33728">
            <w:pPr>
              <w:pStyle w:val="08-Tabelageral"/>
              <w:jc w:val="center"/>
              <w:rPr>
                <w:rFonts w:cs="Arial"/>
                <w:szCs w:val="14"/>
              </w:rPr>
            </w:pPr>
          </w:p>
        </w:tc>
        <w:tc>
          <w:tcPr>
            <w:tcW w:w="1411" w:type="dxa"/>
            <w:tcBorders>
              <w:top w:val="nil"/>
            </w:tcBorders>
            <w:shd w:val="clear" w:color="auto" w:fill="auto"/>
          </w:tcPr>
          <w:p w14:paraId="0A72E140" w14:textId="77777777" w:rsidR="00375569" w:rsidRPr="0048242D" w:rsidRDefault="00375569" w:rsidP="00C33728">
            <w:pPr>
              <w:pStyle w:val="08-Tabelageral"/>
              <w:rPr>
                <w:rFonts w:cs="Arial"/>
                <w:szCs w:val="14"/>
              </w:rPr>
            </w:pPr>
            <w:r w:rsidRPr="0048242D">
              <w:rPr>
                <w:rFonts w:cs="Arial"/>
                <w:szCs w:val="14"/>
              </w:rPr>
              <w:t>Corretora</w:t>
            </w:r>
          </w:p>
        </w:tc>
        <w:tc>
          <w:tcPr>
            <w:tcW w:w="1412" w:type="dxa"/>
            <w:tcBorders>
              <w:top w:val="nil"/>
            </w:tcBorders>
            <w:shd w:val="clear" w:color="auto" w:fill="auto"/>
          </w:tcPr>
          <w:p w14:paraId="74380BB2" w14:textId="77777777" w:rsidR="00375569" w:rsidRPr="0048242D" w:rsidRDefault="00375569" w:rsidP="00C33728">
            <w:pPr>
              <w:pStyle w:val="08-Tabelageral"/>
              <w:rPr>
                <w:rFonts w:cs="Arial"/>
              </w:rPr>
            </w:pPr>
            <w:r w:rsidRPr="0048242D">
              <w:rPr>
                <w:rFonts w:cs="Arial"/>
              </w:rPr>
              <w:t>Brasil</w:t>
            </w:r>
          </w:p>
        </w:tc>
        <w:tc>
          <w:tcPr>
            <w:tcW w:w="283" w:type="dxa"/>
            <w:tcBorders>
              <w:top w:val="nil"/>
            </w:tcBorders>
            <w:shd w:val="clear" w:color="auto" w:fill="auto"/>
          </w:tcPr>
          <w:p w14:paraId="25259564" w14:textId="77777777" w:rsidR="00375569" w:rsidRPr="0048242D" w:rsidRDefault="00375569" w:rsidP="00C33728">
            <w:pPr>
              <w:pStyle w:val="08-Tabelageral"/>
              <w:rPr>
                <w:rFonts w:cs="Arial"/>
                <w:szCs w:val="14"/>
              </w:rPr>
            </w:pPr>
          </w:p>
        </w:tc>
        <w:tc>
          <w:tcPr>
            <w:tcW w:w="1417" w:type="dxa"/>
            <w:tcBorders>
              <w:top w:val="nil"/>
            </w:tcBorders>
            <w:shd w:val="clear" w:color="auto" w:fill="auto"/>
          </w:tcPr>
          <w:p w14:paraId="2DE0DC32" w14:textId="77777777" w:rsidR="00375569" w:rsidRPr="0048242D" w:rsidRDefault="00375569" w:rsidP="0046511C">
            <w:pPr>
              <w:pStyle w:val="08-Tabelageral"/>
              <w:rPr>
                <w:rFonts w:cs="Arial"/>
                <w:szCs w:val="14"/>
              </w:rPr>
            </w:pPr>
            <w:r w:rsidRPr="0048242D">
              <w:rPr>
                <w:rFonts w:cs="Arial"/>
                <w:szCs w:val="14"/>
              </w:rPr>
              <w:t>100%</w:t>
            </w:r>
          </w:p>
        </w:tc>
        <w:tc>
          <w:tcPr>
            <w:tcW w:w="1418" w:type="dxa"/>
            <w:tcBorders>
              <w:top w:val="nil"/>
            </w:tcBorders>
            <w:shd w:val="clear" w:color="auto" w:fill="auto"/>
          </w:tcPr>
          <w:p w14:paraId="266C2CDA" w14:textId="77777777" w:rsidR="00375569" w:rsidRPr="0048242D" w:rsidRDefault="00375569" w:rsidP="0046511C">
            <w:pPr>
              <w:pStyle w:val="08-Tabelageral"/>
              <w:rPr>
                <w:rFonts w:cs="Arial"/>
              </w:rPr>
            </w:pPr>
            <w:r w:rsidRPr="0048242D">
              <w:rPr>
                <w:rFonts w:cs="Arial"/>
              </w:rPr>
              <w:t>100%</w:t>
            </w:r>
          </w:p>
        </w:tc>
      </w:tr>
    </w:tbl>
    <w:p w14:paraId="15CBDE72" w14:textId="77777777" w:rsidR="00375569" w:rsidRPr="001A0BAA" w:rsidRDefault="00375569" w:rsidP="0046511C">
      <w:pPr>
        <w:pStyle w:val="05-Textonormal1"/>
      </w:pPr>
      <w:r w:rsidRPr="001A0BAA">
        <w:t xml:space="preserve">Os saldos e transações intragrupo, assim como </w:t>
      </w:r>
      <w:r>
        <w:t>eventuais</w:t>
      </w:r>
      <w:r w:rsidRPr="001A0BAA">
        <w:t xml:space="preserve"> receitas ou despesas não realizadas nas transações entre as companhias do consolidado, são eliminados na preparação das demonstrações contábeis</w:t>
      </w:r>
      <w:r>
        <w:t xml:space="preserve"> </w:t>
      </w:r>
      <w:r w:rsidRPr="001A0BAA">
        <w:t xml:space="preserve">consolidadas. </w:t>
      </w:r>
    </w:p>
    <w:p w14:paraId="492188F7" w14:textId="77777777" w:rsidR="00375569" w:rsidRPr="0046511C" w:rsidRDefault="00375569" w:rsidP="0046511C">
      <w:pPr>
        <w:pStyle w:val="03-SubttulodeNota"/>
        <w:keepNext/>
        <w:rPr>
          <w:color w:val="1F4E79" w:themeColor="accent1" w:themeShade="80"/>
        </w:rPr>
      </w:pPr>
      <w:r w:rsidRPr="0046511C">
        <w:rPr>
          <w:color w:val="1F4E79" w:themeColor="accent1" w:themeShade="80"/>
        </w:rPr>
        <w:t>f) Sazonalidade das Operações</w:t>
      </w:r>
    </w:p>
    <w:p w14:paraId="2690457F" w14:textId="77777777" w:rsidR="00375569" w:rsidRDefault="00375569" w:rsidP="0046511C">
      <w:pPr>
        <w:pStyle w:val="05-Textonormal1"/>
        <w:rPr>
          <w:rFonts w:eastAsia="SimSun"/>
        </w:rPr>
      </w:pPr>
      <w:r w:rsidRPr="001A0BAA">
        <w:rPr>
          <w:rFonts w:eastAsia="SimSun"/>
        </w:rPr>
        <w:t xml:space="preserve">A BB Seguridade e suas empresas controladas consideram a natureza de suas transações como não cíclicas e não sazonais, levando em consideração </w:t>
      </w:r>
      <w:r>
        <w:rPr>
          <w:rFonts w:eastAsia="SimSun"/>
        </w:rPr>
        <w:t>suas</w:t>
      </w:r>
      <w:r w:rsidRPr="001A0BAA">
        <w:rPr>
          <w:rFonts w:eastAsia="SimSun"/>
        </w:rPr>
        <w:t xml:space="preserve"> atividades exercidas. Consequentemente, não foram fornecidas divulgações específicas nestas notas explicativas.</w:t>
      </w:r>
    </w:p>
    <w:p w14:paraId="07C6E3D8" w14:textId="77777777" w:rsidR="00375569" w:rsidRPr="0046511C" w:rsidRDefault="00375569" w:rsidP="0046511C">
      <w:pPr>
        <w:pStyle w:val="03-SubttulodeNota"/>
        <w:keepNext/>
        <w:rPr>
          <w:color w:val="1F4E79" w:themeColor="accent1" w:themeShade="80"/>
        </w:rPr>
      </w:pPr>
      <w:r w:rsidRPr="0046511C">
        <w:rPr>
          <w:color w:val="1F4E79" w:themeColor="accent1" w:themeShade="80"/>
        </w:rPr>
        <w:t>g) Principais Julgamentos e Estimativas Contábeis</w:t>
      </w:r>
    </w:p>
    <w:p w14:paraId="741F8C9D" w14:textId="77777777" w:rsidR="00375569" w:rsidRPr="00DC2AD4" w:rsidRDefault="00375569" w:rsidP="0046511C">
      <w:pPr>
        <w:pStyle w:val="01-Textonormal2"/>
      </w:pPr>
      <w:r w:rsidRPr="00DC2AD4">
        <w:t xml:space="preserve">A preparação das demonstrações contábeis em conformidade com </w:t>
      </w:r>
      <w:r>
        <w:t xml:space="preserve">as práticas contábeis adotadas no Brasil e com </w:t>
      </w:r>
      <w:r w:rsidRPr="00DC2AD4">
        <w:t xml:space="preserve">as IFRS requer que a Administração faça julgamentos e estimativas que afetam os valores reconhecidos de ativos, passivos, receitas e despesas. As estimativas e pressupostos adotados são analisados em uma base contínua, sendo as revisões realizadas reconhecidas no </w:t>
      </w:r>
      <w:r>
        <w:t>exercício</w:t>
      </w:r>
      <w:r w:rsidRPr="00DC2AD4">
        <w:t xml:space="preserve"> em que a estimativa é reavaliada, com efeitos prospectivos. Ressalta-se que os resultados realizados podem ser diferentes das estimativas.</w:t>
      </w:r>
    </w:p>
    <w:p w14:paraId="7962573F" w14:textId="77777777" w:rsidR="00375569" w:rsidRPr="00DC2AD4" w:rsidRDefault="00375569" w:rsidP="0046511C">
      <w:pPr>
        <w:pStyle w:val="01-Textonormal2"/>
      </w:pPr>
      <w:r w:rsidRPr="00DC2AD4">
        <w:t>Considerando que, em muitas situações, existem alternativas ao tratamento contábil, os resultados divulgados poderiam ser distintos, caso um tratamento diferente fosse escolhido. A Administração considera que as escolhas são apropriadas e que as demonstrações contábeis</w:t>
      </w:r>
      <w:r>
        <w:t xml:space="preserve"> a</w:t>
      </w:r>
      <w:r w:rsidRPr="00DC2AD4">
        <w:t>presentam, de forma adequ</w:t>
      </w:r>
      <w:r>
        <w:t>ada, a posição financeira da BB </w:t>
      </w:r>
      <w:r w:rsidRPr="00DC2AD4">
        <w:t>Seguridade e o resultado das suas operações, em todos os aspectos materialmente relevantes.</w:t>
      </w:r>
    </w:p>
    <w:p w14:paraId="4CBA0199" w14:textId="77777777" w:rsidR="00375569" w:rsidRDefault="00375569" w:rsidP="0046511C">
      <w:pPr>
        <w:pStyle w:val="01-Textonormal2"/>
      </w:pPr>
      <w:r w:rsidRPr="00DC2AD4">
        <w:t>Os ativos e os passivos significativos sujeitos a essas estimativas e premissas abrangem itens</w:t>
      </w:r>
      <w:r>
        <w:t xml:space="preserve"> como valor justo de instrumentos financeiros, redução ao valor recuperável (imparidade) de ativos financeiros e não financeiros, reconhecimento e avaliação de impostos diferidos e provisões e passivos contingentes.</w:t>
      </w:r>
    </w:p>
    <w:p w14:paraId="07BB00E7" w14:textId="7D2DD1D3" w:rsidR="007D1BF4" w:rsidRPr="007D1BF4" w:rsidRDefault="007D1BF4" w:rsidP="007D1BF4">
      <w:pPr>
        <w:pStyle w:val="02-TtulodeNota"/>
        <w:rPr>
          <w:color w:val="1F4E79" w:themeColor="accent1" w:themeShade="80"/>
        </w:rPr>
      </w:pPr>
      <w:bookmarkStart w:id="35" w:name="OLE_LINK5"/>
      <w:bookmarkStart w:id="36" w:name="_Toc94861062"/>
      <w:bookmarkEnd w:id="33"/>
      <w:r w:rsidRPr="007D1BF4">
        <w:rPr>
          <w:color w:val="1F4E79" w:themeColor="accent1" w:themeShade="80"/>
        </w:rPr>
        <w:lastRenderedPageBreak/>
        <w:t>4 – RESUMO DAS PRINCIPAIS PRÁTICAS CONTÁBEIS</w:t>
      </w:r>
      <w:bookmarkEnd w:id="36"/>
    </w:p>
    <w:p w14:paraId="2C1E4F86" w14:textId="77777777" w:rsidR="007D1BF4" w:rsidRPr="00287C9A" w:rsidRDefault="007D1BF4" w:rsidP="00217D43">
      <w:pPr>
        <w:pStyle w:val="05-Textonormal"/>
        <w:rPr>
          <w:rFonts w:cs="Arial"/>
        </w:rPr>
      </w:pPr>
      <w:r w:rsidRPr="00287C9A">
        <w:rPr>
          <w:rFonts w:cs="Arial"/>
        </w:rPr>
        <w:t>P</w:t>
      </w:r>
      <w:r>
        <w:rPr>
          <w:rFonts w:cs="Arial"/>
        </w:rPr>
        <w:t>ráticas</w:t>
      </w:r>
      <w:r w:rsidRPr="00287C9A">
        <w:rPr>
          <w:rFonts w:cs="Arial"/>
        </w:rPr>
        <w:t xml:space="preserve"> contábeis são os princípios, as bases, as convenções</w:t>
      </w:r>
      <w:r>
        <w:rPr>
          <w:rFonts w:cs="Arial"/>
        </w:rPr>
        <w:t xml:space="preserve"> e</w:t>
      </w:r>
      <w:r w:rsidRPr="00287C9A">
        <w:rPr>
          <w:rFonts w:cs="Arial"/>
        </w:rPr>
        <w:t xml:space="preserve"> as regras específicas aplicados pela BB Seguridade na elaboração e na apresentação de demonstrações contábeis. A BB Seguridade aplicou as </w:t>
      </w:r>
      <w:r>
        <w:rPr>
          <w:rFonts w:cs="Arial"/>
        </w:rPr>
        <w:t>práticas</w:t>
      </w:r>
      <w:r w:rsidRPr="00287C9A">
        <w:rPr>
          <w:rFonts w:cs="Arial"/>
        </w:rPr>
        <w:t xml:space="preserve"> contábeis descritas nesta nota explicativa de maneira consistente a todos os </w:t>
      </w:r>
      <w:r>
        <w:rPr>
          <w:rFonts w:cs="Arial"/>
        </w:rPr>
        <w:t>exercícios</w:t>
      </w:r>
      <w:r w:rsidRPr="00287C9A">
        <w:rPr>
          <w:rFonts w:cs="Arial"/>
        </w:rPr>
        <w:t xml:space="preserve"> apresentados nestas demonstrações contábeis.</w:t>
      </w:r>
    </w:p>
    <w:p w14:paraId="21DD8499" w14:textId="77777777" w:rsidR="007D1BF4" w:rsidRPr="00287C9A" w:rsidRDefault="007D1BF4" w:rsidP="009B5D49">
      <w:pPr>
        <w:pStyle w:val="05-Textonormal"/>
        <w:rPr>
          <w:rFonts w:cs="Arial"/>
        </w:rPr>
      </w:pPr>
      <w:r w:rsidRPr="00287C9A">
        <w:rPr>
          <w:rFonts w:cs="Arial"/>
        </w:rPr>
        <w:t xml:space="preserve">As </w:t>
      </w:r>
      <w:r>
        <w:rPr>
          <w:rFonts w:cs="Arial"/>
        </w:rPr>
        <w:t>práticas</w:t>
      </w:r>
      <w:r w:rsidRPr="00287C9A">
        <w:rPr>
          <w:rFonts w:cs="Arial"/>
        </w:rPr>
        <w:t xml:space="preserve"> contábeis utilizadas na preparação destas demonstrações contábeis</w:t>
      </w:r>
      <w:r>
        <w:rPr>
          <w:rFonts w:cs="Arial"/>
        </w:rPr>
        <w:t xml:space="preserve"> </w:t>
      </w:r>
      <w:r w:rsidRPr="00287C9A">
        <w:rPr>
          <w:rFonts w:cs="Arial"/>
        </w:rPr>
        <w:t>equivalem àqueles aplicadas às demonstrações</w:t>
      </w:r>
      <w:r>
        <w:rPr>
          <w:rFonts w:cs="Arial"/>
        </w:rPr>
        <w:t xml:space="preserve"> contábeis</w:t>
      </w:r>
      <w:r w:rsidRPr="00287C9A">
        <w:rPr>
          <w:rFonts w:cs="Arial"/>
        </w:rPr>
        <w:t xml:space="preserve"> anuais referentes ao exercício encerrado em 31.12.20</w:t>
      </w:r>
      <w:r>
        <w:rPr>
          <w:rFonts w:cs="Arial"/>
        </w:rPr>
        <w:t>20</w:t>
      </w:r>
      <w:r w:rsidRPr="00287C9A">
        <w:rPr>
          <w:rFonts w:cs="Arial"/>
        </w:rPr>
        <w:t>.</w:t>
      </w:r>
    </w:p>
    <w:p w14:paraId="4A34AEE8" w14:textId="77777777" w:rsidR="007D1BF4" w:rsidRPr="00287C9A" w:rsidRDefault="007D1BF4" w:rsidP="00151551">
      <w:pPr>
        <w:pStyle w:val="01-TtulodeNota"/>
        <w:rPr>
          <w:rFonts w:cs="Arial"/>
          <w:b w:val="0"/>
          <w:color w:val="1F4E79" w:themeColor="accent1" w:themeShade="80"/>
          <w:sz w:val="18"/>
        </w:rPr>
      </w:pPr>
      <w:r w:rsidRPr="00287C9A">
        <w:rPr>
          <w:rFonts w:cs="Arial"/>
          <w:color w:val="1F4E79" w:themeColor="accent1" w:themeShade="80"/>
          <w:sz w:val="18"/>
        </w:rPr>
        <w:t>a) Reconhecimento de Receitas e Despesas</w:t>
      </w:r>
    </w:p>
    <w:p w14:paraId="6226E580" w14:textId="77777777" w:rsidR="007D1BF4" w:rsidRPr="00287C9A" w:rsidRDefault="007D1BF4" w:rsidP="00217D43">
      <w:pPr>
        <w:pStyle w:val="05-Textonormal"/>
        <w:rPr>
          <w:rFonts w:cs="Arial"/>
        </w:rPr>
      </w:pPr>
      <w:r w:rsidRPr="00287C9A">
        <w:rPr>
          <w:rFonts w:cs="Arial"/>
        </w:rPr>
        <w:t xml:space="preserve">As receitas e despesas são reconhecidas pelo regime de competência e são reportadas nas demonstrações contábeis dos </w:t>
      </w:r>
      <w:r>
        <w:rPr>
          <w:rFonts w:cs="Arial"/>
        </w:rPr>
        <w:t>períodos</w:t>
      </w:r>
      <w:r w:rsidRPr="00287C9A">
        <w:rPr>
          <w:rFonts w:cs="Arial"/>
        </w:rPr>
        <w:t xml:space="preserve"> a que se referem. Receitas são aumentos nos ativos, ou reduções nos passivos, que resultam em aumentos no patrimônio líquido, exceto aqueles referentes a contribuições de detentores de direitos sobre o patrimônio.</w:t>
      </w:r>
    </w:p>
    <w:p w14:paraId="093F5CEF" w14:textId="77777777" w:rsidR="007D1BF4" w:rsidRPr="00287C9A" w:rsidRDefault="007D1BF4" w:rsidP="00217D43">
      <w:pPr>
        <w:pStyle w:val="05-Textonormal"/>
        <w:rPr>
          <w:rFonts w:cs="Arial"/>
        </w:rPr>
      </w:pPr>
      <w:r w:rsidRPr="00287C9A">
        <w:rPr>
          <w:rFonts w:cs="Arial"/>
        </w:rPr>
        <w:t>Esse conceito geral é aplicado para as principais receitas geradas pelas atividades da BB Seguridade e suas investidas, a saber:</w:t>
      </w:r>
    </w:p>
    <w:p w14:paraId="5EDCF2D9" w14:textId="77777777" w:rsidR="007D1BF4" w:rsidRPr="00287C9A" w:rsidRDefault="007D1BF4" w:rsidP="00217D43">
      <w:pPr>
        <w:pStyle w:val="05-Textonormal"/>
        <w:rPr>
          <w:rFonts w:cs="Arial"/>
        </w:rPr>
      </w:pPr>
      <w:r w:rsidRPr="00287C9A">
        <w:rPr>
          <w:rFonts w:cs="Arial"/>
          <w:b/>
          <w:color w:val="1F4E79" w:themeColor="accent1" w:themeShade="80"/>
        </w:rPr>
        <w:t>a.1) Receita de investimentos em participações societárias</w:t>
      </w:r>
      <w:r w:rsidRPr="00287C9A">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w:t>
      </w:r>
      <w:r>
        <w:rPr>
          <w:rFonts w:cs="Arial"/>
        </w:rPr>
        <w:t xml:space="preserve">[IAS 28] </w:t>
      </w:r>
      <w:r w:rsidRPr="00287C9A">
        <w:rPr>
          <w:rFonts w:cs="Arial"/>
        </w:rPr>
        <w:t>- Investimento em Coligada, em Controlada e em Empreendimento Controlado em Conjunto.</w:t>
      </w:r>
    </w:p>
    <w:p w14:paraId="5D5D473F" w14:textId="77777777" w:rsidR="007D1BF4" w:rsidRPr="00287C9A" w:rsidRDefault="007D1BF4" w:rsidP="00217D43">
      <w:pPr>
        <w:pStyle w:val="05-Textonormal"/>
        <w:rPr>
          <w:rFonts w:cs="Arial"/>
        </w:rPr>
      </w:pPr>
      <w:r w:rsidRPr="00287C9A">
        <w:rPr>
          <w:rFonts w:cs="Arial"/>
          <w:b/>
          <w:color w:val="1F4E79" w:themeColor="accent1" w:themeShade="80"/>
        </w:rPr>
        <w:t>a.2) Receita de comissões</w:t>
      </w:r>
      <w:r w:rsidRPr="00287C9A">
        <w:rPr>
          <w:rFonts w:cs="Arial"/>
        </w:rPr>
        <w:t xml:space="preserve"> – As receitas de comissões são reconhecidas </w:t>
      </w:r>
      <w:r w:rsidRPr="00287C9A">
        <w:rPr>
          <w:rFonts w:cs="Arial"/>
          <w:i/>
        </w:rPr>
        <w:t>pro rata</w:t>
      </w:r>
      <w:r w:rsidRPr="00287C9A">
        <w:rPr>
          <w:rFonts w:cs="Arial"/>
        </w:rPr>
        <w:t xml:space="preserve"> dia quando o seu valor, os seus custos associados e o estágio de conclusão da transação puderem ser mensurados de forma confiável e quando </w:t>
      </w:r>
      <w:r w:rsidRPr="001A3272">
        <w:rPr>
          <w:rFonts w:cs="Arial"/>
        </w:rPr>
        <w:t>for provável que os benefícios econômicos associados à transação serão realizados, de acordo com o CPC 47 [IFRS15] - Receita de Contrato com Cliente.</w:t>
      </w:r>
    </w:p>
    <w:p w14:paraId="5E83229D" w14:textId="77777777" w:rsidR="007D1BF4" w:rsidRPr="00287C9A" w:rsidRDefault="007D1BF4" w:rsidP="00217D43">
      <w:pPr>
        <w:pStyle w:val="05-Textonormal"/>
        <w:rPr>
          <w:rFonts w:cs="Arial"/>
        </w:rPr>
      </w:pPr>
      <w:r w:rsidRPr="00287C9A">
        <w:rPr>
          <w:rFonts w:cs="Arial"/>
        </w:rPr>
        <w:t>Para o reconhecimento da receita</w:t>
      </w:r>
      <w:r>
        <w:rPr>
          <w:rFonts w:cs="Arial"/>
        </w:rPr>
        <w:t>,</w:t>
      </w:r>
      <w:r w:rsidRPr="00287C9A">
        <w:rPr>
          <w:rFonts w:cs="Arial"/>
        </w:rPr>
        <w:t xml:space="preserve"> a BB Seguridade utiliza o conceito de um modelo de cinco etapas para determinar quando reconhecer a receita: (i) identificação do contrato; (ii) identificação das obrigações de desempenho; (iii) determinação do preço da transação; (iv) alocação do preço da transação</w:t>
      </w:r>
      <w:r>
        <w:rPr>
          <w:rFonts w:cs="Arial"/>
        </w:rPr>
        <w:t>;</w:t>
      </w:r>
      <w:r w:rsidRPr="00287C9A">
        <w:rPr>
          <w:rFonts w:cs="Arial"/>
        </w:rPr>
        <w:t xml:space="preserve"> e (v) reconhecimento da receita.</w:t>
      </w:r>
    </w:p>
    <w:p w14:paraId="67D3BBFF" w14:textId="77777777" w:rsidR="007D1BF4" w:rsidRPr="00287C9A" w:rsidRDefault="007D1BF4" w:rsidP="00217D43">
      <w:pPr>
        <w:pStyle w:val="05-Textonormal"/>
        <w:rPr>
          <w:rFonts w:cs="Arial"/>
        </w:rPr>
      </w:pPr>
      <w:r w:rsidRPr="00287C9A">
        <w:rPr>
          <w:rFonts w:cs="Arial"/>
        </w:rPr>
        <w:t>As receitas de comissões são reconhecidas quando (ou à medida que) a entidade satisfizer à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linear ao longo da vigência do produto/seguro, ou em momento específico (produtos mensais), em que a obrigação de desempenho ocorre mensalmente, conforme as características dos produtos.</w:t>
      </w:r>
    </w:p>
    <w:p w14:paraId="40E0131B" w14:textId="77777777" w:rsidR="007D1BF4" w:rsidRPr="00287C9A" w:rsidRDefault="007D1BF4" w:rsidP="00217D43">
      <w:pPr>
        <w:pStyle w:val="05-Textonormal"/>
        <w:rPr>
          <w:rFonts w:cs="Arial"/>
        </w:rPr>
      </w:pPr>
      <w:r w:rsidRPr="00287C9A">
        <w:rPr>
          <w:rFonts w:cs="Arial"/>
        </w:rPr>
        <w:t xml:space="preserve">Em casos de devolução de </w:t>
      </w:r>
      <w:r>
        <w:rPr>
          <w:rFonts w:cs="Arial"/>
        </w:rPr>
        <w:t>p</w:t>
      </w:r>
      <w:r w:rsidRPr="00287C9A">
        <w:rPr>
          <w:rFonts w:cs="Arial"/>
        </w:rPr>
        <w:t>rêmios aos segurados, a corretora restitui à seguradora a comissão (seguros anuais) recebida na proporção do valor devolvido ou não recebido pela seguradora em função do período restante da apólice.</w:t>
      </w:r>
    </w:p>
    <w:p w14:paraId="6F49DB1B" w14:textId="77777777" w:rsidR="007D1BF4" w:rsidRDefault="007D1BF4" w:rsidP="00217D43">
      <w:pPr>
        <w:pStyle w:val="05-Textonormal"/>
        <w:rPr>
          <w:rFonts w:cs="Arial"/>
        </w:rPr>
      </w:pPr>
      <w:r w:rsidRPr="00287C9A">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7F679503" w14:textId="77777777" w:rsidR="007D1BF4" w:rsidRPr="00287C9A" w:rsidRDefault="007D1BF4" w:rsidP="00217D43">
      <w:pPr>
        <w:pStyle w:val="05-Textonormal"/>
        <w:rPr>
          <w:rFonts w:cs="Arial"/>
        </w:rPr>
      </w:pPr>
      <w:r w:rsidRPr="00731D64">
        <w:rPr>
          <w:rFonts w:cs="Arial"/>
        </w:rPr>
        <w:t>Para o acompanhamento e controle das comissões de corretagem, a BB Seguridade utiliza o sistema ERP (</w:t>
      </w:r>
      <w:r w:rsidRPr="00731D64">
        <w:rPr>
          <w:rFonts w:cs="Arial"/>
          <w:i/>
        </w:rPr>
        <w:t>Enterprise Resource Planning</w:t>
      </w:r>
      <w:r w:rsidRPr="00731D64">
        <w:rPr>
          <w:rFonts w:cs="Arial"/>
        </w:rPr>
        <w:t xml:space="preserve">), que possui módulo específico para as corretagens, denominado Motor de Cálculo.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w:t>
      </w:r>
      <w:r w:rsidRPr="00EF0454">
        <w:rPr>
          <w:rFonts w:cs="Arial"/>
        </w:rPr>
        <w:t xml:space="preserve">seguridade, possibilitando maior controle e conciliação dos valores de corretagem, além de permitir a contabilização de forma automática. Os produtos da </w:t>
      </w:r>
      <w:r>
        <w:rPr>
          <w:rFonts w:cs="Arial"/>
        </w:rPr>
        <w:t xml:space="preserve">Brasilseg, </w:t>
      </w:r>
      <w:r w:rsidRPr="00EF0454">
        <w:rPr>
          <w:rFonts w:cs="Arial"/>
        </w:rPr>
        <w:t xml:space="preserve">Brasilcap, Brasilprev, Brasildental e Mapfre Seguros Gerais </w:t>
      </w:r>
      <w:r>
        <w:rPr>
          <w:rFonts w:cs="Arial"/>
        </w:rPr>
        <w:t xml:space="preserve">já </w:t>
      </w:r>
      <w:r w:rsidRPr="00EF0454">
        <w:rPr>
          <w:rFonts w:cs="Arial"/>
        </w:rPr>
        <w:t xml:space="preserve">estão </w:t>
      </w:r>
      <w:r>
        <w:rPr>
          <w:rFonts w:cs="Arial"/>
        </w:rPr>
        <w:t>implementados</w:t>
      </w:r>
      <w:r w:rsidRPr="00EF0454">
        <w:rPr>
          <w:rFonts w:cs="Arial"/>
        </w:rPr>
        <w:t xml:space="preserve"> nessa ferramenta.</w:t>
      </w:r>
    </w:p>
    <w:p w14:paraId="43CC9E2F" w14:textId="77777777" w:rsidR="007D1BF4" w:rsidRPr="00287C9A" w:rsidRDefault="007D1BF4" w:rsidP="00217D43">
      <w:pPr>
        <w:pStyle w:val="05-Textonormal"/>
        <w:rPr>
          <w:rFonts w:cs="Arial"/>
        </w:rPr>
      </w:pPr>
      <w:r w:rsidRPr="00287C9A">
        <w:rPr>
          <w:rFonts w:cs="Arial"/>
          <w:b/>
          <w:color w:val="1F4E79" w:themeColor="accent1" w:themeShade="80"/>
        </w:rPr>
        <w:t>a.3) Receitas e despesas financeiras</w:t>
      </w:r>
      <w:r w:rsidRPr="00287C9A">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w:t>
      </w:r>
      <w:r>
        <w:rPr>
          <w:rFonts w:cs="Arial"/>
        </w:rPr>
        <w:t>exercício</w:t>
      </w:r>
      <w:r w:rsidRPr="00287C9A">
        <w:rPr>
          <w:rFonts w:cs="Arial"/>
        </w:rPr>
        <w:t xml:space="preserve"> de acordo com o regime de competência, utilizando-se o método da taxa efetiva de juros, de acordo com o CPC 48</w:t>
      </w:r>
      <w:r>
        <w:rPr>
          <w:rFonts w:cs="Arial"/>
        </w:rPr>
        <w:t xml:space="preserve"> [IFRS 9]</w:t>
      </w:r>
      <w:r w:rsidRPr="00287C9A">
        <w:rPr>
          <w:rFonts w:cs="Arial"/>
        </w:rPr>
        <w:t xml:space="preserve"> – Instrumentos Financeiros.</w:t>
      </w:r>
    </w:p>
    <w:p w14:paraId="1BDD41ED" w14:textId="77777777" w:rsidR="007D1BF4" w:rsidRPr="00287C9A" w:rsidRDefault="007D1BF4" w:rsidP="00217D43">
      <w:pPr>
        <w:pStyle w:val="05-Textonormal"/>
        <w:rPr>
          <w:rFonts w:cs="Arial"/>
        </w:rPr>
      </w:pPr>
      <w:r w:rsidRPr="00287C9A">
        <w:rPr>
          <w:rFonts w:cs="Arial"/>
        </w:rPr>
        <w:t>No caso dos instrumentos avaliados a</w:t>
      </w:r>
      <w:r>
        <w:rPr>
          <w:rFonts w:cs="Arial"/>
        </w:rPr>
        <w:t>o</w:t>
      </w:r>
      <w:r w:rsidRPr="00287C9A">
        <w:rPr>
          <w:rFonts w:cs="Arial"/>
        </w:rPr>
        <w:t xml:space="preserve"> valor justo por meio do resultado (conforme alínea c.3 a seguir), a determinação do valor justo é efetuada conforme descrito na alínea c.4.</w:t>
      </w:r>
    </w:p>
    <w:p w14:paraId="1236D434" w14:textId="77777777" w:rsidR="007D1BF4" w:rsidRPr="00AF6165" w:rsidRDefault="007D1BF4" w:rsidP="00151551">
      <w:pPr>
        <w:pStyle w:val="01-TtulodeNota"/>
        <w:rPr>
          <w:rFonts w:cs="Arial"/>
          <w:color w:val="1F4E79" w:themeColor="accent1" w:themeShade="80"/>
          <w:sz w:val="18"/>
          <w:szCs w:val="18"/>
        </w:rPr>
      </w:pPr>
      <w:r w:rsidRPr="00AF6165">
        <w:rPr>
          <w:rFonts w:cs="Arial"/>
          <w:color w:val="1F4E79" w:themeColor="accent1" w:themeShade="80"/>
          <w:sz w:val="18"/>
          <w:szCs w:val="18"/>
        </w:rPr>
        <w:t>b) Caixa e Equivalentes de Caixa</w:t>
      </w:r>
    </w:p>
    <w:p w14:paraId="5C777DB8" w14:textId="77777777" w:rsidR="007D1BF4" w:rsidRPr="00287C9A" w:rsidRDefault="007D1BF4" w:rsidP="00217D43">
      <w:pPr>
        <w:pStyle w:val="05-Textonormal"/>
        <w:rPr>
          <w:rFonts w:cs="Arial"/>
        </w:rPr>
      </w:pPr>
      <w:r w:rsidRPr="00287C9A">
        <w:rPr>
          <w:rFonts w:cs="Arial"/>
        </w:rPr>
        <w:t>Caixa e equivalentes de caixa estão representados por disponibilidades em moeda nacional, aplicações em fundo de curto prazo, aplicações em operações compromissadas, com alta liquidez e risco insignificante de mudança de valor, com prazo de vencimento igual ou inferior a 90 dias.</w:t>
      </w:r>
    </w:p>
    <w:p w14:paraId="6F1EE9D6" w14:textId="77777777" w:rsidR="007D1BF4" w:rsidRPr="00AF6165" w:rsidRDefault="007D1BF4" w:rsidP="007D1BF4">
      <w:pPr>
        <w:pStyle w:val="01-TtulodeNota"/>
        <w:keepNext/>
        <w:keepLines/>
        <w:pageBreakBefore/>
        <w:rPr>
          <w:rFonts w:cs="Arial"/>
          <w:color w:val="1F4E79" w:themeColor="accent1" w:themeShade="80"/>
          <w:sz w:val="18"/>
          <w:szCs w:val="18"/>
        </w:rPr>
      </w:pPr>
      <w:r w:rsidRPr="00AF6165">
        <w:rPr>
          <w:rFonts w:cs="Arial"/>
          <w:color w:val="1F4E79" w:themeColor="accent1" w:themeShade="80"/>
          <w:sz w:val="18"/>
          <w:szCs w:val="18"/>
        </w:rPr>
        <w:lastRenderedPageBreak/>
        <w:t>c) Instrumentos Financeiros</w:t>
      </w:r>
    </w:p>
    <w:p w14:paraId="0FFDA976" w14:textId="77777777" w:rsidR="007D1BF4" w:rsidRPr="00287C9A" w:rsidRDefault="007D1BF4" w:rsidP="00E23AF7">
      <w:pPr>
        <w:pStyle w:val="05-Textonormal"/>
        <w:rPr>
          <w:rFonts w:cs="Arial"/>
        </w:rPr>
      </w:pPr>
      <w:r w:rsidRPr="00287C9A">
        <w:rPr>
          <w:rFonts w:cs="Arial"/>
        </w:rPr>
        <w:t>Os instrumentos financeiros são classificados em função do modelo de negócios e as características contratuais dos fluxos de caixas dos instrumentos de acordo com o CPC 48</w:t>
      </w:r>
      <w:r>
        <w:rPr>
          <w:rFonts w:cs="Arial"/>
        </w:rPr>
        <w:t xml:space="preserve"> [IFRS 9]</w:t>
      </w:r>
      <w:r w:rsidRPr="00287C9A">
        <w:rPr>
          <w:rFonts w:cs="Arial"/>
        </w:rPr>
        <w:t xml:space="preserve"> – Instrumentos Financeiros.</w:t>
      </w:r>
    </w:p>
    <w:p w14:paraId="115ACAF1" w14:textId="77777777" w:rsidR="007D1BF4" w:rsidRPr="00287C9A" w:rsidRDefault="007D1BF4" w:rsidP="00E23AF7">
      <w:pPr>
        <w:pStyle w:val="05-Textonormal"/>
        <w:rPr>
          <w:rFonts w:cs="Arial"/>
        </w:rPr>
      </w:pPr>
      <w:r w:rsidRPr="00287C9A">
        <w:rPr>
          <w:rFonts w:cs="Arial"/>
        </w:rPr>
        <w:t>Os instrumentos financeiros são mensurados inicialmente ao valor justo acrescido do custo da transação, exceto nos casos em que os ativos e passivos financeiros são registrados ao valor justo por meio do resultado.</w:t>
      </w:r>
    </w:p>
    <w:p w14:paraId="6328466E" w14:textId="77777777" w:rsidR="007D1BF4" w:rsidRPr="00287C9A" w:rsidRDefault="007D1BF4" w:rsidP="00E23AF7">
      <w:pPr>
        <w:pStyle w:val="05-Textonormal"/>
        <w:rPr>
          <w:rFonts w:cs="Arial"/>
        </w:rPr>
      </w:pPr>
      <w:r w:rsidRPr="00287C9A">
        <w:rPr>
          <w:rFonts w:cs="Arial"/>
        </w:rPr>
        <w:t>Os ativos e passivos financeiros podem ser classificados em uma das categorias: (i) instrumento financeiro mensurado ao valor justo por meio do resultado; (ii) instrumento financeiro mensurado ao custo amortizado</w:t>
      </w:r>
      <w:r>
        <w:rPr>
          <w:rFonts w:cs="Arial"/>
        </w:rPr>
        <w:t>;</w:t>
      </w:r>
      <w:r w:rsidRPr="00287C9A">
        <w:rPr>
          <w:rFonts w:cs="Arial"/>
        </w:rPr>
        <w:t xml:space="preserve"> e (iii) instrumento financeiro mensurado ao valor justo por meio de outros resultados abrangentes. </w:t>
      </w:r>
    </w:p>
    <w:p w14:paraId="1B22E3B9" w14:textId="77777777" w:rsidR="007D1BF4" w:rsidRPr="00287C9A" w:rsidRDefault="007D1BF4" w:rsidP="00E23AF7">
      <w:pPr>
        <w:pStyle w:val="05-Textonormal"/>
        <w:rPr>
          <w:rFonts w:cs="Arial"/>
        </w:rPr>
      </w:pPr>
      <w:r w:rsidRPr="00287C9A">
        <w:rPr>
          <w:rFonts w:cs="Arial"/>
        </w:rPr>
        <w:t>Os principais instrumentos financeiros da BB Seguridade e suas controladas são títulos e valores mobiliários custodiados</w:t>
      </w:r>
      <w:r>
        <w:rPr>
          <w:rFonts w:cs="Arial"/>
        </w:rPr>
        <w:t>,</w:t>
      </w:r>
      <w:r w:rsidRPr="00287C9A">
        <w:rPr>
          <w:rFonts w:cs="Arial"/>
        </w:rPr>
        <w:t xml:space="preserve"> principalmente</w:t>
      </w:r>
      <w:r>
        <w:rPr>
          <w:rFonts w:cs="Arial"/>
        </w:rPr>
        <w:t>,</w:t>
      </w:r>
      <w:r w:rsidRPr="00287C9A">
        <w:rPr>
          <w:rFonts w:cs="Arial"/>
        </w:rPr>
        <w:t xml:space="preserve"> no Banco do Brasil (fundos de investimentos e operações </w:t>
      </w:r>
      <w:r w:rsidRPr="00840306">
        <w:rPr>
          <w:rFonts w:cs="Arial"/>
        </w:rPr>
        <w:t>compromissadas).</w:t>
      </w:r>
      <w:r>
        <w:rPr>
          <w:rFonts w:cs="Arial"/>
        </w:rPr>
        <w:t xml:space="preserve"> </w:t>
      </w:r>
      <w:r w:rsidRPr="00840306">
        <w:rPr>
          <w:rFonts w:cs="Arial"/>
        </w:rPr>
        <w:t xml:space="preserve">No </w:t>
      </w:r>
      <w:r>
        <w:rPr>
          <w:rFonts w:cs="Arial"/>
        </w:rPr>
        <w:t>exercício</w:t>
      </w:r>
      <w:r w:rsidRPr="00840306">
        <w:rPr>
          <w:rFonts w:cs="Arial"/>
        </w:rPr>
        <w:t xml:space="preserve"> de reporte, o uso de instrumentos derivativos pela BB Seguridade é realizado de forma indireta, tendo</w:t>
      </w:r>
      <w:r>
        <w:rPr>
          <w:rFonts w:cs="Arial"/>
        </w:rPr>
        <w:t xml:space="preserve"> em</w:t>
      </w:r>
      <w:r w:rsidRPr="00840306">
        <w:rPr>
          <w:rFonts w:cs="Arial"/>
        </w:rPr>
        <w:t xml:space="preserve"> vista que os fundos de investimentos</w:t>
      </w:r>
      <w:r>
        <w:rPr>
          <w:rFonts w:cs="Arial"/>
        </w:rPr>
        <w:t>,</w:t>
      </w:r>
      <w:r w:rsidRPr="00840306">
        <w:rPr>
          <w:rFonts w:cs="Arial"/>
        </w:rPr>
        <w:t xml:space="preserve"> dentro de suas respectivas políticas de investimentos, podem fazer uso desses instrumentos</w:t>
      </w:r>
      <w:r>
        <w:rPr>
          <w:rFonts w:cs="Arial"/>
        </w:rPr>
        <w:t xml:space="preserve"> derivativos</w:t>
      </w:r>
      <w:r w:rsidRPr="00840306">
        <w:rPr>
          <w:rFonts w:cs="Arial"/>
        </w:rPr>
        <w:t>.</w:t>
      </w:r>
    </w:p>
    <w:p w14:paraId="2486EA0E" w14:textId="77777777" w:rsidR="007D1BF4" w:rsidRPr="00287C9A" w:rsidRDefault="007D1BF4" w:rsidP="00E23AF7">
      <w:pPr>
        <w:pStyle w:val="05-Textonormal"/>
        <w:rPr>
          <w:rFonts w:cs="Arial"/>
        </w:rPr>
      </w:pPr>
      <w:r w:rsidRPr="001A3272">
        <w:rPr>
          <w:rFonts w:cs="Arial"/>
        </w:rPr>
        <w:t>A BB Seguridade, por meio da BB Seguros, possui participações em empresas seguradoras, para as quais não é aplicado o CPC 48 [IFRS 9]. Quando há</w:t>
      </w:r>
      <w:r w:rsidRPr="00287C9A">
        <w:rPr>
          <w:rFonts w:cs="Arial"/>
        </w:rPr>
        <w:t xml:space="preserve"> divergência na prática contábil </w:t>
      </w:r>
      <w:r>
        <w:rPr>
          <w:rFonts w:cs="Arial"/>
        </w:rPr>
        <w:t>das empresas investidas,</w:t>
      </w:r>
      <w:r w:rsidRPr="00287C9A">
        <w:rPr>
          <w:rFonts w:cs="Arial"/>
        </w:rPr>
        <w:t xml:space="preserve"> faz-se necessário ajustar as práticas contábeis para uniformização. Porém, a Revisão de Pronunciamentos Técnicos n° 12/2017</w:t>
      </w:r>
      <w:r>
        <w:rPr>
          <w:rFonts w:cs="Arial"/>
        </w:rPr>
        <w:t>,</w:t>
      </w:r>
      <w:r w:rsidRPr="00287C9A">
        <w:rPr>
          <w:rFonts w:cs="Arial"/>
        </w:rPr>
        <w:t xml:space="preserve"> do CPC</w:t>
      </w:r>
      <w:r>
        <w:rPr>
          <w:rFonts w:cs="Arial"/>
        </w:rPr>
        <w:t>,</w:t>
      </w:r>
      <w:r w:rsidRPr="00287C9A">
        <w:rPr>
          <w:rFonts w:cs="Arial"/>
        </w:rPr>
        <w:t xml:space="preserve"> permitiu, em função de isenção para as seguradoras, que a Companhia aplique o referido pronunciamento técnico sem necessidade de </w:t>
      </w:r>
      <w:r w:rsidRPr="005934D5">
        <w:rPr>
          <w:rFonts w:cs="Arial"/>
        </w:rPr>
        <w:t>uniformização em relação a estas investidas (até 1º de janeiro</w:t>
      </w:r>
      <w:r w:rsidRPr="00287C9A">
        <w:rPr>
          <w:rFonts w:cs="Arial"/>
        </w:rPr>
        <w:t xml:space="preserve"> de 2023).</w:t>
      </w:r>
    </w:p>
    <w:p w14:paraId="66CDD740" w14:textId="77777777" w:rsidR="007D1BF4" w:rsidRPr="00287C9A" w:rsidRDefault="007D1BF4" w:rsidP="00217D43">
      <w:pPr>
        <w:pStyle w:val="05-Textonormal"/>
        <w:rPr>
          <w:rFonts w:cs="Arial"/>
        </w:rPr>
      </w:pPr>
      <w:r w:rsidRPr="00287C9A">
        <w:rPr>
          <w:rFonts w:cs="Arial"/>
          <w:b/>
          <w:color w:val="1F4E79" w:themeColor="accent1" w:themeShade="80"/>
        </w:rPr>
        <w:t>c.1) Custo Amortizado</w:t>
      </w:r>
      <w:r w:rsidRPr="00287C9A">
        <w:rPr>
          <w:rFonts w:cs="Arial"/>
          <w:color w:val="1F4E79" w:themeColor="accent1" w:themeShade="80"/>
        </w:rPr>
        <w:t xml:space="preserve"> </w:t>
      </w:r>
      <w:r w:rsidRPr="00287C9A">
        <w:rPr>
          <w:rFonts w:cs="Arial"/>
        </w:rPr>
        <w:t xml:space="preserve">– </w:t>
      </w:r>
      <w:bookmarkStart w:id="37" w:name="_Hlk94625156"/>
      <w:r>
        <w:rPr>
          <w:rFonts w:cs="Arial"/>
        </w:rPr>
        <w:t>Classificam-se nesta categoria os ativos financeiros mantidos</w:t>
      </w:r>
      <w:bookmarkEnd w:id="37"/>
      <w:r w:rsidRPr="00287C9A">
        <w:rPr>
          <w:rFonts w:cs="Arial"/>
        </w:rPr>
        <w:t xml:space="preserve"> (i) com o objetivo de recebimento de seu fluxo de caixa contratual e não para venda com realização de lucros ou prejuízos</w:t>
      </w:r>
      <w:r>
        <w:rPr>
          <w:rFonts w:cs="Arial"/>
        </w:rPr>
        <w:t>;</w:t>
      </w:r>
      <w:r w:rsidRPr="00287C9A">
        <w:rPr>
          <w:rFonts w:cs="Arial"/>
        </w:rPr>
        <w:t xml:space="preserve"> e (ii) cujos termos contratuais dão origem, em datas especificadas, a fluxos de caixa que constituam, exclusivamente, pagamentos de principal e juros sobre o valor do principal em aberto.</w:t>
      </w:r>
    </w:p>
    <w:p w14:paraId="01C7ACFD" w14:textId="77777777" w:rsidR="007D1BF4" w:rsidRPr="00287C9A" w:rsidRDefault="007D1BF4" w:rsidP="00217D43">
      <w:pPr>
        <w:pStyle w:val="05-Textonormal"/>
        <w:rPr>
          <w:rFonts w:cs="Arial"/>
        </w:rPr>
      </w:pPr>
      <w:r w:rsidRPr="00287C9A">
        <w:rPr>
          <w:rFonts w:cs="Arial"/>
        </w:rPr>
        <w:t xml:space="preserve">As letras financeiras são reconhecidas como ativos financeiros mensurados ao custo amortizado. As </w:t>
      </w:r>
      <w:r>
        <w:rPr>
          <w:rFonts w:cs="Arial"/>
        </w:rPr>
        <w:t>atualizações e juros</w:t>
      </w:r>
      <w:r w:rsidRPr="00287C9A">
        <w:rPr>
          <w:rFonts w:cs="Arial"/>
        </w:rPr>
        <w:t xml:space="preserve"> desses ativos são reconhecid</w:t>
      </w:r>
      <w:r>
        <w:rPr>
          <w:rFonts w:cs="Arial"/>
        </w:rPr>
        <w:t>o</w:t>
      </w:r>
      <w:r w:rsidRPr="00287C9A">
        <w:rPr>
          <w:rFonts w:cs="Arial"/>
        </w:rPr>
        <w:t xml:space="preserve">s no resultado do </w:t>
      </w:r>
      <w:r>
        <w:rPr>
          <w:rFonts w:cs="Arial"/>
        </w:rPr>
        <w:t>exercício</w:t>
      </w:r>
      <w:r w:rsidRPr="00287C9A">
        <w:rPr>
          <w:rFonts w:cs="Arial"/>
        </w:rPr>
        <w:t xml:space="preserve"> em receita ou despesa financeira, dependendo do resultado obtido.</w:t>
      </w:r>
    </w:p>
    <w:p w14:paraId="64440740" w14:textId="77777777" w:rsidR="007D1BF4" w:rsidRPr="00287C9A" w:rsidRDefault="007D1BF4" w:rsidP="00217D43">
      <w:pPr>
        <w:pStyle w:val="05-Textonormal"/>
        <w:rPr>
          <w:rFonts w:cs="Arial"/>
        </w:rPr>
      </w:pPr>
      <w:r w:rsidRPr="00287C9A">
        <w:rPr>
          <w:rFonts w:cs="Arial"/>
          <w:b/>
          <w:color w:val="1F4E79" w:themeColor="accent1" w:themeShade="80"/>
        </w:rPr>
        <w:t>c.2) Valor Justo por meio de Outros Resultados Abrangentes (VJORA)</w:t>
      </w:r>
      <w:r w:rsidRPr="00287C9A">
        <w:rPr>
          <w:rFonts w:cs="Arial"/>
          <w:color w:val="1F4E79" w:themeColor="accent1" w:themeShade="80"/>
        </w:rPr>
        <w:t xml:space="preserve"> </w:t>
      </w:r>
      <w:r w:rsidRPr="00287C9A">
        <w:rPr>
          <w:rFonts w:cs="Arial"/>
        </w:rPr>
        <w:t xml:space="preserve">– </w:t>
      </w:r>
      <w:r>
        <w:rPr>
          <w:rFonts w:cs="Arial"/>
        </w:rPr>
        <w:t>Classificam-se nesta categoria os ativos financeiros mantidos</w:t>
      </w:r>
      <w:r w:rsidRPr="00287C9A">
        <w:rPr>
          <w:rFonts w:cs="Arial"/>
        </w:rPr>
        <w:t xml:space="preserve"> (i) tanto para o recebimento de seu fluxo de caixa contratual quanto para a venda com realização de lucros ou prejuízos e (ii) cujos termos contratuais dão origem, em datas especificadas, a fluxos de caixa que constituam, exclusivamente, pagamentos de principal e juros sobre o valor do principal em aberto. </w:t>
      </w:r>
    </w:p>
    <w:p w14:paraId="20D71BF0" w14:textId="77777777" w:rsidR="007D1BF4" w:rsidRPr="00287C9A" w:rsidRDefault="007D1BF4" w:rsidP="00217D43">
      <w:pPr>
        <w:pStyle w:val="05-Textonormal"/>
        <w:rPr>
          <w:rFonts w:cs="Arial"/>
        </w:rPr>
      </w:pPr>
      <w:r w:rsidRPr="00287C9A">
        <w:rPr>
          <w:rFonts w:cs="Arial"/>
        </w:rPr>
        <w:t xml:space="preserve">Para o </w:t>
      </w:r>
      <w:r>
        <w:rPr>
          <w:rFonts w:cs="Arial"/>
        </w:rPr>
        <w:t>exercício</w:t>
      </w:r>
      <w:r w:rsidRPr="00287C9A">
        <w:rPr>
          <w:rFonts w:cs="Arial"/>
        </w:rPr>
        <w:t xml:space="preserve"> a BB Seguridade não possuía ativos financeiros classificados nessa categoria.</w:t>
      </w:r>
    </w:p>
    <w:p w14:paraId="77579010" w14:textId="77777777" w:rsidR="007D1BF4" w:rsidRPr="00287C9A" w:rsidRDefault="007D1BF4" w:rsidP="00217D43">
      <w:pPr>
        <w:pStyle w:val="05-Textonormal"/>
        <w:rPr>
          <w:rFonts w:cs="Arial"/>
        </w:rPr>
      </w:pPr>
      <w:r w:rsidRPr="00287C9A">
        <w:rPr>
          <w:rFonts w:cs="Arial"/>
          <w:b/>
          <w:color w:val="1F4E79" w:themeColor="accent1" w:themeShade="80"/>
        </w:rPr>
        <w:t>c.3) Valor Justo por meio do Resultado (VJR)</w:t>
      </w:r>
      <w:r w:rsidRPr="00287C9A">
        <w:rPr>
          <w:rFonts w:cs="Arial"/>
        </w:rPr>
        <w:t xml:space="preserve"> – São classificados nessa categoria os ativos financeiros que não sejam mensurados ao custo amortizado ou ao valor justo por meio de outros resultados abrangentes.</w:t>
      </w:r>
    </w:p>
    <w:p w14:paraId="753EB9C2" w14:textId="77777777" w:rsidR="007D1BF4" w:rsidRPr="00287C9A" w:rsidRDefault="007D1BF4" w:rsidP="00217D43">
      <w:pPr>
        <w:pStyle w:val="05-Textonormal"/>
        <w:rPr>
          <w:rFonts w:cs="Arial"/>
        </w:rPr>
      </w:pPr>
      <w:r w:rsidRPr="00287C9A">
        <w:rPr>
          <w:rFonts w:cs="Arial"/>
        </w:rPr>
        <w:t xml:space="preserve">Os fundos de investimentos e </w:t>
      </w:r>
      <w:r>
        <w:rPr>
          <w:rFonts w:cs="Arial"/>
        </w:rPr>
        <w:t xml:space="preserve">as </w:t>
      </w:r>
      <w:r w:rsidRPr="00287C9A">
        <w:rPr>
          <w:rFonts w:cs="Arial"/>
        </w:rPr>
        <w:t>operações compromissadas são reconhecidas como ativos financeiros mensurados ao valor justo por meio do resultado.</w:t>
      </w:r>
    </w:p>
    <w:p w14:paraId="026942BD" w14:textId="77777777" w:rsidR="007D1BF4" w:rsidRPr="00287C9A" w:rsidRDefault="007D1BF4" w:rsidP="00217D43">
      <w:pPr>
        <w:pStyle w:val="05-Textonormal"/>
        <w:rPr>
          <w:rFonts w:cs="Arial"/>
        </w:rPr>
      </w:pPr>
      <w:r w:rsidRPr="00287C9A">
        <w:rPr>
          <w:rFonts w:cs="Arial"/>
          <w:b/>
          <w:color w:val="1F4E79" w:themeColor="accent1" w:themeShade="80"/>
        </w:rPr>
        <w:t>c.4) Determinação do Valor Justo</w:t>
      </w:r>
      <w:r w:rsidRPr="00287C9A">
        <w:rPr>
          <w:rFonts w:cs="Arial"/>
        </w:rPr>
        <w:t xml:space="preserve"> – Valor justo é o preço que seria recebido pela venda de um ativo ou seria pago pela transferência de um passivo em uma transação não forçada entre participantes do mercado na data da mensuração.</w:t>
      </w:r>
    </w:p>
    <w:p w14:paraId="1B31F87F" w14:textId="77777777" w:rsidR="007D1BF4" w:rsidRPr="00287C9A" w:rsidRDefault="007D1BF4" w:rsidP="00217D43">
      <w:pPr>
        <w:pStyle w:val="05-Textonormal"/>
        <w:rPr>
          <w:rFonts w:cs="Arial"/>
        </w:rPr>
      </w:pPr>
      <w:r w:rsidRPr="00287C9A">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6716DD94" w14:textId="77777777" w:rsidR="007D1BF4" w:rsidRPr="00287C9A" w:rsidRDefault="007D1BF4" w:rsidP="00217D43">
      <w:pPr>
        <w:pStyle w:val="05-Textonormal"/>
        <w:rPr>
          <w:rFonts w:cs="Arial"/>
        </w:rPr>
      </w:pPr>
      <w:r w:rsidRPr="00287C9A">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733F6582" w14:textId="77777777" w:rsidR="007D1BF4" w:rsidRPr="00287C9A" w:rsidRDefault="007D1BF4" w:rsidP="00217D43">
      <w:pPr>
        <w:pStyle w:val="05-Textonormal"/>
        <w:rPr>
          <w:rFonts w:cs="Arial"/>
        </w:rPr>
      </w:pPr>
      <w:r w:rsidRPr="00287C9A">
        <w:rPr>
          <w:rFonts w:cs="Arial"/>
        </w:rPr>
        <w:t>Os modelos internos de precificação podem envolver algum nível de estimativa e julgamento da Administração cuja intensidade dependerá, entre outros fatores, da complexidade do instrumento financeiro.</w:t>
      </w:r>
    </w:p>
    <w:p w14:paraId="622617E6" w14:textId="77777777" w:rsidR="007D1BF4" w:rsidRPr="00287C9A" w:rsidRDefault="007D1BF4" w:rsidP="00217D43">
      <w:pPr>
        <w:pStyle w:val="05-Textonormal"/>
        <w:rPr>
          <w:rFonts w:cs="Arial"/>
        </w:rPr>
      </w:pPr>
      <w:r w:rsidRPr="00287C9A">
        <w:rPr>
          <w:rFonts w:cs="Arial"/>
          <w:b/>
          <w:color w:val="1F4E79" w:themeColor="accent1" w:themeShade="80"/>
        </w:rPr>
        <w:t>c.5) Passivos financeiros</w:t>
      </w:r>
      <w:r w:rsidRPr="00287C9A">
        <w:rPr>
          <w:rFonts w:cs="Arial"/>
          <w:color w:val="1F4E79" w:themeColor="accent1" w:themeShade="80"/>
        </w:rPr>
        <w:t xml:space="preserve"> </w:t>
      </w:r>
      <w:r w:rsidRPr="00287C9A">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6A6FAD24" w14:textId="77777777" w:rsidR="007D1BF4" w:rsidRPr="00AF6165" w:rsidRDefault="007D1BF4" w:rsidP="007D1BF4">
      <w:pPr>
        <w:pStyle w:val="01-TtulodeNota"/>
        <w:keepNext/>
        <w:keepLines/>
        <w:pageBreakBefore/>
        <w:rPr>
          <w:rFonts w:cs="Arial"/>
          <w:color w:val="1F4E79" w:themeColor="accent1" w:themeShade="80"/>
          <w:sz w:val="18"/>
          <w:szCs w:val="18"/>
        </w:rPr>
      </w:pPr>
      <w:r w:rsidRPr="00AF6165">
        <w:rPr>
          <w:rFonts w:cs="Arial"/>
          <w:color w:val="1F4E79" w:themeColor="accent1" w:themeShade="80"/>
          <w:sz w:val="18"/>
          <w:szCs w:val="18"/>
        </w:rPr>
        <w:lastRenderedPageBreak/>
        <w:t>d) Baixa de Ativos Financeiros e de Passivos Financeiros</w:t>
      </w:r>
    </w:p>
    <w:p w14:paraId="59522F12" w14:textId="77777777" w:rsidR="007D1BF4" w:rsidRPr="00287C9A" w:rsidRDefault="007D1BF4" w:rsidP="00217D43">
      <w:pPr>
        <w:pStyle w:val="05-Textonormal"/>
        <w:rPr>
          <w:rFonts w:cs="Arial"/>
        </w:rPr>
      </w:pPr>
      <w:r w:rsidRPr="00287C9A">
        <w:rPr>
          <w:rFonts w:cs="Arial"/>
          <w:b/>
          <w:color w:val="1F4E79" w:themeColor="accent1" w:themeShade="80"/>
        </w:rPr>
        <w:t>d.1) Ativos financeiros</w:t>
      </w:r>
      <w:r w:rsidRPr="00287C9A">
        <w:rPr>
          <w:rFonts w:cs="Arial"/>
          <w:color w:val="1F4E79" w:themeColor="accent1" w:themeShade="80"/>
        </w:rPr>
        <w:t xml:space="preserve"> </w:t>
      </w:r>
      <w:r w:rsidRPr="00287C9A">
        <w:rPr>
          <w:rFonts w:cs="Arial"/>
        </w:rPr>
        <w:t>– Um ativo financeiro é baixado quando: (i) os direitos contratuais relativos aos respectivos fluxos de caixa expirarem; (ii) transferir para terceiros a maioria dos riscos e benefícios associados ao ativo; ou (iii) quando o controle sobre o ativo é transferido, mesmo tendo retido parte dos riscos e benefícios associados à sua detenção.</w:t>
      </w:r>
    </w:p>
    <w:p w14:paraId="40E49C15" w14:textId="77777777" w:rsidR="007D1BF4" w:rsidRPr="00287C9A" w:rsidRDefault="007D1BF4" w:rsidP="00217D43">
      <w:pPr>
        <w:pStyle w:val="05-Textonormal"/>
        <w:rPr>
          <w:rFonts w:cs="Arial"/>
        </w:rPr>
      </w:pPr>
      <w:r w:rsidRPr="00287C9A">
        <w:rPr>
          <w:rFonts w:cs="Arial"/>
        </w:rPr>
        <w:t>Os direitos e obrigações retidos na transferência são reconhecidos separadamente como ativos e como passivos, quando apropriado. Se o controle sobre o ativo é retido, continua-se a reconhecê-lo na extensão do seu envolvimento contínuo, que é determinado pela extensão em que ele permanece exposto a mudanças no valor do ativo transferido.</w:t>
      </w:r>
    </w:p>
    <w:p w14:paraId="1D44A39A" w14:textId="77777777" w:rsidR="007D1BF4" w:rsidRPr="00287C9A" w:rsidRDefault="007D1BF4" w:rsidP="00217D43">
      <w:pPr>
        <w:pStyle w:val="05-Textonormal"/>
        <w:rPr>
          <w:rFonts w:cs="Arial"/>
        </w:rPr>
      </w:pPr>
      <w:r w:rsidRPr="00287C9A">
        <w:rPr>
          <w:rFonts w:cs="Arial"/>
          <w:b/>
          <w:color w:val="1F4E79" w:themeColor="accent1" w:themeShade="80"/>
        </w:rPr>
        <w:t>d.2) Passivos financeiros</w:t>
      </w:r>
      <w:r w:rsidRPr="00287C9A">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6D4519D8" w14:textId="77777777" w:rsidR="007D1BF4" w:rsidRPr="00AF6165" w:rsidRDefault="007D1BF4" w:rsidP="0006676D">
      <w:pPr>
        <w:pStyle w:val="01-TtulodeNota"/>
        <w:rPr>
          <w:rFonts w:cs="Arial"/>
          <w:color w:val="1F4E79" w:themeColor="accent1" w:themeShade="80"/>
          <w:sz w:val="18"/>
          <w:szCs w:val="18"/>
        </w:rPr>
      </w:pPr>
      <w:r w:rsidRPr="00AF6165">
        <w:rPr>
          <w:rFonts w:cs="Arial"/>
          <w:color w:val="1F4E79" w:themeColor="accent1" w:themeShade="80"/>
          <w:sz w:val="18"/>
          <w:szCs w:val="18"/>
        </w:rPr>
        <w:t>e) Redução ao Valor Recuperável de Ativos Financeiros – Imparidade</w:t>
      </w:r>
    </w:p>
    <w:p w14:paraId="0EFD5794" w14:textId="77777777" w:rsidR="007D1BF4" w:rsidRPr="00287C9A" w:rsidRDefault="007D1BF4" w:rsidP="00217D43">
      <w:pPr>
        <w:pStyle w:val="05-Textonormal"/>
        <w:rPr>
          <w:rFonts w:cs="Arial"/>
        </w:rPr>
      </w:pPr>
      <w:r w:rsidRPr="00287C9A">
        <w:rPr>
          <w:rFonts w:cs="Arial"/>
        </w:rPr>
        <w:t>Para a redução ao valor recuperável de ativos financeiros (imparidade), o CPC 48</w:t>
      </w:r>
      <w:r>
        <w:rPr>
          <w:rFonts w:cs="Arial"/>
        </w:rPr>
        <w:t xml:space="preserve"> [IFRS 9]</w:t>
      </w:r>
      <w:r w:rsidRPr="00287C9A">
        <w:rPr>
          <w:rFonts w:cs="Arial"/>
        </w:rPr>
        <w:t xml:space="preserve"> – Instrumentos Financeiros considera as perdas de crédito esperadas, que são uma estimativa ponderada por probabilidade de perdas de crédito (ou seja, valor presente de todos os déficits de caixa) ao longo da vida esperada do instrumento financeiro. </w:t>
      </w:r>
    </w:p>
    <w:p w14:paraId="28156FA8" w14:textId="77777777" w:rsidR="007D1BF4" w:rsidRPr="00287C9A" w:rsidRDefault="007D1BF4" w:rsidP="00217D43">
      <w:pPr>
        <w:pStyle w:val="05-Textonormal"/>
        <w:rPr>
          <w:rFonts w:cs="Arial"/>
        </w:rPr>
      </w:pPr>
      <w:r w:rsidRPr="00287C9A">
        <w:rPr>
          <w:rFonts w:cs="Arial"/>
        </w:rPr>
        <w:t>O déficit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p>
    <w:p w14:paraId="59693DEC" w14:textId="77777777" w:rsidR="007D1BF4" w:rsidRPr="00287C9A" w:rsidRDefault="007D1BF4" w:rsidP="00217D43">
      <w:pPr>
        <w:pStyle w:val="05-Textonormal"/>
        <w:rPr>
          <w:rFonts w:cs="Arial"/>
        </w:rPr>
      </w:pPr>
      <w:r w:rsidRPr="00287C9A">
        <w:rPr>
          <w:rFonts w:cs="Arial"/>
        </w:rPr>
        <w:t>Para a redução ao valor recuperável das comissões a receber foi utilizado a abordagem simplificada permitida pelo CPC 48</w:t>
      </w:r>
      <w:r>
        <w:rPr>
          <w:rFonts w:cs="Arial"/>
        </w:rPr>
        <w:t xml:space="preserve"> [IFRS 9]</w:t>
      </w:r>
      <w:r w:rsidRPr="00287C9A">
        <w:rPr>
          <w:rFonts w:cs="Arial"/>
        </w:rPr>
        <w:t xml:space="preserve"> para recebíveis comerciais em que o reconhecimento das perdas de crédito esperadas segue o modelo para a vida inteira do instrumento. </w:t>
      </w:r>
    </w:p>
    <w:p w14:paraId="357961EC" w14:textId="77777777" w:rsidR="007D1BF4" w:rsidRPr="00287C9A" w:rsidRDefault="007D1BF4" w:rsidP="00217D43">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financeiro possa estar desvalorizado, é avaliado</w:t>
      </w:r>
      <w:r>
        <w:rPr>
          <w:rFonts w:cs="Arial"/>
        </w:rPr>
        <w:t>,</w:t>
      </w:r>
      <w:r w:rsidRPr="00287C9A">
        <w:rPr>
          <w:rFonts w:cs="Arial"/>
        </w:rPr>
        <w:t xml:space="preserve"> na BB Seguridade, se há alguma evidência objetiva de redução ao valor recuperável de seus ativos financeiros, de acordo com o CPC 48</w:t>
      </w:r>
      <w:r>
        <w:rPr>
          <w:rFonts w:cs="Arial"/>
        </w:rPr>
        <w:t xml:space="preserve"> [IFRS 9]</w:t>
      </w:r>
      <w:r w:rsidRPr="00287C9A">
        <w:rPr>
          <w:rFonts w:cs="Arial"/>
        </w:rPr>
        <w:t xml:space="preserve"> – Instrumentos Financeiros.</w:t>
      </w:r>
    </w:p>
    <w:p w14:paraId="0CAE76C0" w14:textId="77777777" w:rsidR="007D1BF4" w:rsidRPr="00287C9A" w:rsidRDefault="007D1BF4" w:rsidP="008D7BBA">
      <w:pPr>
        <w:pStyle w:val="05-Textonormal"/>
        <w:rPr>
          <w:rFonts w:cs="Arial"/>
        </w:rPr>
      </w:pPr>
      <w:r w:rsidRPr="008B5272">
        <w:rPr>
          <w:rFonts w:cs="Arial"/>
        </w:rPr>
        <w:t xml:space="preserve">No </w:t>
      </w:r>
      <w:r>
        <w:rPr>
          <w:rFonts w:cs="Arial"/>
        </w:rPr>
        <w:t xml:space="preserve">exercício </w:t>
      </w:r>
      <w:r w:rsidRPr="008B5272">
        <w:rPr>
          <w:rFonts w:cs="Arial"/>
        </w:rPr>
        <w:t>não houve perdas por desvalorização dos ativos financeiros da BB Seguridade.</w:t>
      </w:r>
    </w:p>
    <w:p w14:paraId="1C0E5954"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f</w:t>
      </w:r>
      <w:r w:rsidRPr="00AF6165">
        <w:rPr>
          <w:rFonts w:cs="Arial"/>
          <w:color w:val="1F4E79" w:themeColor="accent1" w:themeShade="80"/>
          <w:sz w:val="18"/>
          <w:szCs w:val="18"/>
        </w:rPr>
        <w:t>) Ágio e Outros Ativos Intangíveis</w:t>
      </w:r>
    </w:p>
    <w:p w14:paraId="6D859A1E" w14:textId="77777777" w:rsidR="007D1BF4" w:rsidRPr="00287C9A" w:rsidRDefault="007D1BF4" w:rsidP="00217D43">
      <w:pPr>
        <w:pStyle w:val="05-Textonormal"/>
        <w:rPr>
          <w:rFonts w:cs="Arial"/>
        </w:rPr>
      </w:pPr>
      <w:r w:rsidRPr="00287C9A">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3976705A" w14:textId="77777777" w:rsidR="007D1BF4" w:rsidRPr="00287C9A" w:rsidRDefault="007D1BF4" w:rsidP="00217D43">
      <w:pPr>
        <w:pStyle w:val="05-Textonormal"/>
        <w:rPr>
          <w:rFonts w:cs="Arial"/>
        </w:rPr>
      </w:pPr>
      <w:r w:rsidRPr="00287C9A">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aquisição. Os ativos intangíveis adquiridos independentemente são inicialmente mensurados ao custo.</w:t>
      </w:r>
    </w:p>
    <w:p w14:paraId="0FC1057D" w14:textId="77777777" w:rsidR="007D1BF4" w:rsidRPr="00287C9A" w:rsidRDefault="007D1BF4" w:rsidP="00217D43">
      <w:pPr>
        <w:pStyle w:val="05-Textonormal"/>
        <w:rPr>
          <w:rFonts w:cs="Arial"/>
        </w:rPr>
      </w:pPr>
      <w:r w:rsidRPr="00287C9A">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7AFC4940" w14:textId="77777777" w:rsidR="007D1BF4" w:rsidRPr="00287C9A" w:rsidRDefault="007D1BF4" w:rsidP="00217D43">
      <w:pPr>
        <w:pStyle w:val="05-Textonormal"/>
        <w:rPr>
          <w:rFonts w:cs="Arial"/>
        </w:rPr>
      </w:pPr>
      <w:r w:rsidRPr="00287C9A">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3B9308F9" w14:textId="77777777" w:rsidR="007D1BF4" w:rsidRPr="00287C9A" w:rsidRDefault="007D1BF4" w:rsidP="00217D43">
      <w:pPr>
        <w:pStyle w:val="05-Textonormal"/>
        <w:rPr>
          <w:rFonts w:cs="Arial"/>
        </w:rPr>
      </w:pPr>
      <w:r w:rsidRPr="00287C9A">
        <w:rPr>
          <w:rFonts w:cs="Arial"/>
        </w:rPr>
        <w:t xml:space="preserve">Os custos incorridos relacionados com a aquisição, produção e desenvolvimento de </w:t>
      </w:r>
      <w:r w:rsidRPr="001A3272">
        <w:rPr>
          <w:rFonts w:cs="Arial"/>
          <w:i/>
          <w:iCs/>
        </w:rPr>
        <w:t>softwares</w:t>
      </w:r>
      <w:r w:rsidRPr="00287C9A">
        <w:rPr>
          <w:rFonts w:cs="Arial"/>
        </w:rPr>
        <w:t xml:space="preserve"> são capitalizados e registrados como ativos intangíveis. Gastos realizados na fase de pesquisa são registrados em despesa.</w:t>
      </w:r>
    </w:p>
    <w:p w14:paraId="12CC0184" w14:textId="77777777" w:rsidR="007D1BF4" w:rsidRPr="00287C9A" w:rsidRDefault="007D1BF4" w:rsidP="00217D43">
      <w:pPr>
        <w:pStyle w:val="05-Textonormal"/>
        <w:rPr>
          <w:rFonts w:cs="Arial"/>
        </w:rPr>
      </w:pPr>
      <w:r w:rsidRPr="00287C9A">
        <w:rPr>
          <w:rFonts w:cs="Arial"/>
        </w:rPr>
        <w:t>A despesa de amortização de ativos intangíveis com vida útil definida e as perdas por redução ao valor recuperável são reconhecidas no resultado do período na linha “Outras” da Demonstração do Resultado.</w:t>
      </w:r>
    </w:p>
    <w:p w14:paraId="3762DC40" w14:textId="77777777" w:rsidR="007D1BF4" w:rsidRPr="00AF6165" w:rsidRDefault="007D1BF4" w:rsidP="007D1BF4">
      <w:pPr>
        <w:pStyle w:val="01-TtulodeNota"/>
        <w:keepNext/>
        <w:keepLines/>
        <w:pageBreakBefore/>
        <w:rPr>
          <w:rFonts w:cs="Arial"/>
          <w:color w:val="1F4E79" w:themeColor="accent1" w:themeShade="80"/>
          <w:sz w:val="18"/>
          <w:szCs w:val="18"/>
        </w:rPr>
      </w:pPr>
      <w:r>
        <w:rPr>
          <w:rFonts w:cs="Arial"/>
          <w:color w:val="1F4E79" w:themeColor="accent1" w:themeShade="80"/>
          <w:sz w:val="18"/>
          <w:szCs w:val="18"/>
        </w:rPr>
        <w:lastRenderedPageBreak/>
        <w:t>g</w:t>
      </w:r>
      <w:r w:rsidRPr="00AF6165">
        <w:rPr>
          <w:rFonts w:cs="Arial"/>
          <w:color w:val="1F4E79" w:themeColor="accent1" w:themeShade="80"/>
          <w:sz w:val="18"/>
          <w:szCs w:val="18"/>
        </w:rPr>
        <w:t>) Redução ao Valor Recuperável de Ativos Não Financeiros – Imparidade</w:t>
      </w:r>
    </w:p>
    <w:p w14:paraId="66A85F09" w14:textId="77777777" w:rsidR="007D1BF4" w:rsidRPr="00287C9A" w:rsidRDefault="007D1BF4" w:rsidP="00217D43">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6452C9AA" w14:textId="77777777" w:rsidR="007D1BF4" w:rsidRPr="00287C9A" w:rsidRDefault="007D1BF4" w:rsidP="00217D43">
      <w:pPr>
        <w:pStyle w:val="05-Textonormal"/>
        <w:rPr>
          <w:rFonts w:cs="Arial"/>
        </w:rPr>
      </w:pPr>
      <w:r w:rsidRPr="00287C9A">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570F6017" w14:textId="77777777" w:rsidR="007D1BF4" w:rsidRPr="00287C9A" w:rsidRDefault="007D1BF4" w:rsidP="00217D43">
      <w:pPr>
        <w:pStyle w:val="05-Textonormal"/>
        <w:rPr>
          <w:rFonts w:cs="Arial"/>
        </w:rPr>
      </w:pPr>
      <w:r w:rsidRPr="00287C9A">
        <w:rPr>
          <w:rFonts w:cs="Arial"/>
        </w:rPr>
        <w:t>Na hipótese de o valor recuperável do ativo ser menor que o seu valor contábil, o valor contábil do ativo é reduzido ao seu valor recuperável por meio do registro de uma perda por imparidade, cuja contrapartida é reconhecida no resultado do período em que ocorrer, em outras despesas/receitas operacionais.</w:t>
      </w:r>
    </w:p>
    <w:p w14:paraId="03E62A53" w14:textId="77777777" w:rsidR="007D1BF4" w:rsidRPr="00287C9A" w:rsidRDefault="007D1BF4" w:rsidP="00217D43">
      <w:pPr>
        <w:pStyle w:val="05-Textonormal"/>
        <w:rPr>
          <w:rFonts w:cs="Arial"/>
        </w:rPr>
      </w:pPr>
      <w:r w:rsidRPr="00287C9A">
        <w:rPr>
          <w:rFonts w:cs="Arial"/>
        </w:rPr>
        <w:t xml:space="preserve">Avalia-se ainda, anualmente, se há qualquer indicação de que uma perda por redução ao valor recuperável reconhecida em </w:t>
      </w:r>
      <w:r>
        <w:rPr>
          <w:rFonts w:cs="Arial"/>
        </w:rPr>
        <w:t>exercícios</w:t>
      </w:r>
      <w:r w:rsidRPr="00287C9A">
        <w:rPr>
          <w:rFonts w:cs="Arial"/>
        </w:rPr>
        <w:t xml:space="preserve"> anteriores para um ativo, exceto o</w:t>
      </w:r>
      <w:r>
        <w:rPr>
          <w:rFonts w:cs="Arial"/>
        </w:rPr>
        <w:t>s ativos de vida útil indefinida</w:t>
      </w:r>
      <w:r w:rsidRPr="00287C9A">
        <w:rPr>
          <w:rFonts w:cs="Arial"/>
        </w:rPr>
        <w:t xml:space="preserve">, pode não mais existir ou pode ter diminuído. Se houver essa indicação, o valor recuperável desse ativo é estimado. A reversão de uma perda por redução ao valor recuperável de um ativo será reconhecida imediatamente no resultado do </w:t>
      </w:r>
      <w:r>
        <w:rPr>
          <w:rFonts w:cs="Arial"/>
        </w:rPr>
        <w:t>exercício</w:t>
      </w:r>
      <w:r w:rsidRPr="00287C9A">
        <w:rPr>
          <w:rFonts w:cs="Arial"/>
        </w:rPr>
        <w:t>, como retificadora do saldo de outras despesas/receitas operacionais.</w:t>
      </w:r>
    </w:p>
    <w:p w14:paraId="2FF26F12" w14:textId="77777777" w:rsidR="007D1BF4" w:rsidRPr="00A8629A" w:rsidRDefault="007D1BF4" w:rsidP="00A8629A">
      <w:pPr>
        <w:pStyle w:val="05-Textonormal"/>
        <w:rPr>
          <w:rFonts w:cs="Arial"/>
        </w:rPr>
      </w:pPr>
      <w:r w:rsidRPr="008B5272">
        <w:rPr>
          <w:rFonts w:cs="Arial"/>
        </w:rPr>
        <w:t xml:space="preserve">No </w:t>
      </w:r>
      <w:r>
        <w:rPr>
          <w:rFonts w:cs="Arial"/>
        </w:rPr>
        <w:t>exercício</w:t>
      </w:r>
      <w:r w:rsidRPr="008B5272">
        <w:rPr>
          <w:rFonts w:cs="Arial"/>
        </w:rPr>
        <w:t xml:space="preserve"> não houve perdas por desvalorização d</w:t>
      </w:r>
      <w:r>
        <w:rPr>
          <w:rFonts w:cs="Arial"/>
        </w:rPr>
        <w:t>e ativos não financeiros</w:t>
      </w:r>
      <w:r w:rsidRPr="008B5272">
        <w:rPr>
          <w:rFonts w:cs="Arial"/>
        </w:rPr>
        <w:t xml:space="preserve"> da BB Seguridade.</w:t>
      </w:r>
    </w:p>
    <w:p w14:paraId="029BD2DE"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h</w:t>
      </w:r>
      <w:r w:rsidRPr="00AF6165">
        <w:rPr>
          <w:rFonts w:cs="Arial"/>
          <w:color w:val="1F4E79" w:themeColor="accent1" w:themeShade="80"/>
          <w:sz w:val="18"/>
          <w:szCs w:val="18"/>
        </w:rPr>
        <w:t>) Investimentos em Participações Societárias</w:t>
      </w:r>
    </w:p>
    <w:p w14:paraId="2EF55382" w14:textId="77777777" w:rsidR="007D1BF4" w:rsidRPr="00287C9A" w:rsidRDefault="007D1BF4" w:rsidP="00217D43">
      <w:pPr>
        <w:pStyle w:val="05-Textonormal"/>
        <w:rPr>
          <w:rFonts w:cs="Arial"/>
        </w:rPr>
      </w:pPr>
      <w:r w:rsidRPr="00287C9A">
        <w:rPr>
          <w:rFonts w:cs="Arial"/>
        </w:rPr>
        <w:t>De acordo com o método da equivalência patrimonial, o investimento é mensurado inicialmente ao custo e</w:t>
      </w:r>
      <w:r>
        <w:rPr>
          <w:rFonts w:cs="Arial"/>
        </w:rPr>
        <w:t xml:space="preserve">, </w:t>
      </w:r>
      <w:r w:rsidRPr="00287C9A">
        <w:rPr>
          <w:rFonts w:cs="Arial"/>
        </w:rPr>
        <w:t>posteriormente</w:t>
      </w:r>
      <w:r>
        <w:rPr>
          <w:rFonts w:cs="Arial"/>
        </w:rPr>
        <w:t>, ajustado</w:t>
      </w:r>
      <w:r w:rsidRPr="00287C9A">
        <w:rPr>
          <w:rFonts w:cs="Arial"/>
        </w:rPr>
        <w:t xml:space="preserve"> pelo reconhecimento da parte do investidor nas alterações dos ativos líquidos da investida. Além disso, deve constar no resultado do </w:t>
      </w:r>
      <w:r>
        <w:rPr>
          <w:rFonts w:cs="Arial"/>
        </w:rPr>
        <w:t>exercício</w:t>
      </w:r>
      <w:r w:rsidRPr="00287C9A">
        <w:rPr>
          <w:rFonts w:cs="Arial"/>
        </w:rPr>
        <w:t xml:space="preserve"> do investidor a parcela que lhe couber nos resultados gerados pela investida, conforme CPC 18 (R2)</w:t>
      </w:r>
      <w:r>
        <w:rPr>
          <w:rFonts w:cs="Arial"/>
        </w:rPr>
        <w:t xml:space="preserve"> [IAS 28]</w:t>
      </w:r>
      <w:r w:rsidRPr="00287C9A">
        <w:rPr>
          <w:rFonts w:cs="Arial"/>
        </w:rPr>
        <w:t xml:space="preserve"> - Investimento em Coligada, em Controlada e em Empreendimento Controlado em Conjunto.</w:t>
      </w:r>
    </w:p>
    <w:p w14:paraId="1491794C" w14:textId="77777777" w:rsidR="007D1BF4" w:rsidRPr="00287C9A" w:rsidRDefault="007D1BF4" w:rsidP="00217D43">
      <w:pPr>
        <w:pStyle w:val="05-Textonormal"/>
        <w:rPr>
          <w:rFonts w:cs="Arial"/>
        </w:rPr>
      </w:pPr>
      <w:r w:rsidRPr="00287C9A">
        <w:rPr>
          <w:rFonts w:cs="Arial"/>
        </w:rPr>
        <w:t>Nas situações em que as investidas utilizam práticas contábeis diferentes em eventos e transações de mesma natureza em circunstâncias semelhantes, efetua-se os ajustes necessários para adequar as demonstrações contábeis das investidas às práticas contábeis adotadas pela investidora.</w:t>
      </w:r>
    </w:p>
    <w:p w14:paraId="2BE725A3"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i</w:t>
      </w:r>
      <w:r w:rsidRPr="00AF6165">
        <w:rPr>
          <w:rFonts w:cs="Arial"/>
          <w:color w:val="1F4E79" w:themeColor="accent1" w:themeShade="80"/>
          <w:sz w:val="18"/>
          <w:szCs w:val="18"/>
        </w:rPr>
        <w:t>) Provisões, Passivos Contingentes e Obrigações Legais</w:t>
      </w:r>
    </w:p>
    <w:p w14:paraId="5D9BAD90" w14:textId="77777777" w:rsidR="007D1BF4" w:rsidRPr="00287C9A" w:rsidRDefault="007D1BF4" w:rsidP="00217D43">
      <w:pPr>
        <w:pStyle w:val="05-Textonormal"/>
        <w:rPr>
          <w:rFonts w:cs="Arial"/>
        </w:rPr>
      </w:pPr>
      <w:r w:rsidRPr="00287C9A">
        <w:rPr>
          <w:rFonts w:cs="Arial"/>
        </w:rPr>
        <w:t xml:space="preserve">O reconhecimento, a mensuração e a divulgação dos passivos contingentes e obrigações legais são efetuados de acordo com os critérios definidos </w:t>
      </w:r>
      <w:r w:rsidRPr="001A3272">
        <w:rPr>
          <w:rFonts w:cs="Arial"/>
        </w:rPr>
        <w:t>no CPC 25 [IAS 37] – Provisões</w:t>
      </w:r>
      <w:r w:rsidRPr="00287C9A">
        <w:rPr>
          <w:rFonts w:cs="Arial"/>
        </w:rPr>
        <w:t>, Passivos Contingentes e Ativos Contingentes.</w:t>
      </w:r>
    </w:p>
    <w:p w14:paraId="385E54DD" w14:textId="77777777" w:rsidR="007D1BF4" w:rsidRPr="00287C9A" w:rsidRDefault="007D1BF4" w:rsidP="00217D43">
      <w:pPr>
        <w:pStyle w:val="05-Textonormal"/>
        <w:rPr>
          <w:rFonts w:cs="Arial"/>
        </w:rPr>
      </w:pPr>
      <w:r w:rsidRPr="00287C9A">
        <w:rPr>
          <w:rFonts w:cs="Arial"/>
        </w:rPr>
        <w:t xml:space="preserve">As provisões relativas aos processos judiciais e administrativos são reconhecidos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consideradas não usuais ou cujo valor seja considerado relevante sob a análise de assessores jurídicos, considerando o valor indenizatório pretendido. </w:t>
      </w:r>
    </w:p>
    <w:p w14:paraId="15EA7D2D" w14:textId="77777777" w:rsidR="007D1BF4" w:rsidRPr="00287C9A" w:rsidRDefault="007D1BF4" w:rsidP="00217D43">
      <w:pPr>
        <w:pStyle w:val="05-Textonormal"/>
        <w:rPr>
          <w:rFonts w:cs="Arial"/>
        </w:rPr>
      </w:pPr>
      <w:r w:rsidRPr="00287C9A">
        <w:rPr>
          <w:rFonts w:cs="Arial"/>
        </w:rPr>
        <w:t xml:space="preserve">Os passivos contingentes classificados como perdas possíveis não são reconhecidos contabilmente, devendo ser apenas divulgados nas notas explicativas, e os classificados como remotos não requerem provisão e divulgação. </w:t>
      </w:r>
    </w:p>
    <w:p w14:paraId="5FD0E77C" w14:textId="77777777" w:rsidR="007D1BF4" w:rsidRPr="00287C9A" w:rsidRDefault="007D1BF4" w:rsidP="00217D43">
      <w:pPr>
        <w:pStyle w:val="05-Textonormal"/>
        <w:rPr>
          <w:rFonts w:cs="Arial"/>
        </w:rPr>
      </w:pPr>
      <w:r w:rsidRPr="00287C9A">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6C4D6C77" w14:textId="77777777" w:rsidR="007D1BF4" w:rsidRPr="00AF6165" w:rsidRDefault="007D1BF4" w:rsidP="002643E2">
      <w:pPr>
        <w:pStyle w:val="01-TtulodeNota"/>
        <w:keepNext/>
        <w:keepLines/>
        <w:rPr>
          <w:rFonts w:cs="Arial"/>
          <w:color w:val="1F4E79" w:themeColor="accent1" w:themeShade="80"/>
          <w:sz w:val="18"/>
          <w:szCs w:val="18"/>
        </w:rPr>
      </w:pPr>
      <w:r>
        <w:rPr>
          <w:rFonts w:cs="Arial"/>
          <w:color w:val="1F4E79" w:themeColor="accent1" w:themeShade="80"/>
          <w:sz w:val="18"/>
          <w:szCs w:val="18"/>
        </w:rPr>
        <w:t>j</w:t>
      </w:r>
      <w:r w:rsidRPr="00AF6165">
        <w:rPr>
          <w:rFonts w:cs="Arial"/>
          <w:color w:val="1F4E79" w:themeColor="accent1" w:themeShade="80"/>
          <w:sz w:val="18"/>
          <w:szCs w:val="18"/>
        </w:rPr>
        <w:t xml:space="preserve">) </w:t>
      </w:r>
      <w:r>
        <w:rPr>
          <w:rFonts w:cs="Arial"/>
          <w:color w:val="1F4E79" w:themeColor="accent1" w:themeShade="80"/>
          <w:sz w:val="18"/>
          <w:szCs w:val="18"/>
        </w:rPr>
        <w:t>Tributos</w:t>
      </w:r>
    </w:p>
    <w:p w14:paraId="71470B10" w14:textId="77777777" w:rsidR="007D1BF4" w:rsidRPr="00287C9A" w:rsidRDefault="007D1BF4" w:rsidP="00217D43">
      <w:pPr>
        <w:pStyle w:val="05-Textonormal"/>
        <w:rPr>
          <w:rFonts w:cs="Arial"/>
        </w:rPr>
      </w:pPr>
      <w:r w:rsidRPr="00287C9A">
        <w:rPr>
          <w:rFonts w:cs="Arial"/>
        </w:rPr>
        <w:t>Os tributos são apurados com base nas alíquotas demonstradas no quadro a seguir:</w:t>
      </w:r>
    </w:p>
    <w:tbl>
      <w:tblPr>
        <w:tblW w:w="9639"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4395"/>
        <w:gridCol w:w="567"/>
        <w:gridCol w:w="1134"/>
        <w:gridCol w:w="1134"/>
        <w:gridCol w:w="283"/>
        <w:gridCol w:w="1063"/>
        <w:gridCol w:w="1063"/>
      </w:tblGrid>
      <w:tr w:rsidR="007D1BF4" w:rsidRPr="002643E2" w14:paraId="64013556" w14:textId="77777777" w:rsidTr="003B32CA">
        <w:trPr>
          <w:trHeight w:val="238"/>
          <w:jc w:val="center"/>
        </w:trPr>
        <w:tc>
          <w:tcPr>
            <w:tcW w:w="4395" w:type="dxa"/>
            <w:tcBorders>
              <w:top w:val="single" w:sz="2" w:space="0" w:color="1F4E79" w:themeColor="accent1" w:themeShade="80"/>
              <w:bottom w:val="single" w:sz="2" w:space="0" w:color="1F4E79" w:themeColor="accent1" w:themeShade="80"/>
            </w:tcBorders>
            <w:vAlign w:val="center"/>
          </w:tcPr>
          <w:p w14:paraId="4D804C23" w14:textId="77777777" w:rsidR="007D1BF4" w:rsidRPr="002643E2" w:rsidRDefault="007D1BF4" w:rsidP="00ED45FF">
            <w:pPr>
              <w:spacing w:after="0"/>
              <w:rPr>
                <w:rFonts w:cs="Arial"/>
                <w:b/>
                <w:sz w:val="14"/>
                <w:szCs w:val="14"/>
              </w:rPr>
            </w:pPr>
            <w:r w:rsidRPr="002643E2">
              <w:rPr>
                <w:rFonts w:cs="Arial"/>
                <w:b/>
                <w:sz w:val="14"/>
                <w:szCs w:val="14"/>
              </w:rPr>
              <w:t>Tributos</w:t>
            </w:r>
          </w:p>
        </w:tc>
        <w:tc>
          <w:tcPr>
            <w:tcW w:w="567" w:type="dxa"/>
            <w:tcBorders>
              <w:top w:val="single" w:sz="2" w:space="0" w:color="1F4E79" w:themeColor="accent1" w:themeShade="80"/>
              <w:bottom w:val="single" w:sz="2" w:space="0" w:color="1F4E79" w:themeColor="accent1" w:themeShade="80"/>
            </w:tcBorders>
            <w:vAlign w:val="center"/>
          </w:tcPr>
          <w:p w14:paraId="4DF5C723" w14:textId="77777777" w:rsidR="007D1BF4" w:rsidRPr="002643E2" w:rsidRDefault="007D1BF4" w:rsidP="00ED45FF">
            <w:pPr>
              <w:spacing w:after="0"/>
              <w:jc w:val="center"/>
              <w:rPr>
                <w:rFonts w:cs="Arial"/>
                <w:b/>
                <w:sz w:val="14"/>
                <w:szCs w:val="14"/>
              </w:rPr>
            </w:pPr>
          </w:p>
        </w:tc>
        <w:tc>
          <w:tcPr>
            <w:tcW w:w="2268" w:type="dxa"/>
            <w:gridSpan w:val="2"/>
            <w:tcBorders>
              <w:top w:val="single" w:sz="2" w:space="0" w:color="1F4E79" w:themeColor="accent1" w:themeShade="80"/>
              <w:bottom w:val="single" w:sz="2" w:space="0" w:color="1F4E79" w:themeColor="accent1" w:themeShade="80"/>
            </w:tcBorders>
            <w:vAlign w:val="center"/>
          </w:tcPr>
          <w:p w14:paraId="68E55D2F" w14:textId="77777777" w:rsidR="007D1BF4" w:rsidRPr="002643E2" w:rsidRDefault="007D1BF4" w:rsidP="00ED45FF">
            <w:pPr>
              <w:spacing w:after="0"/>
              <w:jc w:val="center"/>
              <w:rPr>
                <w:rFonts w:cs="Arial"/>
                <w:b/>
                <w:sz w:val="14"/>
                <w:szCs w:val="14"/>
              </w:rPr>
            </w:pPr>
          </w:p>
        </w:tc>
        <w:tc>
          <w:tcPr>
            <w:tcW w:w="283" w:type="dxa"/>
            <w:tcBorders>
              <w:top w:val="single" w:sz="2" w:space="0" w:color="1F4E79" w:themeColor="accent1" w:themeShade="80"/>
              <w:bottom w:val="single" w:sz="2" w:space="0" w:color="1F4E79" w:themeColor="accent1" w:themeShade="80"/>
            </w:tcBorders>
            <w:vAlign w:val="center"/>
          </w:tcPr>
          <w:p w14:paraId="4234BB40" w14:textId="77777777" w:rsidR="007D1BF4" w:rsidRPr="002643E2" w:rsidRDefault="007D1BF4" w:rsidP="00ED45FF">
            <w:pPr>
              <w:spacing w:after="0"/>
              <w:jc w:val="center"/>
              <w:rPr>
                <w:rFonts w:cs="Arial"/>
                <w:b/>
                <w:sz w:val="14"/>
                <w:szCs w:val="14"/>
              </w:rPr>
            </w:pPr>
          </w:p>
        </w:tc>
        <w:tc>
          <w:tcPr>
            <w:tcW w:w="1063" w:type="dxa"/>
            <w:tcBorders>
              <w:top w:val="single" w:sz="2" w:space="0" w:color="1F4E79" w:themeColor="accent1" w:themeShade="80"/>
              <w:bottom w:val="single" w:sz="2" w:space="0" w:color="1F4E79" w:themeColor="accent1" w:themeShade="80"/>
            </w:tcBorders>
            <w:vAlign w:val="center"/>
          </w:tcPr>
          <w:p w14:paraId="7C0064A8" w14:textId="77777777" w:rsidR="007D1BF4" w:rsidRPr="002643E2" w:rsidRDefault="007D1BF4" w:rsidP="00ED45FF">
            <w:pPr>
              <w:spacing w:after="0"/>
              <w:jc w:val="right"/>
              <w:rPr>
                <w:rFonts w:cs="Arial"/>
                <w:b/>
                <w:sz w:val="14"/>
                <w:szCs w:val="14"/>
              </w:rPr>
            </w:pPr>
            <w:r>
              <w:rPr>
                <w:rFonts w:cs="Arial"/>
                <w:b/>
                <w:sz w:val="14"/>
                <w:szCs w:val="14"/>
              </w:rPr>
              <w:t>31.12.2021</w:t>
            </w:r>
          </w:p>
        </w:tc>
        <w:tc>
          <w:tcPr>
            <w:tcW w:w="1063" w:type="dxa"/>
            <w:tcBorders>
              <w:top w:val="single" w:sz="2" w:space="0" w:color="1F4E79" w:themeColor="accent1" w:themeShade="80"/>
              <w:bottom w:val="single" w:sz="2" w:space="0" w:color="1F4E79" w:themeColor="accent1" w:themeShade="80"/>
            </w:tcBorders>
            <w:vAlign w:val="center"/>
          </w:tcPr>
          <w:p w14:paraId="36227C24" w14:textId="77777777" w:rsidR="007D1BF4" w:rsidRPr="002643E2" w:rsidRDefault="007D1BF4" w:rsidP="00ED45FF">
            <w:pPr>
              <w:spacing w:after="0"/>
              <w:jc w:val="right"/>
              <w:rPr>
                <w:rFonts w:cs="Arial"/>
                <w:b/>
                <w:sz w:val="14"/>
                <w:szCs w:val="14"/>
              </w:rPr>
            </w:pPr>
            <w:r>
              <w:rPr>
                <w:rFonts w:cs="Arial"/>
                <w:b/>
                <w:sz w:val="14"/>
                <w:szCs w:val="14"/>
              </w:rPr>
              <w:t>31.12.2020</w:t>
            </w:r>
          </w:p>
        </w:tc>
      </w:tr>
      <w:tr w:rsidR="007D1BF4" w:rsidRPr="00287C9A" w14:paraId="0241A472" w14:textId="77777777" w:rsidTr="00DD131D">
        <w:trPr>
          <w:trHeight w:val="238"/>
          <w:jc w:val="center"/>
        </w:trPr>
        <w:tc>
          <w:tcPr>
            <w:tcW w:w="4395" w:type="dxa"/>
            <w:tcBorders>
              <w:top w:val="single" w:sz="2" w:space="0" w:color="1F4E79" w:themeColor="accent1" w:themeShade="80"/>
            </w:tcBorders>
            <w:vAlign w:val="center"/>
          </w:tcPr>
          <w:p w14:paraId="1D68104B" w14:textId="77777777" w:rsidR="007D1BF4" w:rsidRPr="00287C9A" w:rsidRDefault="007D1BF4" w:rsidP="00ED45FF">
            <w:pPr>
              <w:pStyle w:val="08-Tabelageral"/>
              <w:jc w:val="left"/>
              <w:rPr>
                <w:rFonts w:cs="Arial"/>
                <w:b/>
                <w:szCs w:val="14"/>
              </w:rPr>
            </w:pPr>
            <w:r w:rsidRPr="00287C9A">
              <w:rPr>
                <w:rFonts w:cs="Arial"/>
                <w:szCs w:val="14"/>
              </w:rPr>
              <w:t xml:space="preserve">Imposto de Renda Pessoa Jurídica (IRPJ) </w:t>
            </w:r>
            <w:r w:rsidRPr="00287C9A">
              <w:rPr>
                <w:rFonts w:cs="Arial"/>
                <w:szCs w:val="14"/>
                <w:vertAlign w:val="superscript"/>
              </w:rPr>
              <w:t>(1)</w:t>
            </w:r>
          </w:p>
        </w:tc>
        <w:tc>
          <w:tcPr>
            <w:tcW w:w="567" w:type="dxa"/>
            <w:tcBorders>
              <w:top w:val="single" w:sz="2" w:space="0" w:color="1F4E79" w:themeColor="accent1" w:themeShade="80"/>
            </w:tcBorders>
            <w:vAlign w:val="center"/>
          </w:tcPr>
          <w:p w14:paraId="3C45BDE0" w14:textId="77777777" w:rsidR="007D1BF4" w:rsidRPr="00287C9A" w:rsidRDefault="007D1BF4" w:rsidP="00ED45FF">
            <w:pPr>
              <w:pStyle w:val="08-Tabelageral"/>
              <w:jc w:val="center"/>
              <w:rPr>
                <w:rFonts w:cs="Arial"/>
                <w:b/>
                <w:szCs w:val="14"/>
              </w:rPr>
            </w:pPr>
          </w:p>
        </w:tc>
        <w:tc>
          <w:tcPr>
            <w:tcW w:w="1134" w:type="dxa"/>
            <w:tcBorders>
              <w:top w:val="single" w:sz="2" w:space="0" w:color="1F4E79" w:themeColor="accent1" w:themeShade="80"/>
            </w:tcBorders>
            <w:vAlign w:val="center"/>
          </w:tcPr>
          <w:p w14:paraId="5A920FCB" w14:textId="77777777" w:rsidR="007D1BF4" w:rsidRPr="00287C9A" w:rsidRDefault="007D1BF4" w:rsidP="00ED45FF">
            <w:pPr>
              <w:pStyle w:val="08-Tabelageral"/>
              <w:jc w:val="center"/>
              <w:rPr>
                <w:rFonts w:cs="Arial"/>
                <w:b/>
                <w:szCs w:val="14"/>
              </w:rPr>
            </w:pPr>
          </w:p>
        </w:tc>
        <w:tc>
          <w:tcPr>
            <w:tcW w:w="1134" w:type="dxa"/>
            <w:tcBorders>
              <w:top w:val="single" w:sz="2" w:space="0" w:color="1F4E79" w:themeColor="accent1" w:themeShade="80"/>
            </w:tcBorders>
            <w:vAlign w:val="center"/>
          </w:tcPr>
          <w:p w14:paraId="3074BB49" w14:textId="77777777" w:rsidR="007D1BF4" w:rsidRPr="00287C9A" w:rsidRDefault="007D1BF4" w:rsidP="00ED45FF">
            <w:pPr>
              <w:pStyle w:val="08-Tabelageral"/>
              <w:jc w:val="center"/>
              <w:rPr>
                <w:rFonts w:cs="Arial"/>
                <w:b/>
                <w:szCs w:val="14"/>
              </w:rPr>
            </w:pPr>
          </w:p>
        </w:tc>
        <w:tc>
          <w:tcPr>
            <w:tcW w:w="283" w:type="dxa"/>
            <w:tcBorders>
              <w:top w:val="single" w:sz="2" w:space="0" w:color="1F4E79" w:themeColor="accent1" w:themeShade="80"/>
            </w:tcBorders>
            <w:vAlign w:val="center"/>
          </w:tcPr>
          <w:p w14:paraId="09419F83" w14:textId="77777777" w:rsidR="007D1BF4" w:rsidRPr="00287C9A" w:rsidRDefault="007D1BF4" w:rsidP="00ED45FF">
            <w:pPr>
              <w:pStyle w:val="08-Tabelageral"/>
              <w:jc w:val="center"/>
              <w:rPr>
                <w:rFonts w:cs="Arial"/>
                <w:b/>
                <w:szCs w:val="14"/>
              </w:rPr>
            </w:pPr>
          </w:p>
        </w:tc>
        <w:tc>
          <w:tcPr>
            <w:tcW w:w="1063" w:type="dxa"/>
            <w:tcBorders>
              <w:top w:val="single" w:sz="2" w:space="0" w:color="1F4E79" w:themeColor="accent1" w:themeShade="80"/>
            </w:tcBorders>
            <w:vAlign w:val="center"/>
          </w:tcPr>
          <w:p w14:paraId="35911CB6" w14:textId="77777777" w:rsidR="007D1BF4" w:rsidRPr="00287C9A" w:rsidRDefault="007D1BF4" w:rsidP="00ED45FF">
            <w:pPr>
              <w:pStyle w:val="08-Tabelageral"/>
              <w:rPr>
                <w:rFonts w:cs="Arial"/>
                <w:b/>
                <w:szCs w:val="14"/>
              </w:rPr>
            </w:pPr>
            <w:r w:rsidRPr="00287C9A">
              <w:rPr>
                <w:rFonts w:cs="Arial"/>
                <w:szCs w:val="14"/>
              </w:rPr>
              <w:t>25%</w:t>
            </w:r>
          </w:p>
        </w:tc>
        <w:tc>
          <w:tcPr>
            <w:tcW w:w="1063" w:type="dxa"/>
            <w:tcBorders>
              <w:top w:val="single" w:sz="2" w:space="0" w:color="1F4E79" w:themeColor="accent1" w:themeShade="80"/>
            </w:tcBorders>
            <w:vAlign w:val="center"/>
          </w:tcPr>
          <w:p w14:paraId="1B074DD5" w14:textId="77777777" w:rsidR="007D1BF4" w:rsidRPr="00287C9A" w:rsidRDefault="007D1BF4" w:rsidP="00ED45FF">
            <w:pPr>
              <w:pStyle w:val="08-Tabelageral"/>
              <w:rPr>
                <w:rFonts w:cs="Arial"/>
                <w:b/>
                <w:szCs w:val="14"/>
              </w:rPr>
            </w:pPr>
            <w:r w:rsidRPr="00287C9A">
              <w:rPr>
                <w:rFonts w:cs="Arial"/>
                <w:szCs w:val="14"/>
              </w:rPr>
              <w:t>25%</w:t>
            </w:r>
          </w:p>
        </w:tc>
      </w:tr>
      <w:tr w:rsidR="007D1BF4" w:rsidRPr="00287C9A" w14:paraId="57C8EED6" w14:textId="77777777" w:rsidTr="00DD131D">
        <w:trPr>
          <w:trHeight w:val="238"/>
          <w:jc w:val="center"/>
        </w:trPr>
        <w:tc>
          <w:tcPr>
            <w:tcW w:w="4395" w:type="dxa"/>
            <w:vAlign w:val="center"/>
          </w:tcPr>
          <w:p w14:paraId="2B4E6881" w14:textId="77777777" w:rsidR="007D1BF4" w:rsidRPr="00287C9A" w:rsidRDefault="007D1BF4" w:rsidP="00ED45FF">
            <w:pPr>
              <w:pStyle w:val="08-Tabelageral"/>
              <w:jc w:val="left"/>
              <w:rPr>
                <w:rFonts w:cs="Arial"/>
                <w:b/>
                <w:szCs w:val="14"/>
              </w:rPr>
            </w:pPr>
            <w:r w:rsidRPr="00287C9A">
              <w:rPr>
                <w:rFonts w:cs="Arial"/>
                <w:szCs w:val="14"/>
              </w:rPr>
              <w:t>Contribuição Social sobre o Lucro Líquido (CSLL)</w:t>
            </w:r>
          </w:p>
        </w:tc>
        <w:tc>
          <w:tcPr>
            <w:tcW w:w="567" w:type="dxa"/>
            <w:vAlign w:val="center"/>
          </w:tcPr>
          <w:p w14:paraId="7A0BF474" w14:textId="77777777" w:rsidR="007D1BF4" w:rsidRPr="00287C9A" w:rsidRDefault="007D1BF4" w:rsidP="00ED45FF">
            <w:pPr>
              <w:pStyle w:val="08-Tabelageral"/>
              <w:jc w:val="center"/>
              <w:rPr>
                <w:rFonts w:cs="Arial"/>
                <w:szCs w:val="14"/>
              </w:rPr>
            </w:pPr>
          </w:p>
        </w:tc>
        <w:tc>
          <w:tcPr>
            <w:tcW w:w="1134" w:type="dxa"/>
            <w:vAlign w:val="center"/>
          </w:tcPr>
          <w:p w14:paraId="37AE03F2" w14:textId="77777777" w:rsidR="007D1BF4" w:rsidRPr="00287C9A" w:rsidRDefault="007D1BF4" w:rsidP="00ED45FF">
            <w:pPr>
              <w:pStyle w:val="08-Tabelageral"/>
              <w:ind w:left="113"/>
              <w:jc w:val="center"/>
              <w:rPr>
                <w:rFonts w:cs="Arial"/>
                <w:szCs w:val="14"/>
              </w:rPr>
            </w:pPr>
          </w:p>
        </w:tc>
        <w:tc>
          <w:tcPr>
            <w:tcW w:w="1134" w:type="dxa"/>
            <w:vAlign w:val="center"/>
          </w:tcPr>
          <w:p w14:paraId="29DA33DB" w14:textId="77777777" w:rsidR="007D1BF4" w:rsidRPr="00287C9A" w:rsidRDefault="007D1BF4" w:rsidP="00ED45FF">
            <w:pPr>
              <w:pStyle w:val="08-Tabelageral"/>
              <w:jc w:val="center"/>
              <w:rPr>
                <w:rFonts w:cs="Arial"/>
                <w:szCs w:val="14"/>
              </w:rPr>
            </w:pPr>
          </w:p>
        </w:tc>
        <w:tc>
          <w:tcPr>
            <w:tcW w:w="283" w:type="dxa"/>
            <w:vAlign w:val="center"/>
          </w:tcPr>
          <w:p w14:paraId="33042357" w14:textId="77777777" w:rsidR="007D1BF4" w:rsidRPr="00287C9A" w:rsidRDefault="007D1BF4" w:rsidP="00ED45FF">
            <w:pPr>
              <w:pStyle w:val="08-Tabelageral"/>
              <w:ind w:left="113"/>
              <w:jc w:val="center"/>
              <w:rPr>
                <w:rFonts w:cs="Arial"/>
                <w:szCs w:val="14"/>
              </w:rPr>
            </w:pPr>
          </w:p>
        </w:tc>
        <w:tc>
          <w:tcPr>
            <w:tcW w:w="1063" w:type="dxa"/>
            <w:vAlign w:val="center"/>
          </w:tcPr>
          <w:p w14:paraId="40CC7EB9" w14:textId="77777777" w:rsidR="007D1BF4" w:rsidRPr="00287C9A" w:rsidRDefault="007D1BF4" w:rsidP="00ED45FF">
            <w:pPr>
              <w:pStyle w:val="08-Tabelageral"/>
              <w:ind w:left="113"/>
              <w:rPr>
                <w:rFonts w:cs="Arial"/>
                <w:szCs w:val="14"/>
              </w:rPr>
            </w:pPr>
            <w:r w:rsidRPr="00287C9A">
              <w:rPr>
                <w:rFonts w:cs="Arial"/>
                <w:szCs w:val="14"/>
              </w:rPr>
              <w:t>9%</w:t>
            </w:r>
          </w:p>
        </w:tc>
        <w:tc>
          <w:tcPr>
            <w:tcW w:w="1063" w:type="dxa"/>
            <w:vAlign w:val="center"/>
          </w:tcPr>
          <w:p w14:paraId="002648F1" w14:textId="77777777" w:rsidR="007D1BF4" w:rsidRPr="00287C9A" w:rsidRDefault="007D1BF4" w:rsidP="00ED45FF">
            <w:pPr>
              <w:pStyle w:val="08-Tabelageral"/>
              <w:rPr>
                <w:rFonts w:cs="Arial"/>
                <w:szCs w:val="14"/>
              </w:rPr>
            </w:pPr>
            <w:r w:rsidRPr="00287C9A">
              <w:rPr>
                <w:rFonts w:cs="Arial"/>
                <w:szCs w:val="14"/>
              </w:rPr>
              <w:t>9%</w:t>
            </w:r>
          </w:p>
        </w:tc>
      </w:tr>
      <w:tr w:rsidR="007D1BF4" w:rsidRPr="00287C9A" w14:paraId="003252FB" w14:textId="77777777" w:rsidTr="00DD131D">
        <w:trPr>
          <w:trHeight w:val="238"/>
          <w:jc w:val="center"/>
        </w:trPr>
        <w:tc>
          <w:tcPr>
            <w:tcW w:w="4395" w:type="dxa"/>
            <w:vAlign w:val="center"/>
          </w:tcPr>
          <w:p w14:paraId="527F64CE" w14:textId="77777777" w:rsidR="007D1BF4" w:rsidRPr="00287C9A" w:rsidRDefault="007D1BF4" w:rsidP="00ED45FF">
            <w:pPr>
              <w:pStyle w:val="08-Tabelageral"/>
              <w:jc w:val="left"/>
              <w:rPr>
                <w:rFonts w:cs="Arial"/>
                <w:b/>
                <w:szCs w:val="14"/>
              </w:rPr>
            </w:pPr>
            <w:r w:rsidRPr="00287C9A">
              <w:rPr>
                <w:rFonts w:cs="Arial"/>
                <w:szCs w:val="14"/>
              </w:rPr>
              <w:t>Contribuição ao PIS/Pasep</w:t>
            </w:r>
          </w:p>
        </w:tc>
        <w:tc>
          <w:tcPr>
            <w:tcW w:w="567" w:type="dxa"/>
            <w:vAlign w:val="center"/>
          </w:tcPr>
          <w:p w14:paraId="7C4B0B9F" w14:textId="77777777" w:rsidR="007D1BF4" w:rsidRPr="00287C9A" w:rsidRDefault="007D1BF4" w:rsidP="00ED45FF">
            <w:pPr>
              <w:pStyle w:val="08-Tabelageral"/>
              <w:jc w:val="center"/>
              <w:rPr>
                <w:rFonts w:cs="Arial"/>
                <w:szCs w:val="14"/>
              </w:rPr>
            </w:pPr>
          </w:p>
        </w:tc>
        <w:tc>
          <w:tcPr>
            <w:tcW w:w="1134" w:type="dxa"/>
            <w:vAlign w:val="center"/>
          </w:tcPr>
          <w:p w14:paraId="6609DC54" w14:textId="77777777" w:rsidR="007D1BF4" w:rsidRPr="00287C9A" w:rsidRDefault="007D1BF4" w:rsidP="00ED45FF">
            <w:pPr>
              <w:pStyle w:val="08-Tabelageral"/>
              <w:ind w:left="113"/>
              <w:jc w:val="center"/>
              <w:rPr>
                <w:rFonts w:cs="Arial"/>
                <w:szCs w:val="14"/>
              </w:rPr>
            </w:pPr>
          </w:p>
        </w:tc>
        <w:tc>
          <w:tcPr>
            <w:tcW w:w="1134" w:type="dxa"/>
            <w:vAlign w:val="center"/>
          </w:tcPr>
          <w:p w14:paraId="23566F3D" w14:textId="77777777" w:rsidR="007D1BF4" w:rsidRPr="00287C9A" w:rsidRDefault="007D1BF4" w:rsidP="00ED45FF">
            <w:pPr>
              <w:pStyle w:val="08-Tabelageral"/>
              <w:jc w:val="center"/>
              <w:rPr>
                <w:rFonts w:cs="Arial"/>
                <w:szCs w:val="14"/>
              </w:rPr>
            </w:pPr>
          </w:p>
        </w:tc>
        <w:tc>
          <w:tcPr>
            <w:tcW w:w="283" w:type="dxa"/>
            <w:vAlign w:val="center"/>
          </w:tcPr>
          <w:p w14:paraId="45F64024" w14:textId="77777777" w:rsidR="007D1BF4" w:rsidRPr="00287C9A" w:rsidRDefault="007D1BF4" w:rsidP="00ED45FF">
            <w:pPr>
              <w:pStyle w:val="08-Tabelageral"/>
              <w:ind w:left="113"/>
              <w:jc w:val="center"/>
              <w:rPr>
                <w:rFonts w:cs="Arial"/>
                <w:szCs w:val="14"/>
              </w:rPr>
            </w:pPr>
          </w:p>
        </w:tc>
        <w:tc>
          <w:tcPr>
            <w:tcW w:w="1063" w:type="dxa"/>
            <w:vAlign w:val="center"/>
          </w:tcPr>
          <w:p w14:paraId="13077BC6" w14:textId="77777777" w:rsidR="007D1BF4" w:rsidRPr="00287C9A" w:rsidRDefault="007D1BF4" w:rsidP="00ED45FF">
            <w:pPr>
              <w:pStyle w:val="08-Tabelageral"/>
              <w:ind w:left="113"/>
              <w:rPr>
                <w:rFonts w:cs="Arial"/>
                <w:szCs w:val="14"/>
              </w:rPr>
            </w:pPr>
            <w:r w:rsidRPr="00287C9A">
              <w:rPr>
                <w:rFonts w:cs="Arial"/>
                <w:szCs w:val="14"/>
              </w:rPr>
              <w:t>1,65%</w:t>
            </w:r>
          </w:p>
        </w:tc>
        <w:tc>
          <w:tcPr>
            <w:tcW w:w="1063" w:type="dxa"/>
            <w:vAlign w:val="center"/>
          </w:tcPr>
          <w:p w14:paraId="2124147A" w14:textId="77777777" w:rsidR="007D1BF4" w:rsidRPr="00287C9A" w:rsidRDefault="007D1BF4" w:rsidP="00ED45FF">
            <w:pPr>
              <w:pStyle w:val="08-Tabelageral"/>
              <w:rPr>
                <w:rFonts w:cs="Arial"/>
                <w:szCs w:val="14"/>
              </w:rPr>
            </w:pPr>
            <w:r w:rsidRPr="00287C9A">
              <w:rPr>
                <w:rFonts w:cs="Arial"/>
                <w:szCs w:val="14"/>
              </w:rPr>
              <w:t>1,65%</w:t>
            </w:r>
          </w:p>
        </w:tc>
      </w:tr>
      <w:tr w:rsidR="007D1BF4" w:rsidRPr="00287C9A" w14:paraId="7EFCFE00" w14:textId="77777777" w:rsidTr="00DD131D">
        <w:trPr>
          <w:trHeight w:val="238"/>
          <w:jc w:val="center"/>
        </w:trPr>
        <w:tc>
          <w:tcPr>
            <w:tcW w:w="4395" w:type="dxa"/>
            <w:vAlign w:val="center"/>
          </w:tcPr>
          <w:p w14:paraId="25A625AD" w14:textId="77777777" w:rsidR="007D1BF4" w:rsidRPr="00287C9A" w:rsidRDefault="007D1BF4" w:rsidP="00ED45FF">
            <w:pPr>
              <w:pStyle w:val="08-Tabelageral"/>
              <w:jc w:val="left"/>
              <w:rPr>
                <w:rFonts w:cs="Arial"/>
                <w:b/>
                <w:szCs w:val="14"/>
              </w:rPr>
            </w:pPr>
            <w:r w:rsidRPr="00287C9A">
              <w:rPr>
                <w:rFonts w:cs="Arial"/>
                <w:szCs w:val="14"/>
              </w:rPr>
              <w:t>Contribuição para o Financiamento da Seguridade Social (Cofins)</w:t>
            </w:r>
          </w:p>
        </w:tc>
        <w:tc>
          <w:tcPr>
            <w:tcW w:w="567" w:type="dxa"/>
            <w:vAlign w:val="center"/>
          </w:tcPr>
          <w:p w14:paraId="7200240E" w14:textId="77777777" w:rsidR="007D1BF4" w:rsidRPr="00287C9A" w:rsidRDefault="007D1BF4" w:rsidP="00ED45FF">
            <w:pPr>
              <w:pStyle w:val="08-Tabelageral"/>
              <w:jc w:val="center"/>
              <w:rPr>
                <w:rFonts w:cs="Arial"/>
                <w:szCs w:val="14"/>
              </w:rPr>
            </w:pPr>
          </w:p>
        </w:tc>
        <w:tc>
          <w:tcPr>
            <w:tcW w:w="1134" w:type="dxa"/>
            <w:vAlign w:val="center"/>
          </w:tcPr>
          <w:p w14:paraId="0A741CE2" w14:textId="77777777" w:rsidR="007D1BF4" w:rsidRPr="00287C9A" w:rsidRDefault="007D1BF4" w:rsidP="00ED45FF">
            <w:pPr>
              <w:pStyle w:val="08-Tabelageral"/>
              <w:ind w:left="113"/>
              <w:jc w:val="center"/>
              <w:rPr>
                <w:rFonts w:cs="Arial"/>
                <w:szCs w:val="14"/>
              </w:rPr>
            </w:pPr>
          </w:p>
        </w:tc>
        <w:tc>
          <w:tcPr>
            <w:tcW w:w="1134" w:type="dxa"/>
            <w:vAlign w:val="center"/>
          </w:tcPr>
          <w:p w14:paraId="2384BDE1" w14:textId="77777777" w:rsidR="007D1BF4" w:rsidRPr="00287C9A" w:rsidRDefault="007D1BF4" w:rsidP="00ED45FF">
            <w:pPr>
              <w:pStyle w:val="08-Tabelageral"/>
              <w:jc w:val="center"/>
              <w:rPr>
                <w:rFonts w:cs="Arial"/>
                <w:szCs w:val="14"/>
              </w:rPr>
            </w:pPr>
          </w:p>
        </w:tc>
        <w:tc>
          <w:tcPr>
            <w:tcW w:w="283" w:type="dxa"/>
            <w:vAlign w:val="center"/>
          </w:tcPr>
          <w:p w14:paraId="367527EC" w14:textId="77777777" w:rsidR="007D1BF4" w:rsidRPr="00287C9A" w:rsidRDefault="007D1BF4" w:rsidP="00ED45FF">
            <w:pPr>
              <w:pStyle w:val="08-Tabelageral"/>
              <w:ind w:left="113"/>
              <w:jc w:val="center"/>
              <w:rPr>
                <w:rFonts w:cs="Arial"/>
                <w:szCs w:val="14"/>
              </w:rPr>
            </w:pPr>
          </w:p>
        </w:tc>
        <w:tc>
          <w:tcPr>
            <w:tcW w:w="1063" w:type="dxa"/>
            <w:vAlign w:val="center"/>
          </w:tcPr>
          <w:p w14:paraId="478951A4" w14:textId="77777777" w:rsidR="007D1BF4" w:rsidRPr="00287C9A" w:rsidRDefault="007D1BF4" w:rsidP="00ED45FF">
            <w:pPr>
              <w:pStyle w:val="08-Tabelageral"/>
              <w:ind w:left="113"/>
              <w:rPr>
                <w:rFonts w:cs="Arial"/>
                <w:szCs w:val="14"/>
              </w:rPr>
            </w:pPr>
            <w:r w:rsidRPr="00287C9A">
              <w:rPr>
                <w:rFonts w:cs="Arial"/>
                <w:szCs w:val="14"/>
              </w:rPr>
              <w:t>7,60%</w:t>
            </w:r>
          </w:p>
        </w:tc>
        <w:tc>
          <w:tcPr>
            <w:tcW w:w="1063" w:type="dxa"/>
            <w:vAlign w:val="center"/>
          </w:tcPr>
          <w:p w14:paraId="7A0DD04C" w14:textId="77777777" w:rsidR="007D1BF4" w:rsidRPr="00287C9A" w:rsidRDefault="007D1BF4" w:rsidP="00ED45FF">
            <w:pPr>
              <w:pStyle w:val="08-Tabelageral"/>
              <w:rPr>
                <w:rFonts w:cs="Arial"/>
                <w:szCs w:val="14"/>
              </w:rPr>
            </w:pPr>
            <w:r w:rsidRPr="00287C9A">
              <w:rPr>
                <w:rFonts w:cs="Arial"/>
                <w:szCs w:val="14"/>
              </w:rPr>
              <w:t>7,60%</w:t>
            </w:r>
          </w:p>
        </w:tc>
      </w:tr>
      <w:tr w:rsidR="007D1BF4" w:rsidRPr="00287C9A" w14:paraId="63A61BD1" w14:textId="77777777" w:rsidTr="00DD131D">
        <w:trPr>
          <w:trHeight w:val="238"/>
          <w:jc w:val="center"/>
        </w:trPr>
        <w:tc>
          <w:tcPr>
            <w:tcW w:w="4395" w:type="dxa"/>
            <w:vAlign w:val="center"/>
          </w:tcPr>
          <w:p w14:paraId="4AA932B8" w14:textId="77777777" w:rsidR="007D1BF4" w:rsidRPr="00287C9A" w:rsidRDefault="007D1BF4" w:rsidP="00ED45FF">
            <w:pPr>
              <w:pStyle w:val="08-Tabelageral"/>
              <w:jc w:val="left"/>
              <w:rPr>
                <w:rFonts w:cs="Arial"/>
                <w:b/>
                <w:szCs w:val="14"/>
              </w:rPr>
            </w:pPr>
            <w:r w:rsidRPr="00287C9A">
              <w:rPr>
                <w:rFonts w:cs="Arial"/>
                <w:szCs w:val="14"/>
              </w:rPr>
              <w:t xml:space="preserve">Contribuição ao PIS/Pasep </w:t>
            </w:r>
            <w:r w:rsidRPr="00287C9A">
              <w:rPr>
                <w:rFonts w:cs="Arial"/>
                <w:szCs w:val="14"/>
                <w:vertAlign w:val="superscript"/>
              </w:rPr>
              <w:t>(2)</w:t>
            </w:r>
          </w:p>
        </w:tc>
        <w:tc>
          <w:tcPr>
            <w:tcW w:w="567" w:type="dxa"/>
            <w:vAlign w:val="center"/>
          </w:tcPr>
          <w:p w14:paraId="580BAC43" w14:textId="77777777" w:rsidR="007D1BF4" w:rsidRPr="00287C9A" w:rsidRDefault="007D1BF4" w:rsidP="00ED45FF">
            <w:pPr>
              <w:pStyle w:val="08-Tabelageral"/>
              <w:jc w:val="center"/>
              <w:rPr>
                <w:rFonts w:cs="Arial"/>
                <w:szCs w:val="14"/>
              </w:rPr>
            </w:pPr>
          </w:p>
        </w:tc>
        <w:tc>
          <w:tcPr>
            <w:tcW w:w="1134" w:type="dxa"/>
            <w:vAlign w:val="center"/>
          </w:tcPr>
          <w:p w14:paraId="52DC6400" w14:textId="77777777" w:rsidR="007D1BF4" w:rsidRPr="00287C9A" w:rsidRDefault="007D1BF4" w:rsidP="00ED45FF">
            <w:pPr>
              <w:pStyle w:val="08-Tabelageral"/>
              <w:ind w:left="113"/>
              <w:jc w:val="center"/>
              <w:rPr>
                <w:rFonts w:cs="Arial"/>
                <w:szCs w:val="14"/>
              </w:rPr>
            </w:pPr>
          </w:p>
        </w:tc>
        <w:tc>
          <w:tcPr>
            <w:tcW w:w="1134" w:type="dxa"/>
            <w:vAlign w:val="center"/>
          </w:tcPr>
          <w:p w14:paraId="6BF52FC9" w14:textId="77777777" w:rsidR="007D1BF4" w:rsidRPr="00287C9A" w:rsidRDefault="007D1BF4" w:rsidP="00ED45FF">
            <w:pPr>
              <w:pStyle w:val="08-Tabelageral"/>
              <w:jc w:val="center"/>
              <w:rPr>
                <w:rFonts w:cs="Arial"/>
                <w:szCs w:val="14"/>
              </w:rPr>
            </w:pPr>
          </w:p>
        </w:tc>
        <w:tc>
          <w:tcPr>
            <w:tcW w:w="283" w:type="dxa"/>
            <w:vAlign w:val="center"/>
          </w:tcPr>
          <w:p w14:paraId="38371F6A" w14:textId="77777777" w:rsidR="007D1BF4" w:rsidRPr="00287C9A" w:rsidRDefault="007D1BF4" w:rsidP="00ED45FF">
            <w:pPr>
              <w:pStyle w:val="08-Tabelageral"/>
              <w:ind w:left="113"/>
              <w:jc w:val="center"/>
              <w:rPr>
                <w:rFonts w:cs="Arial"/>
                <w:szCs w:val="14"/>
              </w:rPr>
            </w:pPr>
          </w:p>
        </w:tc>
        <w:tc>
          <w:tcPr>
            <w:tcW w:w="1063" w:type="dxa"/>
            <w:vAlign w:val="center"/>
          </w:tcPr>
          <w:p w14:paraId="35BD06D7" w14:textId="77777777" w:rsidR="007D1BF4" w:rsidRPr="00287C9A" w:rsidRDefault="007D1BF4" w:rsidP="00ED45FF">
            <w:pPr>
              <w:pStyle w:val="08-Tabelageral"/>
              <w:ind w:left="113"/>
              <w:rPr>
                <w:rFonts w:cs="Arial"/>
                <w:szCs w:val="14"/>
              </w:rPr>
            </w:pPr>
            <w:r w:rsidRPr="00287C9A">
              <w:rPr>
                <w:rFonts w:cs="Arial"/>
                <w:szCs w:val="14"/>
              </w:rPr>
              <w:t>0,65%</w:t>
            </w:r>
          </w:p>
        </w:tc>
        <w:tc>
          <w:tcPr>
            <w:tcW w:w="1063" w:type="dxa"/>
            <w:vAlign w:val="center"/>
          </w:tcPr>
          <w:p w14:paraId="2FBC3E13" w14:textId="77777777" w:rsidR="007D1BF4" w:rsidRPr="00287C9A" w:rsidRDefault="007D1BF4" w:rsidP="00ED45FF">
            <w:pPr>
              <w:pStyle w:val="08-Tabelageral"/>
              <w:rPr>
                <w:rFonts w:cs="Arial"/>
                <w:szCs w:val="14"/>
              </w:rPr>
            </w:pPr>
            <w:r w:rsidRPr="00287C9A">
              <w:rPr>
                <w:rFonts w:cs="Arial"/>
                <w:szCs w:val="14"/>
              </w:rPr>
              <w:t>0,65%</w:t>
            </w:r>
          </w:p>
        </w:tc>
      </w:tr>
      <w:tr w:rsidR="007D1BF4" w:rsidRPr="00287C9A" w14:paraId="21D688DD" w14:textId="77777777" w:rsidTr="00DD131D">
        <w:trPr>
          <w:trHeight w:val="238"/>
          <w:jc w:val="center"/>
        </w:trPr>
        <w:tc>
          <w:tcPr>
            <w:tcW w:w="4395" w:type="dxa"/>
            <w:vAlign w:val="center"/>
          </w:tcPr>
          <w:p w14:paraId="7686149D" w14:textId="77777777" w:rsidR="007D1BF4" w:rsidRPr="00287C9A" w:rsidRDefault="007D1BF4" w:rsidP="00ED45FF">
            <w:pPr>
              <w:pStyle w:val="08-Tabelageral"/>
              <w:jc w:val="left"/>
              <w:rPr>
                <w:rFonts w:cs="Arial"/>
                <w:b/>
                <w:szCs w:val="14"/>
              </w:rPr>
            </w:pPr>
            <w:r w:rsidRPr="00287C9A">
              <w:rPr>
                <w:rFonts w:cs="Arial"/>
                <w:szCs w:val="14"/>
              </w:rPr>
              <w:t xml:space="preserve">Contribuição para o Financiamento da Seguridade Social (Cofins) </w:t>
            </w:r>
            <w:r w:rsidRPr="00287C9A">
              <w:rPr>
                <w:rFonts w:cs="Arial"/>
                <w:szCs w:val="14"/>
                <w:vertAlign w:val="superscript"/>
              </w:rPr>
              <w:t>(2)</w:t>
            </w:r>
          </w:p>
        </w:tc>
        <w:tc>
          <w:tcPr>
            <w:tcW w:w="567" w:type="dxa"/>
            <w:vAlign w:val="center"/>
          </w:tcPr>
          <w:p w14:paraId="10D1B643" w14:textId="77777777" w:rsidR="007D1BF4" w:rsidRPr="00287C9A" w:rsidRDefault="007D1BF4" w:rsidP="00ED45FF">
            <w:pPr>
              <w:pStyle w:val="08-Tabelageral"/>
              <w:jc w:val="center"/>
              <w:rPr>
                <w:rFonts w:cs="Arial"/>
                <w:szCs w:val="14"/>
              </w:rPr>
            </w:pPr>
          </w:p>
        </w:tc>
        <w:tc>
          <w:tcPr>
            <w:tcW w:w="1134" w:type="dxa"/>
            <w:vAlign w:val="center"/>
          </w:tcPr>
          <w:p w14:paraId="5849D91E" w14:textId="77777777" w:rsidR="007D1BF4" w:rsidRPr="00287C9A" w:rsidRDefault="007D1BF4" w:rsidP="00ED45FF">
            <w:pPr>
              <w:pStyle w:val="08-Tabelageral"/>
              <w:ind w:left="113"/>
              <w:jc w:val="center"/>
              <w:rPr>
                <w:rFonts w:cs="Arial"/>
                <w:szCs w:val="14"/>
              </w:rPr>
            </w:pPr>
          </w:p>
        </w:tc>
        <w:tc>
          <w:tcPr>
            <w:tcW w:w="1134" w:type="dxa"/>
            <w:vAlign w:val="center"/>
          </w:tcPr>
          <w:p w14:paraId="241B3741" w14:textId="77777777" w:rsidR="007D1BF4" w:rsidRPr="00287C9A" w:rsidRDefault="007D1BF4" w:rsidP="00ED45FF">
            <w:pPr>
              <w:pStyle w:val="08-Tabelageral"/>
              <w:jc w:val="center"/>
              <w:rPr>
                <w:rFonts w:cs="Arial"/>
                <w:szCs w:val="14"/>
              </w:rPr>
            </w:pPr>
          </w:p>
        </w:tc>
        <w:tc>
          <w:tcPr>
            <w:tcW w:w="283" w:type="dxa"/>
            <w:vAlign w:val="center"/>
          </w:tcPr>
          <w:p w14:paraId="43238CE8" w14:textId="77777777" w:rsidR="007D1BF4" w:rsidRPr="00287C9A" w:rsidRDefault="007D1BF4" w:rsidP="00ED45FF">
            <w:pPr>
              <w:pStyle w:val="08-Tabelageral"/>
              <w:ind w:left="113"/>
              <w:jc w:val="center"/>
              <w:rPr>
                <w:rFonts w:cs="Arial"/>
                <w:szCs w:val="14"/>
              </w:rPr>
            </w:pPr>
          </w:p>
        </w:tc>
        <w:tc>
          <w:tcPr>
            <w:tcW w:w="1063" w:type="dxa"/>
            <w:vAlign w:val="center"/>
          </w:tcPr>
          <w:p w14:paraId="45E18762" w14:textId="77777777" w:rsidR="007D1BF4" w:rsidRPr="00287C9A" w:rsidRDefault="007D1BF4" w:rsidP="00ED45FF">
            <w:pPr>
              <w:pStyle w:val="08-Tabelageral"/>
              <w:ind w:left="113"/>
              <w:rPr>
                <w:rFonts w:cs="Arial"/>
                <w:szCs w:val="14"/>
              </w:rPr>
            </w:pPr>
            <w:r w:rsidRPr="00287C9A">
              <w:rPr>
                <w:rFonts w:cs="Arial"/>
                <w:szCs w:val="14"/>
              </w:rPr>
              <w:t>4%</w:t>
            </w:r>
          </w:p>
        </w:tc>
        <w:tc>
          <w:tcPr>
            <w:tcW w:w="1063" w:type="dxa"/>
            <w:vAlign w:val="center"/>
          </w:tcPr>
          <w:p w14:paraId="7813920A" w14:textId="77777777" w:rsidR="007D1BF4" w:rsidRPr="00287C9A" w:rsidRDefault="007D1BF4" w:rsidP="00ED45FF">
            <w:pPr>
              <w:pStyle w:val="08-Tabelageral"/>
              <w:rPr>
                <w:rFonts w:cs="Arial"/>
                <w:szCs w:val="14"/>
              </w:rPr>
            </w:pPr>
            <w:r w:rsidRPr="00287C9A">
              <w:rPr>
                <w:rFonts w:cs="Arial"/>
                <w:szCs w:val="14"/>
              </w:rPr>
              <w:t>4%</w:t>
            </w:r>
          </w:p>
        </w:tc>
      </w:tr>
      <w:tr w:rsidR="007D1BF4" w:rsidRPr="00287C9A" w14:paraId="57581C60" w14:textId="77777777" w:rsidTr="00DD131D">
        <w:trPr>
          <w:trHeight w:val="238"/>
          <w:jc w:val="center"/>
        </w:trPr>
        <w:tc>
          <w:tcPr>
            <w:tcW w:w="4395" w:type="dxa"/>
            <w:vAlign w:val="center"/>
          </w:tcPr>
          <w:p w14:paraId="3E4D4A3F" w14:textId="77777777" w:rsidR="007D1BF4" w:rsidRPr="00287C9A" w:rsidRDefault="007D1BF4" w:rsidP="00ED45FF">
            <w:pPr>
              <w:pStyle w:val="08-Tabelageral"/>
              <w:jc w:val="left"/>
              <w:rPr>
                <w:rFonts w:cs="Arial"/>
                <w:b/>
                <w:szCs w:val="14"/>
              </w:rPr>
            </w:pPr>
            <w:r w:rsidRPr="00287C9A">
              <w:rPr>
                <w:rFonts w:cs="Arial"/>
                <w:szCs w:val="14"/>
              </w:rPr>
              <w:t xml:space="preserve">Imposto sobre Serviços de Qualquer Natureza (ISS) </w:t>
            </w:r>
            <w:r w:rsidRPr="00287C9A">
              <w:rPr>
                <w:rFonts w:cs="Arial"/>
                <w:szCs w:val="14"/>
                <w:vertAlign w:val="superscript"/>
              </w:rPr>
              <w:t>(3)</w:t>
            </w:r>
          </w:p>
        </w:tc>
        <w:tc>
          <w:tcPr>
            <w:tcW w:w="567" w:type="dxa"/>
            <w:vAlign w:val="center"/>
          </w:tcPr>
          <w:p w14:paraId="36262310" w14:textId="77777777" w:rsidR="007D1BF4" w:rsidRPr="00287C9A" w:rsidRDefault="007D1BF4" w:rsidP="00ED45FF">
            <w:pPr>
              <w:pStyle w:val="08-Tabelageral"/>
              <w:jc w:val="center"/>
              <w:rPr>
                <w:rFonts w:cs="Arial"/>
                <w:szCs w:val="14"/>
              </w:rPr>
            </w:pPr>
          </w:p>
        </w:tc>
        <w:tc>
          <w:tcPr>
            <w:tcW w:w="1134" w:type="dxa"/>
            <w:vAlign w:val="center"/>
          </w:tcPr>
          <w:p w14:paraId="701BDDEC" w14:textId="77777777" w:rsidR="007D1BF4" w:rsidRPr="00287C9A" w:rsidRDefault="007D1BF4" w:rsidP="00ED45FF">
            <w:pPr>
              <w:pStyle w:val="08-Tabelageral"/>
              <w:ind w:left="113"/>
              <w:jc w:val="center"/>
              <w:rPr>
                <w:rFonts w:cs="Arial"/>
                <w:szCs w:val="14"/>
              </w:rPr>
            </w:pPr>
          </w:p>
        </w:tc>
        <w:tc>
          <w:tcPr>
            <w:tcW w:w="1134" w:type="dxa"/>
            <w:vAlign w:val="center"/>
          </w:tcPr>
          <w:p w14:paraId="781DA104" w14:textId="77777777" w:rsidR="007D1BF4" w:rsidRPr="00287C9A" w:rsidRDefault="007D1BF4" w:rsidP="00ED45FF">
            <w:pPr>
              <w:pStyle w:val="08-Tabelageral"/>
              <w:jc w:val="center"/>
              <w:rPr>
                <w:rFonts w:cs="Arial"/>
                <w:szCs w:val="14"/>
              </w:rPr>
            </w:pPr>
          </w:p>
        </w:tc>
        <w:tc>
          <w:tcPr>
            <w:tcW w:w="283" w:type="dxa"/>
            <w:vAlign w:val="center"/>
          </w:tcPr>
          <w:p w14:paraId="23B70114" w14:textId="77777777" w:rsidR="007D1BF4" w:rsidRPr="00287C9A" w:rsidRDefault="007D1BF4" w:rsidP="00ED45FF">
            <w:pPr>
              <w:pStyle w:val="08-Tabelageral"/>
              <w:ind w:left="113"/>
              <w:jc w:val="center"/>
              <w:rPr>
                <w:rFonts w:cs="Arial"/>
                <w:szCs w:val="14"/>
              </w:rPr>
            </w:pPr>
          </w:p>
        </w:tc>
        <w:tc>
          <w:tcPr>
            <w:tcW w:w="1063" w:type="dxa"/>
            <w:vAlign w:val="center"/>
          </w:tcPr>
          <w:p w14:paraId="3EB12206" w14:textId="77777777" w:rsidR="007D1BF4" w:rsidRPr="00287C9A" w:rsidRDefault="007D1BF4" w:rsidP="00ED45FF">
            <w:pPr>
              <w:pStyle w:val="08-Tabelageral"/>
              <w:ind w:left="113"/>
              <w:rPr>
                <w:rFonts w:cs="Arial"/>
                <w:szCs w:val="14"/>
              </w:rPr>
            </w:pPr>
            <w:r w:rsidRPr="00287C9A">
              <w:rPr>
                <w:rFonts w:cs="Arial"/>
                <w:szCs w:val="14"/>
              </w:rPr>
              <w:t>Até 5%</w:t>
            </w:r>
          </w:p>
        </w:tc>
        <w:tc>
          <w:tcPr>
            <w:tcW w:w="1063" w:type="dxa"/>
            <w:vAlign w:val="center"/>
          </w:tcPr>
          <w:p w14:paraId="2C731E24" w14:textId="77777777" w:rsidR="007D1BF4" w:rsidRPr="00287C9A" w:rsidRDefault="007D1BF4" w:rsidP="00ED45FF">
            <w:pPr>
              <w:pStyle w:val="08-Tabelageral"/>
              <w:rPr>
                <w:rFonts w:cs="Arial"/>
                <w:szCs w:val="14"/>
              </w:rPr>
            </w:pPr>
            <w:r w:rsidRPr="00287C9A">
              <w:rPr>
                <w:rFonts w:cs="Arial"/>
                <w:szCs w:val="14"/>
              </w:rPr>
              <w:t>Até 5%</w:t>
            </w:r>
          </w:p>
        </w:tc>
      </w:tr>
    </w:tbl>
    <w:p w14:paraId="6A456BC9" w14:textId="77777777" w:rsidR="007D1BF4" w:rsidRPr="00113AEF" w:rsidRDefault="007D1BF4" w:rsidP="007D1BF4">
      <w:pPr>
        <w:pStyle w:val="07-Legenda1"/>
        <w:numPr>
          <w:ilvl w:val="0"/>
          <w:numId w:val="44"/>
        </w:numPr>
        <w:tabs>
          <w:tab w:val="clear" w:pos="284"/>
        </w:tabs>
        <w:ind w:left="284" w:hanging="284"/>
        <w:rPr>
          <w:rFonts w:ascii="Arial" w:hAnsi="Arial" w:cs="Arial"/>
          <w:szCs w:val="14"/>
        </w:rPr>
      </w:pPr>
      <w:r w:rsidRPr="00113AEF">
        <w:rPr>
          <w:rFonts w:ascii="Arial" w:hAnsi="Arial" w:cs="Arial"/>
          <w:szCs w:val="14"/>
        </w:rPr>
        <w:t>Inclui alíquota básica (15%) e adicional (10%)</w:t>
      </w:r>
    </w:p>
    <w:p w14:paraId="0444E0DB" w14:textId="77777777" w:rsidR="007D1BF4" w:rsidRPr="00113AEF" w:rsidRDefault="007D1BF4" w:rsidP="007D1BF4">
      <w:pPr>
        <w:pStyle w:val="07-Legenda1"/>
        <w:numPr>
          <w:ilvl w:val="0"/>
          <w:numId w:val="44"/>
        </w:numPr>
        <w:tabs>
          <w:tab w:val="clear" w:pos="284"/>
        </w:tabs>
        <w:ind w:left="284" w:hanging="284"/>
        <w:rPr>
          <w:rFonts w:ascii="Arial" w:hAnsi="Arial" w:cs="Arial"/>
          <w:szCs w:val="14"/>
        </w:rPr>
      </w:pPr>
      <w:r w:rsidRPr="00113AEF">
        <w:rPr>
          <w:rFonts w:ascii="Arial" w:hAnsi="Arial" w:cs="Arial"/>
          <w:szCs w:val="14"/>
        </w:rPr>
        <w:t>Alíquota incidente sobre aplicações financeiras.</w:t>
      </w:r>
    </w:p>
    <w:p w14:paraId="6172D513" w14:textId="77777777" w:rsidR="007D1BF4" w:rsidRPr="00113AEF" w:rsidRDefault="007D1BF4" w:rsidP="007D1BF4">
      <w:pPr>
        <w:pStyle w:val="07-Legenda1"/>
        <w:numPr>
          <w:ilvl w:val="0"/>
          <w:numId w:val="44"/>
        </w:numPr>
        <w:tabs>
          <w:tab w:val="clear" w:pos="284"/>
        </w:tabs>
        <w:ind w:left="284" w:hanging="284"/>
        <w:rPr>
          <w:rFonts w:ascii="Arial" w:hAnsi="Arial" w:cs="Arial"/>
          <w:szCs w:val="14"/>
        </w:rPr>
      </w:pPr>
      <w:r w:rsidRPr="00113AEF">
        <w:rPr>
          <w:rFonts w:ascii="Arial" w:hAnsi="Arial" w:cs="Arial"/>
          <w:szCs w:val="14"/>
        </w:rPr>
        <w:t>Aplicada apenas à BB Corretora.</w:t>
      </w:r>
    </w:p>
    <w:p w14:paraId="0D65177E" w14:textId="77777777" w:rsidR="007D1BF4" w:rsidRPr="00287C9A" w:rsidRDefault="007D1BF4" w:rsidP="00217D43">
      <w:pPr>
        <w:pStyle w:val="05-Textonormal"/>
        <w:rPr>
          <w:rFonts w:cs="Arial"/>
        </w:rPr>
      </w:pPr>
      <w:r w:rsidRPr="00287C9A">
        <w:rPr>
          <w:rFonts w:cs="Arial"/>
        </w:rPr>
        <w:lastRenderedPageBreak/>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w:t>
      </w:r>
      <w:r>
        <w:rPr>
          <w:rFonts w:cs="Arial"/>
        </w:rPr>
        <w:t xml:space="preserve"> [IAS 12]</w:t>
      </w:r>
      <w:r w:rsidRPr="00287C9A">
        <w:rPr>
          <w:rFonts w:cs="Arial"/>
        </w:rPr>
        <w:t xml:space="preserve"> – Tributos sobre o Lucro, e estão suportadas por estudo de capacidade de realização.</w:t>
      </w:r>
    </w:p>
    <w:p w14:paraId="7A42EB3A"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k</w:t>
      </w:r>
      <w:r w:rsidRPr="00AF6165">
        <w:rPr>
          <w:rFonts w:cs="Arial"/>
          <w:color w:val="1F4E79" w:themeColor="accent1" w:themeShade="80"/>
          <w:sz w:val="18"/>
          <w:szCs w:val="18"/>
        </w:rPr>
        <w:t>) Divulgação por Segmentos</w:t>
      </w:r>
    </w:p>
    <w:p w14:paraId="74470195" w14:textId="77777777" w:rsidR="007D1BF4" w:rsidRPr="00287C9A" w:rsidRDefault="007D1BF4" w:rsidP="00217D43">
      <w:pPr>
        <w:pStyle w:val="05-Textonormal"/>
        <w:rPr>
          <w:rFonts w:cs="Arial"/>
        </w:rPr>
      </w:pPr>
      <w:r w:rsidRPr="001A3272">
        <w:rPr>
          <w:rFonts w:cs="Arial"/>
        </w:rPr>
        <w:t>O CPC 22 [IFRS 8] – Informações por Segmento requer</w:t>
      </w:r>
      <w:r w:rsidRPr="00287C9A">
        <w:rPr>
          <w:rFonts w:cs="Arial"/>
        </w:rPr>
        <w:t xml:space="preserve"> a divulgação de informações financeiras de segmentos operacionais da entidade </w:t>
      </w:r>
      <w:r>
        <w:rPr>
          <w:rFonts w:cs="Arial"/>
        </w:rPr>
        <w:t xml:space="preserve">baseadas nas </w:t>
      </w:r>
      <w:r w:rsidRPr="00287C9A">
        <w:rPr>
          <w:rFonts w:cs="Arial"/>
        </w:rPr>
        <w:t>divulgações internas que são utilizadas pela Administração para alocar recursos e para avaliar a sua performance financeira e econômica.</w:t>
      </w:r>
    </w:p>
    <w:p w14:paraId="6314B886"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l</w:t>
      </w:r>
      <w:r w:rsidRPr="00AF6165">
        <w:rPr>
          <w:rFonts w:cs="Arial"/>
          <w:color w:val="1F4E79" w:themeColor="accent1" w:themeShade="80"/>
          <w:sz w:val="18"/>
          <w:szCs w:val="18"/>
        </w:rPr>
        <w:t>) Juros Sobre o Capital Próprio e Dividendos</w:t>
      </w:r>
    </w:p>
    <w:p w14:paraId="2CF7CF36" w14:textId="77777777" w:rsidR="007D1BF4" w:rsidRPr="00287C9A" w:rsidRDefault="007D1BF4" w:rsidP="00217D43">
      <w:pPr>
        <w:pStyle w:val="05-Textonormal"/>
        <w:rPr>
          <w:rFonts w:cs="Arial"/>
        </w:rPr>
      </w:pPr>
      <w:r w:rsidRPr="00287C9A">
        <w:rPr>
          <w:rFonts w:cs="Arial"/>
        </w:rPr>
        <w:t>As companhias brasileiras podem atribuir uma despesa nominal de juros, dedutível para fins fiscais, sobre o seu capital próprio. O valor dos juros sobre o capital próprio é considerado como um dividendo e, quando aplicável, apresentado nessas demonstrações contábeis consolidadas como uma redução direta no patrimônio líquido.</w:t>
      </w:r>
    </w:p>
    <w:p w14:paraId="39D51EFD" w14:textId="77777777" w:rsidR="007D1BF4" w:rsidRPr="00287C9A" w:rsidRDefault="007D1BF4" w:rsidP="00217D43">
      <w:pPr>
        <w:pStyle w:val="05-Textonormal"/>
        <w:rPr>
          <w:rFonts w:cs="Arial"/>
        </w:rPr>
      </w:pPr>
      <w:r w:rsidRPr="00287C9A">
        <w:rPr>
          <w:rFonts w:cs="Arial"/>
        </w:rPr>
        <w:t>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período.</w:t>
      </w:r>
    </w:p>
    <w:p w14:paraId="4012979E" w14:textId="77777777" w:rsidR="007D1BF4" w:rsidRPr="00287C9A" w:rsidRDefault="007D1BF4" w:rsidP="00217D43">
      <w:pPr>
        <w:pStyle w:val="05-Textonormal"/>
        <w:rPr>
          <w:rFonts w:cs="Arial"/>
        </w:rPr>
      </w:pPr>
      <w:r w:rsidRPr="00287C9A">
        <w:rPr>
          <w:rFonts w:cs="Arial"/>
        </w:rPr>
        <w:t xml:space="preserve">No </w:t>
      </w:r>
      <w:r>
        <w:rPr>
          <w:rFonts w:cs="Arial"/>
        </w:rPr>
        <w:t>exercício</w:t>
      </w:r>
      <w:r w:rsidRPr="00287C9A">
        <w:rPr>
          <w:rFonts w:cs="Arial"/>
        </w:rPr>
        <w:t xml:space="preserve"> não houve</w:t>
      </w:r>
      <w:r>
        <w:rPr>
          <w:rFonts w:cs="Arial"/>
        </w:rPr>
        <w:t xml:space="preserve"> reconhecimento e</w:t>
      </w:r>
      <w:r w:rsidRPr="00287C9A">
        <w:rPr>
          <w:rFonts w:cs="Arial"/>
        </w:rPr>
        <w:t xml:space="preserve"> pagamento de </w:t>
      </w:r>
      <w:r>
        <w:rPr>
          <w:rFonts w:cs="Arial"/>
        </w:rPr>
        <w:t>j</w:t>
      </w:r>
      <w:r w:rsidRPr="00287C9A">
        <w:rPr>
          <w:rFonts w:cs="Arial"/>
        </w:rPr>
        <w:t xml:space="preserve">uros sobre </w:t>
      </w:r>
      <w:r>
        <w:rPr>
          <w:rFonts w:cs="Arial"/>
        </w:rPr>
        <w:t>c</w:t>
      </w:r>
      <w:r w:rsidRPr="00287C9A">
        <w:rPr>
          <w:rFonts w:cs="Arial"/>
        </w:rPr>
        <w:t xml:space="preserve">apital </w:t>
      </w:r>
      <w:r>
        <w:rPr>
          <w:rFonts w:cs="Arial"/>
        </w:rPr>
        <w:t>p</w:t>
      </w:r>
      <w:r w:rsidRPr="00287C9A">
        <w:rPr>
          <w:rFonts w:cs="Arial"/>
        </w:rPr>
        <w:t xml:space="preserve">róprio. </w:t>
      </w:r>
    </w:p>
    <w:p w14:paraId="244F5BB9"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m</w:t>
      </w:r>
      <w:r w:rsidRPr="00AF6165">
        <w:rPr>
          <w:rFonts w:cs="Arial"/>
          <w:color w:val="1F4E79" w:themeColor="accent1" w:themeShade="80"/>
          <w:sz w:val="18"/>
          <w:szCs w:val="18"/>
        </w:rPr>
        <w:t>) Lucro por Ação</w:t>
      </w:r>
    </w:p>
    <w:p w14:paraId="137E7B16" w14:textId="77777777" w:rsidR="007D1BF4" w:rsidRPr="001A3272" w:rsidRDefault="007D1BF4" w:rsidP="00217D43">
      <w:pPr>
        <w:pStyle w:val="05-Textonormal"/>
        <w:rPr>
          <w:rFonts w:cs="Arial"/>
        </w:rPr>
      </w:pPr>
      <w:r w:rsidRPr="001A3272">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7644BB47" w14:textId="77777777" w:rsidR="007D1BF4" w:rsidRPr="001A3272"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n</w:t>
      </w:r>
      <w:r w:rsidRPr="001A3272">
        <w:rPr>
          <w:rFonts w:cs="Arial"/>
          <w:color w:val="1F4E79" w:themeColor="accent1" w:themeShade="80"/>
          <w:sz w:val="18"/>
          <w:szCs w:val="18"/>
        </w:rPr>
        <w:t>) Arrendamentos</w:t>
      </w:r>
    </w:p>
    <w:p w14:paraId="45D18D27" w14:textId="77777777" w:rsidR="007D1BF4" w:rsidRDefault="007D1BF4" w:rsidP="00217D43">
      <w:pPr>
        <w:pStyle w:val="05-Textonormal"/>
        <w:rPr>
          <w:rFonts w:cs="Arial"/>
        </w:rPr>
      </w:pPr>
      <w:bookmarkStart w:id="38" w:name="_Hlk70500879"/>
      <w:r w:rsidRPr="001A3272">
        <w:rPr>
          <w:rFonts w:cs="Arial"/>
        </w:rPr>
        <w:t xml:space="preserve">O reconhecimento, a mensuração e a divulgação dos arrendamentos são </w:t>
      </w:r>
      <w:proofErr w:type="gramStart"/>
      <w:r w:rsidRPr="001A3272">
        <w:rPr>
          <w:rFonts w:cs="Arial"/>
        </w:rPr>
        <w:t>efetuados</w:t>
      </w:r>
      <w:proofErr w:type="gramEnd"/>
      <w:r w:rsidRPr="001A3272">
        <w:rPr>
          <w:rFonts w:cs="Arial"/>
        </w:rPr>
        <w:t xml:space="preserve"> de acordo com os critérios definidos no CPC 06 (R2) [IFRS 16] –</w:t>
      </w:r>
      <w:r w:rsidRPr="00287C9A">
        <w:rPr>
          <w:rFonts w:cs="Arial"/>
        </w:rPr>
        <w:t xml:space="preserve"> </w:t>
      </w:r>
      <w:r>
        <w:rPr>
          <w:rFonts w:cs="Arial"/>
        </w:rPr>
        <w:t>Arrendamentos. A</w:t>
      </w:r>
      <w:r w:rsidRPr="00287C9A">
        <w:rPr>
          <w:rFonts w:cs="Arial"/>
        </w:rPr>
        <w:t xml:space="preserve"> BB Seguridade e suas </w:t>
      </w:r>
      <w:r w:rsidRPr="00C66F4B">
        <w:rPr>
          <w:rFonts w:cs="Arial"/>
        </w:rPr>
        <w:t>controladas não possuem operações de arrendamento</w:t>
      </w:r>
      <w:r>
        <w:rPr>
          <w:rFonts w:cs="Arial"/>
        </w:rPr>
        <w:t>s significativas.</w:t>
      </w:r>
      <w:r w:rsidRPr="00C66F4B">
        <w:rPr>
          <w:rFonts w:cs="Arial"/>
        </w:rPr>
        <w:t xml:space="preserve"> </w:t>
      </w:r>
    </w:p>
    <w:p w14:paraId="1320DC79" w14:textId="77777777" w:rsidR="007D1BF4" w:rsidRDefault="007D1BF4" w:rsidP="00217D43">
      <w:pPr>
        <w:pStyle w:val="05-Textonormal"/>
        <w:rPr>
          <w:rFonts w:cs="Arial"/>
        </w:rPr>
      </w:pPr>
      <w:r>
        <w:rPr>
          <w:rFonts w:cs="Arial"/>
        </w:rPr>
        <w:t xml:space="preserve">As operações de arrendamentos estão presentes nas </w:t>
      </w:r>
      <w:r w:rsidRPr="00C66F4B">
        <w:rPr>
          <w:rFonts w:cs="Arial"/>
        </w:rPr>
        <w:t>empresas seguradoras e operadoras de saúde</w:t>
      </w:r>
      <w:r>
        <w:rPr>
          <w:rFonts w:cs="Arial"/>
        </w:rPr>
        <w:t xml:space="preserve"> nas quais a BB Seguridade detém participações. Para as seguradoras, </w:t>
      </w:r>
      <w:r w:rsidRPr="00C66F4B">
        <w:rPr>
          <w:rFonts w:cs="Arial"/>
        </w:rPr>
        <w:t>a Superintendência de Seguros Privados (Susep) aprovou, por meio da Circular n° 615, de setembro de 2020, a adoção do CPC 06 (R2)</w:t>
      </w:r>
      <w:r>
        <w:rPr>
          <w:rFonts w:cs="Arial"/>
        </w:rPr>
        <w:t xml:space="preserve"> [IFRS 16]</w:t>
      </w:r>
      <w:r w:rsidRPr="00C66F4B">
        <w:rPr>
          <w:rFonts w:cs="Arial"/>
        </w:rPr>
        <w:t xml:space="preserve"> – Arrendamentos</w:t>
      </w:r>
      <w:r>
        <w:rPr>
          <w:rFonts w:cs="Arial"/>
        </w:rPr>
        <w:t>, com início de vigência a partir de 1° de janeiro de 2021</w:t>
      </w:r>
      <w:r w:rsidRPr="00C66F4B">
        <w:rPr>
          <w:rFonts w:cs="Arial"/>
        </w:rPr>
        <w:t xml:space="preserve">. </w:t>
      </w:r>
      <w:r>
        <w:rPr>
          <w:rFonts w:cs="Arial"/>
        </w:rPr>
        <w:t>Para as operadoras de saúde, a</w:t>
      </w:r>
      <w:r w:rsidRPr="00C66F4B">
        <w:rPr>
          <w:rFonts w:cs="Arial"/>
        </w:rPr>
        <w:t xml:space="preserve"> Agência Nacional de Saúde Suplementar (ANS) ainda não aprovou a adoção da referida norma.</w:t>
      </w:r>
    </w:p>
    <w:bookmarkEnd w:id="38"/>
    <w:p w14:paraId="6EB6D67C" w14:textId="77777777" w:rsidR="007D1BF4" w:rsidRPr="00287C9A" w:rsidRDefault="007D1BF4" w:rsidP="00217D43">
      <w:pPr>
        <w:pStyle w:val="05-Textonormal"/>
        <w:rPr>
          <w:rFonts w:cs="Arial"/>
        </w:rPr>
      </w:pPr>
      <w:r w:rsidRPr="00C66F4B">
        <w:rPr>
          <w:rFonts w:cs="Arial"/>
        </w:rPr>
        <w:t>Quando há</w:t>
      </w:r>
      <w:r w:rsidRPr="00287C9A">
        <w:rPr>
          <w:rFonts w:cs="Arial"/>
        </w:rPr>
        <w:t xml:space="preserve"> divergência na prática contábil adotada pela investid</w:t>
      </w:r>
      <w:r>
        <w:rPr>
          <w:rFonts w:cs="Arial"/>
        </w:rPr>
        <w:t>ora</w:t>
      </w:r>
      <w:r w:rsidRPr="00287C9A">
        <w:rPr>
          <w:rFonts w:cs="Arial"/>
        </w:rPr>
        <w:t xml:space="preserve"> em relação às empresas </w:t>
      </w:r>
      <w:r w:rsidRPr="001A3272">
        <w:rPr>
          <w:rFonts w:cs="Arial"/>
        </w:rPr>
        <w:t>participadas, fazem-se necessários procedimentos de ajustes para fins de uniformização. Considerando as atuais operações de arrendamento das participadas, foram realizados os devidos ajustes nos investimentos para uniformização das práticas.</w:t>
      </w:r>
      <w:r w:rsidRPr="00287C9A">
        <w:rPr>
          <w:rFonts w:cs="Arial"/>
        </w:rPr>
        <w:t xml:space="preserve"> </w:t>
      </w:r>
    </w:p>
    <w:p w14:paraId="774F4CA7" w14:textId="77777777" w:rsidR="007D1BF4" w:rsidRPr="00CE55EA" w:rsidRDefault="007D1BF4" w:rsidP="00CE55EA">
      <w:pPr>
        <w:pStyle w:val="05-Textonormal"/>
        <w:rPr>
          <w:rFonts w:cs="Arial"/>
        </w:rPr>
      </w:pPr>
      <w:r w:rsidRPr="00CE55EA">
        <w:rPr>
          <w:rFonts w:cs="Arial"/>
        </w:rPr>
        <w:t>A partir de 1°</w:t>
      </w:r>
      <w:r>
        <w:rPr>
          <w:rFonts w:cs="Arial"/>
        </w:rPr>
        <w:t xml:space="preserve"> </w:t>
      </w:r>
      <w:r w:rsidRPr="00CE55EA">
        <w:rPr>
          <w:rFonts w:cs="Arial"/>
        </w:rPr>
        <w:t>de janeiro de 2021, as companhias</w:t>
      </w:r>
      <w:r>
        <w:rPr>
          <w:rFonts w:cs="Arial"/>
        </w:rPr>
        <w:t xml:space="preserve"> Brasilseg, Aliança do Brasil Seguros, Brasilprev e Brasilcap</w:t>
      </w:r>
      <w:r w:rsidRPr="00CE55EA">
        <w:rPr>
          <w:rFonts w:cs="Arial"/>
        </w:rPr>
        <w:t xml:space="preserve"> passaram a adotar o CPC 06 (R2)</w:t>
      </w:r>
      <w:r>
        <w:rPr>
          <w:rFonts w:cs="Arial"/>
        </w:rPr>
        <w:t xml:space="preserve"> [IFRS 16]</w:t>
      </w:r>
      <w:r w:rsidRPr="00CE55EA">
        <w:rPr>
          <w:rFonts w:cs="Arial"/>
        </w:rPr>
        <w:t xml:space="preserve"> – Arrendamentos</w:t>
      </w:r>
      <w:r>
        <w:rPr>
          <w:rFonts w:cs="Arial"/>
        </w:rPr>
        <w:t>,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383C9B61" w14:textId="77777777" w:rsidR="007D1BF4" w:rsidRPr="00AF6165" w:rsidRDefault="007D1BF4" w:rsidP="0006676D">
      <w:pPr>
        <w:pStyle w:val="01-TtulodeNota"/>
        <w:rPr>
          <w:rFonts w:cs="Arial"/>
          <w:color w:val="1F4E79" w:themeColor="accent1" w:themeShade="80"/>
          <w:sz w:val="18"/>
          <w:szCs w:val="18"/>
        </w:rPr>
      </w:pPr>
      <w:r>
        <w:rPr>
          <w:rFonts w:cs="Arial"/>
          <w:color w:val="1F4E79" w:themeColor="accent1" w:themeShade="80"/>
          <w:sz w:val="18"/>
          <w:szCs w:val="18"/>
        </w:rPr>
        <w:t>o</w:t>
      </w:r>
      <w:r w:rsidRPr="00AF6165">
        <w:rPr>
          <w:rFonts w:cs="Arial"/>
          <w:color w:val="1F4E79" w:themeColor="accent1" w:themeShade="80"/>
          <w:sz w:val="18"/>
          <w:szCs w:val="18"/>
        </w:rPr>
        <w:t>) Melhorias às IFRS e Pronunciamentos Recentemente Emitidos</w:t>
      </w:r>
    </w:p>
    <w:p w14:paraId="0821A3B2" w14:textId="77777777" w:rsidR="007D1BF4" w:rsidRPr="00287C9A" w:rsidRDefault="007D1BF4" w:rsidP="00217D43">
      <w:pPr>
        <w:pStyle w:val="05-Textonormal"/>
        <w:rPr>
          <w:rFonts w:cs="Arial"/>
        </w:rPr>
      </w:pPr>
      <w:r w:rsidRPr="00287C9A">
        <w:rPr>
          <w:rFonts w:cs="Arial"/>
        </w:rPr>
        <w:t xml:space="preserve">Melhorias às IFRS são emendas emitidas pelo </w:t>
      </w:r>
      <w:r w:rsidRPr="00287C9A">
        <w:rPr>
          <w:rFonts w:cs="Arial"/>
          <w:i/>
        </w:rPr>
        <w:t>International Accounting Standards Board</w:t>
      </w:r>
      <w:r w:rsidRPr="00287C9A">
        <w:rPr>
          <w:rFonts w:cs="Arial"/>
        </w:rPr>
        <w:t xml:space="preserve"> (IASB) e compreendem alterações nas regras de reconhecimento, mensuração e evidenciação relacionadas a diversas IFRS. Apresentamos um resumo de algumas emendas, bem como das interpretações e pronunciamentos recentemente emitidos pelo IASB e </w:t>
      </w:r>
      <w:r>
        <w:rPr>
          <w:rFonts w:cs="Arial"/>
        </w:rPr>
        <w:t xml:space="preserve">pelo </w:t>
      </w:r>
      <w:r w:rsidRPr="00287C9A">
        <w:rPr>
          <w:rFonts w:cs="Arial"/>
        </w:rPr>
        <w:t xml:space="preserve">Comitê de Pronunciamentos Contábeis, que entrarão em vigor após este </w:t>
      </w:r>
      <w:r>
        <w:rPr>
          <w:rFonts w:cs="Arial"/>
        </w:rPr>
        <w:t>período</w:t>
      </w:r>
      <w:r w:rsidRPr="00287C9A">
        <w:rPr>
          <w:rFonts w:cs="Arial"/>
        </w:rPr>
        <w:t>:</w:t>
      </w:r>
    </w:p>
    <w:p w14:paraId="0D9193C5" w14:textId="77777777" w:rsidR="007D1BF4" w:rsidRPr="00287C9A" w:rsidRDefault="007D1BF4" w:rsidP="00247039">
      <w:pPr>
        <w:pStyle w:val="05-Textonormal"/>
        <w:keepNext/>
        <w:keepLines/>
        <w:pageBreakBefore/>
        <w:rPr>
          <w:rFonts w:cs="Arial"/>
        </w:rPr>
      </w:pPr>
      <w:r w:rsidRPr="00287C9A">
        <w:rPr>
          <w:rFonts w:cs="Arial"/>
          <w:b/>
          <w:color w:val="1F4E79" w:themeColor="accent1" w:themeShade="80"/>
        </w:rPr>
        <w:lastRenderedPageBreak/>
        <w:t>IFRS 17 – Contratos de Seguros</w:t>
      </w:r>
      <w:r w:rsidRPr="00287C9A">
        <w:rPr>
          <w:rFonts w:cs="Arial"/>
          <w:color w:val="1F4E79" w:themeColor="accent1" w:themeShade="80"/>
        </w:rPr>
        <w:t xml:space="preserve"> </w:t>
      </w:r>
      <w:r w:rsidRPr="00287C9A">
        <w:rPr>
          <w:rFonts w:cs="Arial"/>
        </w:rPr>
        <w:t xml:space="preserve">– </w:t>
      </w:r>
      <w:r>
        <w:rPr>
          <w:rFonts w:cs="Arial"/>
        </w:rPr>
        <w:t>O</w:t>
      </w:r>
      <w:r w:rsidRPr="00287C9A">
        <w:rPr>
          <w:rFonts w:cs="Arial"/>
        </w:rPr>
        <w:t xml:space="preserve"> IASB emitiu a IFRS 17, em substituição à IFRS 4 – Contratos de Seguros, que estabelece os princípios para o reconhecimento, mensuração e evidenciação de contratos de seguros dentro do escopo da norma. O objetivo da IFRS 17 é garantir que uma entidade forneça informações relevantes que representem fielmente esses contratos. Essas informações fornecem uma base para os usuários das demonstrações </w:t>
      </w:r>
      <w:r>
        <w:rPr>
          <w:rFonts w:cs="Arial"/>
        </w:rPr>
        <w:t xml:space="preserve">contábeis </w:t>
      </w:r>
      <w:r w:rsidRPr="00287C9A">
        <w:rPr>
          <w:rFonts w:cs="Arial"/>
        </w:rPr>
        <w:t>avaliarem o efeito que os contratos de seguro têm na posição financeira da entidade, desempenho financeiro e fluxos de caixa.</w:t>
      </w:r>
    </w:p>
    <w:p w14:paraId="24DEB792" w14:textId="77777777" w:rsidR="007D1BF4" w:rsidRDefault="007D1BF4" w:rsidP="00032101">
      <w:pPr>
        <w:pStyle w:val="05-Textonormal"/>
        <w:rPr>
          <w:rFonts w:cs="Arial"/>
        </w:rPr>
      </w:pPr>
      <w:r w:rsidRPr="00287C9A">
        <w:rPr>
          <w:rFonts w:cs="Arial"/>
        </w:rPr>
        <w:t xml:space="preserve">Em março de 2020, por meio da Emenda à IFRS 17, o IASB decidiu </w:t>
      </w:r>
      <w:r>
        <w:rPr>
          <w:rFonts w:cs="Arial"/>
        </w:rPr>
        <w:t xml:space="preserve">a prorrogação da data efetiva da norma para </w:t>
      </w:r>
      <w:r w:rsidRPr="00287C9A">
        <w:rPr>
          <w:rFonts w:cs="Arial"/>
        </w:rPr>
        <w:t xml:space="preserve">os </w:t>
      </w:r>
      <w:r>
        <w:rPr>
          <w:rFonts w:cs="Arial"/>
        </w:rPr>
        <w:t>exercícios</w:t>
      </w:r>
      <w:r w:rsidRPr="00287C9A">
        <w:rPr>
          <w:rFonts w:cs="Arial"/>
        </w:rPr>
        <w:t xml:space="preserve"> anuais iniciados em ou após 1º de janeiro de 2023. Decidiu também estender a isenção atualmente em vigor para algumas seguradoras em relação à aplicação d</w:t>
      </w:r>
      <w:r>
        <w:rPr>
          <w:rFonts w:cs="Arial"/>
        </w:rPr>
        <w:t>a</w:t>
      </w:r>
      <w:r w:rsidRPr="00287C9A">
        <w:rPr>
          <w:rFonts w:cs="Arial"/>
        </w:rPr>
        <w:t xml:space="preserve"> IFRS 9 para permitir implementar a IFRS 9 e a IFRS 17 ao mesmo tempo.</w:t>
      </w:r>
      <w:r>
        <w:rPr>
          <w:rFonts w:cs="Arial"/>
        </w:rPr>
        <w:t xml:space="preserve"> </w:t>
      </w:r>
    </w:p>
    <w:p w14:paraId="0F352F10" w14:textId="77777777" w:rsidR="007D1BF4" w:rsidRPr="00EB0828" w:rsidRDefault="007D1BF4" w:rsidP="0006676D">
      <w:pPr>
        <w:pStyle w:val="05-Textonormal"/>
        <w:rPr>
          <w:rFonts w:cs="Arial"/>
        </w:rPr>
      </w:pPr>
      <w:bookmarkStart w:id="39" w:name="_Hlk86163942"/>
      <w:r w:rsidRPr="00EB0828">
        <w:rPr>
          <w:rFonts w:cs="Arial"/>
        </w:rPr>
        <w:t>Em maio de 2021, o CPC emitiu o Pronunciamento Técnico CPC 50 – Contratos de Seguros, norma equivalente ao IFRS 17. A vigência deste pronunciamento será estabelecida pelos órgãos reguladores que o aprovarem, sendo que para o pleno atendimento às normas internacionais de contabilidade, a entidade deve aplicar este pronunciamento para períodos anuais iniciados em ou após 1º de janeiro de 2023.</w:t>
      </w:r>
    </w:p>
    <w:p w14:paraId="065B362F" w14:textId="77777777" w:rsidR="007D1BF4" w:rsidRDefault="007D1BF4" w:rsidP="0006676D">
      <w:pPr>
        <w:pStyle w:val="05-Textonormal"/>
        <w:rPr>
          <w:rFonts w:cs="Arial"/>
        </w:rPr>
      </w:pPr>
      <w:r w:rsidRPr="00EB0828">
        <w:rPr>
          <w:rFonts w:cs="Arial"/>
        </w:rPr>
        <w:t xml:space="preserve">Em julho de 2021, </w:t>
      </w:r>
      <w:r>
        <w:rPr>
          <w:rFonts w:cs="Arial"/>
        </w:rPr>
        <w:t>a</w:t>
      </w:r>
      <w:r w:rsidRPr="00EB0828">
        <w:rPr>
          <w:rFonts w:cs="Arial"/>
        </w:rPr>
        <w:t xml:space="preserve"> CVM recepcionou o CPC 50 por meio da Resolução CVM 42/2021, com vigência para períodos anuais iniciados em ou após 1° de janeiro de 2023. Com relação a Susep</w:t>
      </w:r>
      <w:r>
        <w:rPr>
          <w:rFonts w:cs="Arial"/>
        </w:rPr>
        <w:t xml:space="preserve"> e a ANS</w:t>
      </w:r>
      <w:r w:rsidRPr="00EB0828">
        <w:rPr>
          <w:rFonts w:cs="Arial"/>
        </w:rPr>
        <w:t>, a norma ainda não foi recepcionada.</w:t>
      </w:r>
      <w:r>
        <w:rPr>
          <w:rFonts w:cs="Arial"/>
        </w:rPr>
        <w:t xml:space="preserve">  </w:t>
      </w:r>
    </w:p>
    <w:p w14:paraId="743A537B" w14:textId="77777777" w:rsidR="007D1BF4" w:rsidRDefault="007D1BF4" w:rsidP="0006676D">
      <w:pPr>
        <w:pStyle w:val="05-Textonormal"/>
        <w:rPr>
          <w:rFonts w:cs="Arial"/>
        </w:rPr>
      </w:pPr>
      <w:r w:rsidRPr="00595232">
        <w:rPr>
          <w:rFonts w:cs="Arial"/>
        </w:rPr>
        <w:t>As empresas seguradoras investidas da BB Seguridade estão em fase de adaptação à aplicação da nova norma para atendimento das normas internacionais de contabilidade.</w:t>
      </w:r>
      <w:r>
        <w:rPr>
          <w:rFonts w:cs="Arial"/>
        </w:rPr>
        <w:t xml:space="preserve"> </w:t>
      </w:r>
      <w:bookmarkEnd w:id="35"/>
    </w:p>
    <w:bookmarkEnd w:id="39"/>
    <w:p w14:paraId="7CA18E8A" w14:textId="77777777" w:rsidR="007D1BF4" w:rsidRDefault="007D1BF4" w:rsidP="001B73E9">
      <w:pPr>
        <w:pStyle w:val="05-Textonormal"/>
        <w:rPr>
          <w:rFonts w:cs="Arial"/>
        </w:rPr>
      </w:pPr>
      <w:r w:rsidRPr="00000CCA">
        <w:rPr>
          <w:rFonts w:cs="Arial"/>
          <w:b/>
          <w:color w:val="1F4E79" w:themeColor="accent1" w:themeShade="80"/>
        </w:rPr>
        <w:t>R</w:t>
      </w:r>
      <w:r>
        <w:rPr>
          <w:rFonts w:cs="Arial"/>
          <w:b/>
          <w:color w:val="1F4E79" w:themeColor="accent1" w:themeShade="80"/>
        </w:rPr>
        <w:t xml:space="preserve">evisões n° 15/2020 (Fase 1) e n° </w:t>
      </w:r>
      <w:r w:rsidRPr="00000CCA">
        <w:rPr>
          <w:rFonts w:cs="Arial"/>
          <w:b/>
          <w:color w:val="1F4E79" w:themeColor="accent1" w:themeShade="80"/>
        </w:rPr>
        <w:t>17/2020</w:t>
      </w:r>
      <w:r>
        <w:rPr>
          <w:rFonts w:cs="Arial"/>
          <w:b/>
          <w:color w:val="1F4E79" w:themeColor="accent1" w:themeShade="80"/>
        </w:rPr>
        <w:t xml:space="preserve"> (Fase 2) </w:t>
      </w:r>
      <w:r w:rsidRPr="00000CCA">
        <w:rPr>
          <w:rFonts w:cs="Arial"/>
          <w:b/>
          <w:color w:val="1F4E79" w:themeColor="accent1" w:themeShade="80"/>
        </w:rPr>
        <w:t>de Pronunciamentos Técnicos CPC</w:t>
      </w:r>
      <w:r>
        <w:rPr>
          <w:rFonts w:cs="Arial"/>
          <w:b/>
          <w:color w:val="1F4E79" w:themeColor="accent1" w:themeShade="80"/>
        </w:rPr>
        <w:t xml:space="preserve"> </w:t>
      </w:r>
      <w:r w:rsidRPr="00000CCA">
        <w:rPr>
          <w:rFonts w:cs="Arial"/>
        </w:rPr>
        <w:t>–</w:t>
      </w:r>
      <w:r w:rsidRPr="00000CCA">
        <w:rPr>
          <w:rFonts w:cs="Arial"/>
          <w:b/>
          <w:color w:val="1F4E79" w:themeColor="accent1" w:themeShade="80"/>
        </w:rPr>
        <w:t xml:space="preserve"> </w:t>
      </w:r>
      <w:r w:rsidRPr="00C6666F">
        <w:rPr>
          <w:rFonts w:cs="Arial"/>
        </w:rPr>
        <w:t>Estabelece</w:t>
      </w:r>
      <w:r>
        <w:rPr>
          <w:rFonts w:cs="Arial"/>
        </w:rPr>
        <w:t>m</w:t>
      </w:r>
      <w:r w:rsidRPr="00C6666F">
        <w:rPr>
          <w:rFonts w:cs="Arial"/>
        </w:rPr>
        <w:t xml:space="preserve"> alterações </w:t>
      </w:r>
      <w:r>
        <w:rPr>
          <w:rFonts w:cs="Arial"/>
        </w:rPr>
        <w:t xml:space="preserve">nos </w:t>
      </w:r>
      <w:r w:rsidRPr="00C6666F">
        <w:rPr>
          <w:rFonts w:cs="Arial"/>
        </w:rPr>
        <w:t>Pronunciamentos Técnicos</w:t>
      </w:r>
      <w:r>
        <w:rPr>
          <w:rFonts w:cs="Arial"/>
        </w:rPr>
        <w:t xml:space="preserve"> CPC 06 (R2) [IFRS 16] – Arrendamentos; CPC 11 [IFRS 4] – Contratos de Seguro; CPC 40 (R1) [IFRS 7] Instrumentos Financeiros: Evidenciação; e CPC 48 [IFRS 9] – Instrumentos Financeiros, </w:t>
      </w:r>
      <w:r w:rsidRPr="00C6666F">
        <w:rPr>
          <w:rFonts w:cs="Arial"/>
        </w:rPr>
        <w:t xml:space="preserve">em </w:t>
      </w:r>
      <w:r>
        <w:rPr>
          <w:rFonts w:cs="Arial"/>
        </w:rPr>
        <w:t xml:space="preserve">função da </w:t>
      </w:r>
      <w:r w:rsidRPr="00C6666F">
        <w:rPr>
          <w:rFonts w:cs="Arial"/>
        </w:rPr>
        <w:t>definição d</w:t>
      </w:r>
      <w:r>
        <w:rPr>
          <w:rFonts w:cs="Arial"/>
        </w:rPr>
        <w:t>o termo</w:t>
      </w:r>
      <w:r w:rsidRPr="00C6666F">
        <w:rPr>
          <w:rFonts w:cs="Arial"/>
        </w:rPr>
        <w:t xml:space="preserve"> “Reforma da Taxa de</w:t>
      </w:r>
      <w:r>
        <w:rPr>
          <w:rFonts w:cs="Arial"/>
        </w:rPr>
        <w:t xml:space="preserve"> </w:t>
      </w:r>
      <w:r w:rsidRPr="00626DBD">
        <w:rPr>
          <w:rFonts w:cs="Arial"/>
        </w:rPr>
        <w:t>Juros de Referência”.</w:t>
      </w:r>
    </w:p>
    <w:p w14:paraId="5CE643E2" w14:textId="77777777" w:rsidR="007D1BF4" w:rsidRDefault="007D1BF4" w:rsidP="001B73E9">
      <w:pPr>
        <w:pStyle w:val="05-Textonormal"/>
        <w:rPr>
          <w:rFonts w:cs="Arial"/>
        </w:rPr>
      </w:pPr>
      <w:r w:rsidRPr="000F27EE">
        <w:rPr>
          <w:rFonts w:cs="Arial"/>
        </w:rPr>
        <w:t xml:space="preserve">O termo refere-se à reforma de todo o mercado de referência de taxa de juros, incluindo a substituição da taxa de referência por taxa alternativa, tal como resultante das recomendações estabelecidas no relatório do </w:t>
      </w:r>
      <w:r w:rsidRPr="000F27EE">
        <w:rPr>
          <w:rFonts w:cs="Arial"/>
          <w:i/>
          <w:iCs/>
        </w:rPr>
        <w:t>Financial Stability Board</w:t>
      </w:r>
      <w:r w:rsidRPr="000F27EE">
        <w:rPr>
          <w:rFonts w:cs="Arial"/>
        </w:rPr>
        <w:t xml:space="preserve"> (FSB), órgão que visa à coordenação de diversos reguladores a fim de implantar políticas de regulação e supervisão relacionadas à área financeira (com seu Secretariado sediado na Suíça, tem com</w:t>
      </w:r>
      <w:r>
        <w:rPr>
          <w:rFonts w:cs="Arial"/>
        </w:rPr>
        <w:t>o</w:t>
      </w:r>
      <w:r w:rsidRPr="000F27EE">
        <w:rPr>
          <w:rFonts w:cs="Arial"/>
        </w:rPr>
        <w:t xml:space="preserve"> participantes do Brasil a CVM, o Banco Central do Brasil e o Ministério da Fazenda).</w:t>
      </w:r>
    </w:p>
    <w:p w14:paraId="08C729C5" w14:textId="77777777" w:rsidR="007D1BF4" w:rsidRPr="00875238" w:rsidRDefault="007D1BF4" w:rsidP="00875238">
      <w:pPr>
        <w:pStyle w:val="05-Textonormal"/>
        <w:rPr>
          <w:rFonts w:cs="Arial"/>
        </w:rPr>
      </w:pPr>
      <w:r>
        <w:rPr>
          <w:rFonts w:cs="Arial"/>
        </w:rPr>
        <w:t>As revisões orientam</w:t>
      </w:r>
      <w:r w:rsidRPr="00C6666F">
        <w:rPr>
          <w:rFonts w:cs="Arial"/>
        </w:rPr>
        <w:t xml:space="preserve"> que as taxas de referência livres de riscos poderiam ser mais adequadas do que as taxas de referência que contenham um componente de risco de crédito a termo.</w:t>
      </w:r>
    </w:p>
    <w:p w14:paraId="5B9A16EC" w14:textId="77777777" w:rsidR="007D1BF4" w:rsidRPr="00875238" w:rsidRDefault="007D1BF4" w:rsidP="00EF0454">
      <w:pPr>
        <w:pStyle w:val="05-Textonormal"/>
        <w:rPr>
          <w:rFonts w:cs="Arial"/>
        </w:rPr>
      </w:pPr>
      <w:r>
        <w:rPr>
          <w:rFonts w:cs="Arial"/>
        </w:rPr>
        <w:t>Não identificamos necessidade de alteração das taxas atualmente utilizadas e, portanto, não tivemos efeitos práticos em função das revisões.</w:t>
      </w:r>
    </w:p>
    <w:p w14:paraId="416E49F4" w14:textId="77777777" w:rsidR="007D1BF4" w:rsidRDefault="007D1BF4" w:rsidP="00EF0454">
      <w:pPr>
        <w:pStyle w:val="05-Textonormal"/>
        <w:rPr>
          <w:rFonts w:cs="Arial"/>
        </w:rPr>
      </w:pPr>
      <w:r w:rsidRPr="00000CCA">
        <w:rPr>
          <w:rFonts w:cs="Arial"/>
          <w:b/>
          <w:color w:val="1F4E79" w:themeColor="accent1" w:themeShade="80"/>
        </w:rPr>
        <w:t>Revisão</w:t>
      </w:r>
      <w:r>
        <w:rPr>
          <w:rFonts w:cs="Arial"/>
          <w:b/>
          <w:color w:val="1F4E79" w:themeColor="accent1" w:themeShade="80"/>
        </w:rPr>
        <w:t xml:space="preserve"> n° 16/2020 </w:t>
      </w:r>
      <w:bookmarkStart w:id="40" w:name="_Hlk86168158"/>
      <w:r>
        <w:rPr>
          <w:rFonts w:cs="Arial"/>
          <w:b/>
          <w:color w:val="1F4E79" w:themeColor="accent1" w:themeShade="80"/>
        </w:rPr>
        <w:t>e n° 18/2021</w:t>
      </w:r>
      <w:bookmarkEnd w:id="40"/>
      <w:r>
        <w:rPr>
          <w:rFonts w:cs="Arial"/>
          <w:b/>
          <w:color w:val="1F4E79" w:themeColor="accent1" w:themeShade="80"/>
        </w:rPr>
        <w:t xml:space="preserve"> </w:t>
      </w:r>
      <w:r w:rsidRPr="00000CCA">
        <w:rPr>
          <w:rFonts w:cs="Arial"/>
          <w:b/>
          <w:color w:val="1F4E79" w:themeColor="accent1" w:themeShade="80"/>
        </w:rPr>
        <w:t xml:space="preserve">de </w:t>
      </w:r>
      <w:r>
        <w:rPr>
          <w:rFonts w:cs="Arial"/>
          <w:b/>
          <w:color w:val="1F4E79" w:themeColor="accent1" w:themeShade="80"/>
        </w:rPr>
        <w:t>Pronunciamentos Técnicos do CPC</w:t>
      </w:r>
      <w:r>
        <w:rPr>
          <w:rFonts w:cs="Arial"/>
        </w:rPr>
        <w:t xml:space="preserve"> – </w:t>
      </w:r>
      <w:r w:rsidRPr="00C6666F">
        <w:rPr>
          <w:rFonts w:cs="Arial"/>
        </w:rPr>
        <w:t>Estabelece</w:t>
      </w:r>
      <w:r>
        <w:rPr>
          <w:rFonts w:cs="Arial"/>
        </w:rPr>
        <w:t>m</w:t>
      </w:r>
      <w:r w:rsidRPr="00C6666F">
        <w:rPr>
          <w:rFonts w:cs="Arial"/>
        </w:rPr>
        <w:t xml:space="preserve"> alterações no Pronunciamento Técnico CPC 06 (R2)</w:t>
      </w:r>
      <w:r>
        <w:rPr>
          <w:rFonts w:cs="Arial"/>
        </w:rPr>
        <w:t xml:space="preserve"> [IFRS 16]</w:t>
      </w:r>
      <w:r w:rsidRPr="00C6666F">
        <w:rPr>
          <w:rFonts w:cs="Arial"/>
        </w:rPr>
        <w:t xml:space="preserve"> - Arrendamento em decorrência de Ben</w:t>
      </w:r>
      <w:r>
        <w:rPr>
          <w:rFonts w:cs="Arial"/>
        </w:rPr>
        <w:t>efícios Relacionados à Covid-19, c</w:t>
      </w:r>
      <w:r w:rsidRPr="00C6666F">
        <w:rPr>
          <w:rFonts w:cs="Arial"/>
        </w:rPr>
        <w:t>oncedidos para Arrendatários em Contratos de Arrendamento.</w:t>
      </w:r>
    </w:p>
    <w:p w14:paraId="3F17F6E6" w14:textId="77777777" w:rsidR="007D1BF4" w:rsidRDefault="007D1BF4" w:rsidP="00EF0454">
      <w:pPr>
        <w:pStyle w:val="05-Textonormal"/>
        <w:rPr>
          <w:rFonts w:cs="Arial"/>
        </w:rPr>
      </w:pPr>
      <w:r w:rsidRPr="00772F19">
        <w:rPr>
          <w:rFonts w:cs="Arial"/>
        </w:rPr>
        <w:t xml:space="preserve">A </w:t>
      </w:r>
      <w:r>
        <w:rPr>
          <w:rFonts w:cs="Arial"/>
        </w:rPr>
        <w:t>R</w:t>
      </w:r>
      <w:r w:rsidRPr="00772F19">
        <w:rPr>
          <w:rFonts w:cs="Arial"/>
        </w:rPr>
        <w:t>evisão busca proporcionar um alívio prático aos locatários</w:t>
      </w:r>
      <w:r>
        <w:rPr>
          <w:rFonts w:cs="Arial"/>
        </w:rPr>
        <w:t xml:space="preserve"> de arrendamentos</w:t>
      </w:r>
      <w:r w:rsidRPr="00772F19">
        <w:rPr>
          <w:rFonts w:cs="Arial"/>
        </w:rPr>
        <w:t xml:space="preserve"> na contabilização das concessões de aluguel decorrentes da pandemia.</w:t>
      </w:r>
    </w:p>
    <w:p w14:paraId="1567A68E" w14:textId="77777777" w:rsidR="007D1BF4" w:rsidRDefault="007D1BF4" w:rsidP="0006676D">
      <w:pPr>
        <w:pStyle w:val="05-Textonormal"/>
        <w:rPr>
          <w:rFonts w:cs="Arial"/>
        </w:rPr>
      </w:pPr>
      <w:r>
        <w:rPr>
          <w:rFonts w:cs="Arial"/>
        </w:rPr>
        <w:t>Não houve impactos significativos para a BB Seguridade, inclusive no âmbito de suas controladas e demais investidas.</w:t>
      </w:r>
    </w:p>
    <w:p w14:paraId="446D56A0" w14:textId="77777777" w:rsidR="007D1BF4" w:rsidRDefault="007D1BF4" w:rsidP="00456B7B">
      <w:pPr>
        <w:pStyle w:val="05-Textonormal"/>
        <w:rPr>
          <w:rFonts w:cs="Arial"/>
        </w:rPr>
      </w:pPr>
      <w:r w:rsidRPr="00000CCA">
        <w:rPr>
          <w:rFonts w:cs="Arial"/>
          <w:b/>
          <w:color w:val="1F4E79" w:themeColor="accent1" w:themeShade="80"/>
        </w:rPr>
        <w:t>Revisão</w:t>
      </w:r>
      <w:r>
        <w:rPr>
          <w:rFonts w:cs="Arial"/>
          <w:b/>
          <w:color w:val="1F4E79" w:themeColor="accent1" w:themeShade="80"/>
        </w:rPr>
        <w:t xml:space="preserve"> n° 19/2021 </w:t>
      </w:r>
      <w:r w:rsidRPr="00000CCA">
        <w:rPr>
          <w:rFonts w:cs="Arial"/>
          <w:b/>
          <w:color w:val="1F4E79" w:themeColor="accent1" w:themeShade="80"/>
        </w:rPr>
        <w:t xml:space="preserve">de </w:t>
      </w:r>
      <w:r>
        <w:rPr>
          <w:rFonts w:cs="Arial"/>
          <w:b/>
          <w:color w:val="1F4E79" w:themeColor="accent1" w:themeShade="80"/>
        </w:rPr>
        <w:t>Pronunciamentos Técnicos do CPC</w:t>
      </w:r>
      <w:r>
        <w:rPr>
          <w:rFonts w:cs="Arial"/>
        </w:rPr>
        <w:t xml:space="preserve"> – E</w:t>
      </w:r>
      <w:r w:rsidRPr="00456B7B">
        <w:rPr>
          <w:rFonts w:cs="Arial"/>
        </w:rPr>
        <w:t xml:space="preserve">stabelece alterações </w:t>
      </w:r>
      <w:r>
        <w:rPr>
          <w:rFonts w:cs="Arial"/>
        </w:rPr>
        <w:t>nos</w:t>
      </w:r>
      <w:r w:rsidRPr="00456B7B">
        <w:rPr>
          <w:rFonts w:cs="Arial"/>
        </w:rPr>
        <w:t xml:space="preserve"> Pronunciamentos Técnicos</w:t>
      </w:r>
      <w:r>
        <w:rPr>
          <w:rFonts w:cs="Arial"/>
        </w:rPr>
        <w:t xml:space="preserve"> </w:t>
      </w:r>
      <w:r w:rsidRPr="00456B7B">
        <w:rPr>
          <w:rFonts w:cs="Arial"/>
        </w:rPr>
        <w:t>CPC 37</w:t>
      </w:r>
      <w:r>
        <w:rPr>
          <w:rFonts w:cs="Arial"/>
        </w:rPr>
        <w:t xml:space="preserve"> </w:t>
      </w:r>
      <w:r w:rsidRPr="00456B7B">
        <w:rPr>
          <w:rFonts w:cs="Arial"/>
        </w:rPr>
        <w:t>(R1)</w:t>
      </w:r>
      <w:r>
        <w:rPr>
          <w:rFonts w:cs="Arial"/>
        </w:rPr>
        <w:t xml:space="preserve"> [IFRS 1]</w:t>
      </w:r>
      <w:r w:rsidRPr="00456B7B">
        <w:rPr>
          <w:rFonts w:cs="Arial"/>
        </w:rPr>
        <w:t>,</w:t>
      </w:r>
      <w:r>
        <w:rPr>
          <w:rFonts w:cs="Arial"/>
        </w:rPr>
        <w:t xml:space="preserve"> </w:t>
      </w:r>
      <w:r w:rsidRPr="00456B7B">
        <w:rPr>
          <w:rFonts w:cs="Arial"/>
        </w:rPr>
        <w:t>CPC 48</w:t>
      </w:r>
      <w:r>
        <w:rPr>
          <w:rFonts w:cs="Arial"/>
        </w:rPr>
        <w:t xml:space="preserve"> [IFRS 9]</w:t>
      </w:r>
      <w:r w:rsidRPr="00456B7B">
        <w:rPr>
          <w:rFonts w:cs="Arial"/>
        </w:rPr>
        <w:t>, CPC 29</w:t>
      </w:r>
      <w:r>
        <w:rPr>
          <w:rFonts w:cs="Arial"/>
        </w:rPr>
        <w:t xml:space="preserve"> [IAS 41]</w:t>
      </w:r>
      <w:r w:rsidRPr="00456B7B">
        <w:rPr>
          <w:rFonts w:cs="Arial"/>
        </w:rPr>
        <w:t>, CPC 27</w:t>
      </w:r>
      <w:r>
        <w:rPr>
          <w:rFonts w:cs="Arial"/>
        </w:rPr>
        <w:t xml:space="preserve"> [IAS 16]</w:t>
      </w:r>
      <w:r w:rsidRPr="00456B7B">
        <w:rPr>
          <w:rFonts w:cs="Arial"/>
        </w:rPr>
        <w:t>, CPC 25</w:t>
      </w:r>
      <w:r>
        <w:rPr>
          <w:rFonts w:cs="Arial"/>
        </w:rPr>
        <w:t xml:space="preserve"> [IAS 37]</w:t>
      </w:r>
      <w:r w:rsidRPr="00456B7B">
        <w:rPr>
          <w:rFonts w:cs="Arial"/>
        </w:rPr>
        <w:t xml:space="preserve"> e</w:t>
      </w:r>
      <w:r>
        <w:rPr>
          <w:rFonts w:cs="Arial"/>
        </w:rPr>
        <w:t xml:space="preserve"> </w:t>
      </w:r>
      <w:r w:rsidRPr="00456B7B">
        <w:rPr>
          <w:rFonts w:cs="Arial"/>
        </w:rPr>
        <w:t>CPC 15 (R1)</w:t>
      </w:r>
      <w:r>
        <w:rPr>
          <w:rFonts w:cs="Arial"/>
        </w:rPr>
        <w:t xml:space="preserve"> [IFRS 3], </w:t>
      </w:r>
      <w:r w:rsidRPr="00456B7B">
        <w:rPr>
          <w:rFonts w:cs="Arial"/>
        </w:rPr>
        <w:t>em decorrência das alterações anuais relativas ao ciclo de melhorias 2018-2020</w:t>
      </w:r>
      <w:r>
        <w:rPr>
          <w:rFonts w:cs="Arial"/>
        </w:rPr>
        <w:t xml:space="preserve">, </w:t>
      </w:r>
      <w:r w:rsidRPr="00913652">
        <w:rPr>
          <w:rFonts w:cs="Arial"/>
        </w:rPr>
        <w:t>relacionados à ativo imobilizado – vendas antes do uso pretendido, contrato oneroso - custos de cumprimento de contrato e referências à Estrutura Conceitual.</w:t>
      </w:r>
    </w:p>
    <w:p w14:paraId="31A10514" w14:textId="77777777" w:rsidR="007D1BF4" w:rsidRDefault="007D1BF4" w:rsidP="00456B7B">
      <w:pPr>
        <w:pStyle w:val="05-Textonormal"/>
        <w:rPr>
          <w:rFonts w:cs="Arial"/>
        </w:rPr>
      </w:pPr>
      <w:r>
        <w:rPr>
          <w:rFonts w:cs="Arial"/>
        </w:rPr>
        <w:t xml:space="preserve">A Revisão tem como </w:t>
      </w:r>
      <w:r w:rsidRPr="00456B7B">
        <w:rPr>
          <w:rFonts w:cs="Arial"/>
        </w:rPr>
        <w:t xml:space="preserve">objetivo </w:t>
      </w:r>
      <w:r>
        <w:rPr>
          <w:rFonts w:cs="Arial"/>
        </w:rPr>
        <w:t>melhorar a</w:t>
      </w:r>
      <w:r w:rsidRPr="00456B7B">
        <w:rPr>
          <w:rFonts w:cs="Arial"/>
        </w:rPr>
        <w:t xml:space="preserve"> qualidade das</w:t>
      </w:r>
      <w:r>
        <w:rPr>
          <w:rFonts w:cs="Arial"/>
        </w:rPr>
        <w:t xml:space="preserve"> respectivas</w:t>
      </w:r>
      <w:r w:rsidRPr="00456B7B">
        <w:rPr>
          <w:rFonts w:cs="Arial"/>
        </w:rPr>
        <w:t xml:space="preserve"> normas para esclarecer orientações e</w:t>
      </w:r>
      <w:r>
        <w:rPr>
          <w:rFonts w:cs="Arial"/>
        </w:rPr>
        <w:t xml:space="preserve"> ajustes redacionais</w:t>
      </w:r>
      <w:r w:rsidRPr="00456B7B">
        <w:rPr>
          <w:rFonts w:cs="Arial"/>
        </w:rPr>
        <w:t>,</w:t>
      </w:r>
      <w:r>
        <w:rPr>
          <w:rFonts w:cs="Arial"/>
        </w:rPr>
        <w:t xml:space="preserve"> que possam gerar</w:t>
      </w:r>
      <w:r w:rsidRPr="00456B7B">
        <w:rPr>
          <w:rFonts w:cs="Arial"/>
        </w:rPr>
        <w:t xml:space="preserve"> </w:t>
      </w:r>
      <w:r>
        <w:rPr>
          <w:rFonts w:cs="Arial"/>
        </w:rPr>
        <w:t>divergências de interpretações.</w:t>
      </w:r>
    </w:p>
    <w:p w14:paraId="094C98A6" w14:textId="77777777" w:rsidR="007D1BF4" w:rsidRDefault="007D1BF4" w:rsidP="00456B7B">
      <w:pPr>
        <w:pStyle w:val="05-Textonormal"/>
        <w:rPr>
          <w:rFonts w:cs="Arial"/>
        </w:rPr>
      </w:pPr>
      <w:r w:rsidRPr="00913652">
        <w:rPr>
          <w:rFonts w:cs="Arial"/>
        </w:rPr>
        <w:t>A</w:t>
      </w:r>
      <w:r>
        <w:rPr>
          <w:rFonts w:cs="Arial"/>
        </w:rPr>
        <w:t xml:space="preserve"> </w:t>
      </w:r>
      <w:r w:rsidRPr="00456B7B">
        <w:rPr>
          <w:rFonts w:cs="Arial"/>
        </w:rPr>
        <w:t>vigência dessas alterações deve ser estabelecida pelos órgãos reguladores que o aprovarem, sendo que,</w:t>
      </w:r>
      <w:r>
        <w:rPr>
          <w:rFonts w:cs="Arial"/>
        </w:rPr>
        <w:t xml:space="preserve"> </w:t>
      </w:r>
      <w:r w:rsidRPr="00456B7B">
        <w:rPr>
          <w:rFonts w:cs="Arial"/>
        </w:rPr>
        <w:t>para o pleno atendimento às normas internacionais</w:t>
      </w:r>
      <w:r>
        <w:rPr>
          <w:rFonts w:cs="Arial"/>
        </w:rPr>
        <w:t xml:space="preserve"> </w:t>
      </w:r>
      <w:r w:rsidRPr="00456B7B">
        <w:rPr>
          <w:rFonts w:cs="Arial"/>
        </w:rPr>
        <w:t>de</w:t>
      </w:r>
      <w:r>
        <w:rPr>
          <w:rFonts w:cs="Arial"/>
        </w:rPr>
        <w:t xml:space="preserve"> </w:t>
      </w:r>
      <w:r w:rsidRPr="00456B7B">
        <w:rPr>
          <w:rFonts w:cs="Arial"/>
        </w:rPr>
        <w:t>contabilidade, a entidade deve aplicar essas alterações nos períodos anuais com início em, ou após, 1º de janeiro de 2022.</w:t>
      </w:r>
    </w:p>
    <w:p w14:paraId="5A88DD9D" w14:textId="1FD1B7E0" w:rsidR="007D1BF4" w:rsidRDefault="007D1BF4" w:rsidP="00456B7B">
      <w:pPr>
        <w:pStyle w:val="05-Textonormal"/>
        <w:rPr>
          <w:rFonts w:cs="Arial"/>
        </w:rPr>
      </w:pPr>
      <w:r>
        <w:rPr>
          <w:rFonts w:cs="Arial"/>
        </w:rPr>
        <w:t>Não são esperados impactos significativos para a BB Seguridade, inclusive no âmbito de suas controladas e demais investidas.</w:t>
      </w:r>
    </w:p>
    <w:p w14:paraId="4B87D73A" w14:textId="77777777" w:rsidR="007D1BF4" w:rsidRDefault="007D1BF4" w:rsidP="00456B7B">
      <w:pPr>
        <w:pStyle w:val="05-Textonormal"/>
        <w:rPr>
          <w:rFonts w:cs="Arial"/>
        </w:rPr>
      </w:pPr>
    </w:p>
    <w:p w14:paraId="7D73A769" w14:textId="4A09E9EF" w:rsidR="007D1BF4" w:rsidRPr="00247039" w:rsidRDefault="007D1BF4" w:rsidP="00247039">
      <w:pPr>
        <w:pStyle w:val="02-TtulodeNota"/>
        <w:keepNext/>
        <w:keepLines/>
        <w:pageBreakBefore/>
        <w:rPr>
          <w:color w:val="1F4E79" w:themeColor="accent1" w:themeShade="80"/>
        </w:rPr>
      </w:pPr>
      <w:bookmarkStart w:id="41" w:name="_Toc94861063"/>
      <w:r w:rsidRPr="00247039">
        <w:rPr>
          <w:color w:val="1F4E79" w:themeColor="accent1" w:themeShade="80"/>
        </w:rPr>
        <w:lastRenderedPageBreak/>
        <w:t>5 – GERENCIAMENTO DE RISCOS</w:t>
      </w:r>
      <w:bookmarkEnd w:id="41"/>
    </w:p>
    <w:p w14:paraId="58EA700A" w14:textId="77777777" w:rsidR="007D1BF4" w:rsidRDefault="007D1BF4" w:rsidP="00454A91">
      <w:pPr>
        <w:pStyle w:val="05-Textonormal"/>
      </w:pPr>
      <w:r>
        <w:t xml:space="preserve">O gerenciamento de riscos na BB Seguridade segue as diretrizes estabelecidas em sua Política de Gerenciamento de Riscos, Controles Internos e Conformidade, aprovada pelo Conselho de Administração e divulgada ao mercado por meio do website de Relações com Investidores (RI), acessível em www.bbseguridaderi.com.br. </w:t>
      </w:r>
    </w:p>
    <w:p w14:paraId="34D90414" w14:textId="77777777" w:rsidR="007D1BF4" w:rsidRDefault="007D1BF4" w:rsidP="00454A91">
      <w:pPr>
        <w:pStyle w:val="05-Textonormal"/>
      </w:pPr>
      <w:r>
        <w:t xml:space="preserve">Por entender que a </w:t>
      </w:r>
      <w:r w:rsidRPr="00745ACC">
        <w:t>exposição a riscos do Grupo também se origina de suas participações, a Política de Gerenciamento de Riscos, Controles Internos e Conformidade contempla duas dimensões</w:t>
      </w:r>
      <w:r>
        <w:t xml:space="preserve"> para o gerenciamento de seus riscos: gestão de riscos (riscos provenientes da operação da BB Seguridade e suas controladas) e governança de riscos (riscos advindos da participação nas sociedades investidas).</w:t>
      </w:r>
    </w:p>
    <w:p w14:paraId="047E41F2" w14:textId="77777777" w:rsidR="007D1BF4" w:rsidRDefault="007D1BF4" w:rsidP="00454A91">
      <w:pPr>
        <w:pStyle w:val="05-Textonormal"/>
      </w:pPr>
      <w:r>
        <w:t xml:space="preserve">Por meio de sua Declaração de Apetite a Riscos, aprovada pelo Conselho de Administração, o Grupo define os níveis máximos de riscos que aceita incorrer para o cumprimento de seus objetivos. </w:t>
      </w:r>
    </w:p>
    <w:p w14:paraId="7AB489BF" w14:textId="77777777" w:rsidR="007D1BF4" w:rsidRDefault="007D1BF4" w:rsidP="1A586056">
      <w:pPr>
        <w:pStyle w:val="05-Textonormal"/>
      </w:pPr>
      <w:r>
        <w:t xml:space="preserve">O processo de gerenciamento de riscos da BB Seguridade é composto pelas etapas de estabelecimento de contexto, identificação, análise, avaliação, tratamento, monitoramento, comunicação e consulta dos riscos e aprimoramento contínuo. Esse processo está documentado internamente por meio do Modelo de Gerenciamento de Riscos, Controles Internos e Conformidade do Grupo. </w:t>
      </w:r>
    </w:p>
    <w:p w14:paraId="7B15645C" w14:textId="77777777" w:rsidR="007D1BF4" w:rsidRDefault="007D1BF4" w:rsidP="00454A91">
      <w:pPr>
        <w:pStyle w:val="05-Textonormal"/>
      </w:pPr>
      <w:r>
        <w:t xml:space="preserve">No final de 2021, a Superintendência de Riscos e Controles foi segregada em duas: Superintendência de Gestão de Riscos e de Capital e Superintendência </w:t>
      </w:r>
      <w:r w:rsidRPr="00EE5BB0">
        <w:t>de Gestão</w:t>
      </w:r>
      <w:r>
        <w:t xml:space="preserve"> de Controles Internos e Integridade. A primeira é responsável por fornecer fundamentos e suporte à execução do processo de gerenciamento de riscos; a segunda, é responsável pelos controles internos, conformidade e Programa de Integridade. Ambas atuam, também, na governança de riscos e controles respectivamente, nas demais sociedades em que a Companhia detém participações. Para que isso funcione adequadamente, as áreas são segregadas das áreas de negócio e da Auditoria Interna.  </w:t>
      </w:r>
    </w:p>
    <w:p w14:paraId="7EB826E9" w14:textId="77777777" w:rsidR="007D1BF4" w:rsidRPr="00876F8F" w:rsidRDefault="007D1BF4" w:rsidP="00454A91">
      <w:pPr>
        <w:pStyle w:val="05-Textonormal"/>
      </w:pPr>
    </w:p>
    <w:p w14:paraId="79B9C4D5" w14:textId="77777777" w:rsidR="007D1BF4" w:rsidRPr="006A49AA" w:rsidRDefault="007D1BF4" w:rsidP="006A49AA">
      <w:pPr>
        <w:pStyle w:val="05-Textonormal"/>
        <w:rPr>
          <w:b/>
          <w:color w:val="1F4E79" w:themeColor="accent1" w:themeShade="80"/>
        </w:rPr>
      </w:pPr>
      <w:r w:rsidRPr="006A49AA">
        <w:rPr>
          <w:b/>
          <w:color w:val="1F4E79" w:themeColor="accent1" w:themeShade="80"/>
        </w:rPr>
        <w:t>a) Gestão de Riscos na BB Seguridade e suas sociedades controladas</w:t>
      </w:r>
    </w:p>
    <w:p w14:paraId="66C119E2" w14:textId="77777777" w:rsidR="007D1BF4" w:rsidRDefault="007D1BF4" w:rsidP="00454A91">
      <w:pPr>
        <w:pStyle w:val="05-Textonormal"/>
      </w:pPr>
      <w:r>
        <w:t>A gestão de riscos da BB Seguridade, conforme definido em sua Política de Gerenciamento de Riscos, Controles Internos e Conformidade,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Gestão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190AF2B5" w14:textId="77777777" w:rsidR="007D1BF4" w:rsidRPr="005F2021" w:rsidRDefault="007D1BF4" w:rsidP="00454A91">
      <w:pPr>
        <w:pStyle w:val="05-Textonormal"/>
      </w:pPr>
      <w:r>
        <w:t>Os mecanismos e instrumentos para o gerenciamento</w:t>
      </w:r>
      <w:r w:rsidRPr="005F2021">
        <w:t xml:space="preserve"> de riscos contempla</w:t>
      </w:r>
      <w:r>
        <w:t>m ainda</w:t>
      </w:r>
      <w:r w:rsidRPr="005F2021">
        <w:t>, entre outros aspectos: segregação de funções; decisões colegiadas;</w:t>
      </w:r>
      <w:r>
        <w:t xml:space="preserve"> </w:t>
      </w:r>
      <w:r w:rsidRPr="005F2021">
        <w:t>Política de Segurança da Informação</w:t>
      </w:r>
      <w:r>
        <w:t>;</w:t>
      </w:r>
      <w:r w:rsidRPr="005F2021">
        <w:t xml:space="preserve"> Política de Prevenção </w:t>
      </w:r>
      <w:r>
        <w:t>e Combate à Lavagem de Dinheiro e</w:t>
      </w:r>
      <w:r w:rsidRPr="005F2021">
        <w:t xml:space="preserve"> ao Financiamento do Terrorismo</w:t>
      </w:r>
      <w:r>
        <w:t xml:space="preserve">; Política de Prevenção e Combate </w:t>
      </w:r>
      <w:r w:rsidRPr="005F2021">
        <w:t>à Corrupção</w:t>
      </w:r>
      <w:r>
        <w:t>;</w:t>
      </w:r>
      <w:r w:rsidRPr="005F2021">
        <w:t xml:space="preserve"> Código de Ética e Conduta</w:t>
      </w:r>
      <w:r>
        <w:t>;</w:t>
      </w:r>
      <w:r w:rsidRPr="005F2021">
        <w:t xml:space="preserve"> e um Programa de Integridade </w:t>
      </w:r>
      <w:r>
        <w:t>alinhado à</w:t>
      </w:r>
      <w:r w:rsidRPr="005F2021">
        <w:t xml:space="preserve"> Lei 12.846/2013 (Lei Anticorrupção) e ao Decreto 8.420/2015</w:t>
      </w:r>
      <w:r>
        <w:t xml:space="preserve"> (</w:t>
      </w:r>
      <w:r w:rsidRPr="005F2021">
        <w:t>documentos divulgados internamente e também a mercado</w:t>
      </w:r>
      <w:r>
        <w:t xml:space="preserve"> por meio do website de RI); </w:t>
      </w:r>
      <w:r w:rsidRPr="005F2021">
        <w:t xml:space="preserve">normatizações internas de </w:t>
      </w:r>
      <w:r>
        <w:t xml:space="preserve">gerenciamento </w:t>
      </w:r>
      <w:r w:rsidRPr="005F2021">
        <w:t>de riscos</w:t>
      </w:r>
      <w:r>
        <w:t>,</w:t>
      </w:r>
      <w:r w:rsidRPr="005F2021">
        <w:t xml:space="preserve"> controles</w:t>
      </w:r>
      <w:r>
        <w:t xml:space="preserve"> internos e conformidade; e programa de comunicação interna a respeito do gerenciamento de riscos, controles internos e conformidade, promovendo de forma contínua o aculturamento de todo o Grupo nesses temas.</w:t>
      </w:r>
    </w:p>
    <w:p w14:paraId="540DCA0B" w14:textId="77777777" w:rsidR="007D1BF4" w:rsidRDefault="007D1BF4" w:rsidP="00454A91">
      <w:pPr>
        <w:pStyle w:val="05-Textonormal"/>
      </w:pPr>
      <w:r w:rsidRPr="005F2021">
        <w:t xml:space="preserve">A </w:t>
      </w:r>
      <w:r>
        <w:t>Diretoria Colegiada</w:t>
      </w:r>
      <w:r w:rsidRPr="005F2021">
        <w:t xml:space="preserve"> </w:t>
      </w:r>
      <w:r>
        <w:t xml:space="preserve">conta com </w:t>
      </w:r>
      <w:r w:rsidRPr="005F2021">
        <w:t xml:space="preserve">o Comitê </w:t>
      </w:r>
      <w:r>
        <w:t>de Finanças e Investimentos</w:t>
      </w:r>
      <w:r w:rsidRPr="005F2021">
        <w:t xml:space="preserve"> </w:t>
      </w:r>
      <w:r>
        <w:t>para assessoramento em</w:t>
      </w:r>
      <w:r w:rsidRPr="005F2021">
        <w:t xml:space="preserve"> questões re</w:t>
      </w:r>
      <w:r>
        <w:t xml:space="preserve">lativas à gestão e ao controle </w:t>
      </w:r>
      <w:r w:rsidRPr="005F2021">
        <w:t xml:space="preserve">dos riscos </w:t>
      </w:r>
      <w:r>
        <w:t>de</w:t>
      </w:r>
      <w:r w:rsidRPr="005F2021">
        <w:t xml:space="preserve"> investimentos </w:t>
      </w:r>
      <w:r>
        <w:t xml:space="preserve">em ativos </w:t>
      </w:r>
      <w:r w:rsidRPr="005F2021">
        <w:t xml:space="preserve">financeiros </w:t>
      </w:r>
      <w:r>
        <w:t>do Grupo</w:t>
      </w:r>
      <w:r w:rsidRPr="005F2021">
        <w:t xml:space="preserve"> e de suas controladas</w:t>
      </w:r>
      <w:r>
        <w:t xml:space="preserve"> e com o Comitê de Gestão de Continuidade e Crise, que assessora na avaliação e mitigação de riscos de descontinuidade, incidentes ou crises.</w:t>
      </w:r>
    </w:p>
    <w:p w14:paraId="300CDBFE" w14:textId="77777777" w:rsidR="007D1BF4" w:rsidRDefault="007D1BF4" w:rsidP="00454A91">
      <w:pPr>
        <w:pStyle w:val="05-Textonormal"/>
      </w:pPr>
      <w:r>
        <w:t>Compõe ainda a</w:t>
      </w:r>
      <w:r w:rsidRPr="005F2021">
        <w:t xml:space="preserve"> estrutura de governança da BB Seguridade o Comitê de Auditoria, órgão estatutário de assessoramento ao Conselho de Administração, a quem compete</w:t>
      </w:r>
      <w:r>
        <w:t xml:space="preserve">, dentre outras atribuições, </w:t>
      </w:r>
      <w:r w:rsidRPr="005F2021">
        <w:rPr>
          <w:rFonts w:cs="Arial"/>
        </w:rPr>
        <w:t>avaliar e monitorar as exposições a riscos d</w:t>
      </w:r>
      <w:r>
        <w:rPr>
          <w:rFonts w:cs="Arial"/>
        </w:rPr>
        <w:t>o Grupo</w:t>
      </w:r>
      <w:r w:rsidRPr="005F2021">
        <w:rPr>
          <w:rFonts w:cs="Arial"/>
        </w:rPr>
        <w:t>.</w:t>
      </w:r>
    </w:p>
    <w:p w14:paraId="78606A80" w14:textId="77777777" w:rsidR="007D1BF4" w:rsidRDefault="007D1BF4" w:rsidP="00454A91">
      <w:pPr>
        <w:pStyle w:val="05-Textonormal"/>
      </w:pPr>
      <w:r w:rsidRPr="005F2021">
        <w:t xml:space="preserve">Informações relacionadas à gestão de riscos são reportadas periodicamente à Diretoria Colegiada e ao Conselho de Administração </w:t>
      </w:r>
      <w:r>
        <w:t xml:space="preserve">(discutidas no Comitê de Auditoria) </w:t>
      </w:r>
      <w:r w:rsidRPr="005F2021">
        <w:t>e também levadas a</w:t>
      </w:r>
      <w:r>
        <w:t>o</w:t>
      </w:r>
      <w:r w:rsidRPr="005F2021">
        <w:t xml:space="preserve"> conhecimento do Conselho Fiscal.</w:t>
      </w:r>
    </w:p>
    <w:p w14:paraId="25E2986D" w14:textId="77777777" w:rsidR="007D1BF4" w:rsidRPr="006A49AA" w:rsidRDefault="007D1BF4" w:rsidP="006A49AA">
      <w:pPr>
        <w:pStyle w:val="05-Textonormal"/>
        <w:rPr>
          <w:b/>
          <w:color w:val="1F4E79" w:themeColor="accent1" w:themeShade="80"/>
        </w:rPr>
      </w:pPr>
      <w:r w:rsidRPr="006A49AA">
        <w:rPr>
          <w:b/>
          <w:color w:val="1F4E79" w:themeColor="accent1" w:themeShade="80"/>
        </w:rPr>
        <w:t>a.1) Riscos associados aos investimentos em ativos financeiros</w:t>
      </w:r>
    </w:p>
    <w:p w14:paraId="00FE650B" w14:textId="77777777" w:rsidR="007D1BF4" w:rsidRPr="005F2021" w:rsidRDefault="007D1BF4" w:rsidP="00454A91">
      <w:pPr>
        <w:pStyle w:val="05-Textonormal"/>
      </w:pPr>
      <w:r>
        <w:t>O Grupo</w:t>
      </w:r>
      <w:r w:rsidRPr="005F2021">
        <w:t xml:space="preserve"> possui</w:t>
      </w:r>
      <w:r>
        <w:t xml:space="preserve"> </w:t>
      </w:r>
      <w:r w:rsidRPr="005F2021">
        <w:t xml:space="preserve">Política de Investimentos Financeiros, aprovada pelo Conselho de Administração e aplicável </w:t>
      </w:r>
      <w:r>
        <w:t>a todas as companhias do Grupo atualizada em 2021</w:t>
      </w:r>
      <w:r w:rsidRPr="005F2021">
        <w:t xml:space="preserve">, </w:t>
      </w:r>
      <w:r>
        <w:t>na qual</w:t>
      </w:r>
      <w:r w:rsidRPr="005F2021">
        <w:t xml:space="preserve"> estão estabelecidos os critérios referentes à natureza, ao prazo e aos riscos aceitáveis para alocação </w:t>
      </w:r>
      <w:r>
        <w:t>em ativos</w:t>
      </w:r>
      <w:r w:rsidRPr="005F2021">
        <w:t xml:space="preserve"> financeiros. </w:t>
      </w:r>
      <w:bookmarkStart w:id="42" w:name="_Hlk94019600"/>
      <w:r w:rsidRPr="005F2021">
        <w:t xml:space="preserve">A </w:t>
      </w:r>
      <w:r>
        <w:t>p</w:t>
      </w:r>
      <w:r w:rsidRPr="005F2021">
        <w:t xml:space="preserve">olítica vigente permite a aplicação de recursos apenas em </w:t>
      </w:r>
      <w:r>
        <w:t>títulos públicos federais e fundos de investimentos extra mercado.</w:t>
      </w:r>
      <w:bookmarkEnd w:id="42"/>
    </w:p>
    <w:p w14:paraId="3A770980" w14:textId="77777777" w:rsidR="007D1BF4" w:rsidRDefault="007D1BF4" w:rsidP="00454A91">
      <w:pPr>
        <w:pStyle w:val="05-Textonormal"/>
      </w:pPr>
      <w:r>
        <w:t xml:space="preserve">Os investimentos em ativos financeiros da BB Seguridade e suas controladas, classificados como equivalentes de caixa, </w:t>
      </w:r>
      <w:r w:rsidRPr="005F2021">
        <w:t xml:space="preserve">estão </w:t>
      </w:r>
      <w:r w:rsidRPr="002212D4">
        <w:t>concentrados em operações compromissadas lastreadas em títulos públicos federais</w:t>
      </w:r>
      <w:r w:rsidRPr="00BF40D0">
        <w:t xml:space="preserve"> (Nota </w:t>
      </w:r>
      <w:r>
        <w:t>15</w:t>
      </w:r>
      <w:r w:rsidRPr="00BF40D0">
        <w:t xml:space="preserve">). Os demais investimentos em ativos classificados como instrumentos financeiros estão aplicados em fundo de investimento de longo prazo e em letras financeiras (Nota </w:t>
      </w:r>
      <w:r>
        <w:t>16</w:t>
      </w:r>
      <w:r w:rsidRPr="00BF40D0">
        <w:t>).</w:t>
      </w:r>
    </w:p>
    <w:p w14:paraId="03B43751" w14:textId="77777777" w:rsidR="007D1BF4" w:rsidRDefault="007D1BF4" w:rsidP="00454A91">
      <w:pPr>
        <w:pStyle w:val="05-Textonormal"/>
      </w:pPr>
    </w:p>
    <w:p w14:paraId="33BAC5C4" w14:textId="77777777" w:rsidR="007D1BF4" w:rsidRPr="006A49AA" w:rsidRDefault="007D1BF4" w:rsidP="1A586056">
      <w:pPr>
        <w:pStyle w:val="05-Textonormal"/>
        <w:rPr>
          <w:b/>
          <w:bCs/>
          <w:color w:val="1F4E79" w:themeColor="accent1" w:themeShade="80"/>
        </w:rPr>
      </w:pPr>
      <w:r w:rsidRPr="2BE5836A">
        <w:rPr>
          <w:b/>
          <w:bCs/>
          <w:color w:val="1F4E79" w:themeColor="accent1" w:themeShade="80"/>
        </w:rPr>
        <w:t>a.2) Risco de mercado</w:t>
      </w:r>
    </w:p>
    <w:p w14:paraId="1F41B18B" w14:textId="77777777" w:rsidR="007D1BF4" w:rsidRPr="00454A91" w:rsidRDefault="007D1BF4" w:rsidP="00454A91">
      <w:pPr>
        <w:pStyle w:val="05-Textonormal"/>
      </w:pPr>
      <w: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último inventário de Riscos Relevantes e considerando a Política de Investimentos Financeiros e atual carteira, o risco não é considerado relevante.</w:t>
      </w:r>
    </w:p>
    <w:p w14:paraId="3644E3F5" w14:textId="77777777" w:rsidR="007D1BF4" w:rsidRPr="00454A91" w:rsidRDefault="007D1BF4" w:rsidP="2BE5836A">
      <w:pPr>
        <w:pStyle w:val="05-Textonormal"/>
      </w:pPr>
      <w:r>
        <w:t xml:space="preserve">A gestão do risco de mercado é executada com base na Política de Investimentos Financeiros, que define os ativos que podem ou não compor os investimentos em ativos financeiros e o limite de </w:t>
      </w:r>
      <w:r w:rsidRPr="2BE5836A">
        <w:rPr>
          <w:i/>
          <w:iCs/>
        </w:rPr>
        <w:t>VaR</w:t>
      </w:r>
      <w:r>
        <w:t xml:space="preserve"> (</w:t>
      </w:r>
      <w:r w:rsidRPr="2BE5836A">
        <w:rPr>
          <w:i/>
          <w:iCs/>
        </w:rPr>
        <w:t>Value at Risk</w:t>
      </w:r>
      <w:r>
        <w:t>), calculado para horizonte de 21 dias úteis, com a volatilidade da carteira estimada por meio do modelo de média móvel exponencial (</w:t>
      </w:r>
      <w:r w:rsidRPr="2BE5836A">
        <w:rPr>
          <w:i/>
          <w:iCs/>
        </w:rPr>
        <w:t>EWMA</w:t>
      </w:r>
      <w:r>
        <w:t xml:space="preserve">) e nível de confiança de 95%. O indicador é monitorado pelo Comitê de Finanças e Investimentos e pela Diretoria Colegiada. </w:t>
      </w:r>
    </w:p>
    <w:p w14:paraId="0BEA0C44" w14:textId="77777777" w:rsidR="007D1BF4" w:rsidRDefault="007D1BF4" w:rsidP="00454A91">
      <w:pPr>
        <w:pStyle w:val="01-TtulodeNota"/>
        <w:jc w:val="left"/>
        <w:rPr>
          <w:color w:val="1F4E79" w:themeColor="accent1" w:themeShade="80"/>
        </w:rPr>
      </w:pPr>
    </w:p>
    <w:p w14:paraId="2CE55383" w14:textId="77777777" w:rsidR="007D1BF4" w:rsidRPr="006A49AA" w:rsidRDefault="007D1BF4" w:rsidP="006A49AA">
      <w:pPr>
        <w:pStyle w:val="05-Textonormal"/>
        <w:rPr>
          <w:b/>
          <w:color w:val="1F4E79" w:themeColor="accent1" w:themeShade="80"/>
        </w:rPr>
      </w:pPr>
      <w:r w:rsidRPr="006A49AA">
        <w:rPr>
          <w:b/>
          <w:color w:val="1F4E79" w:themeColor="accent1" w:themeShade="80"/>
        </w:rPr>
        <w:t>Exposição ao risco de mercado nos investimentos em ativos financeiros</w:t>
      </w:r>
    </w:p>
    <w:p w14:paraId="74C19504" w14:textId="77777777" w:rsidR="007D1BF4" w:rsidRPr="00126179" w:rsidRDefault="007D1BF4" w:rsidP="00126179">
      <w:pPr>
        <w:pStyle w:val="06-Rmil"/>
      </w:pPr>
      <w:r w:rsidRPr="005F2021">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7D1BF4" w:rsidRPr="00454A91" w14:paraId="319E40E3" w14:textId="77777777" w:rsidTr="003004EB">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417E9EC8" w14:textId="77777777" w:rsidR="007D1BF4" w:rsidRPr="00454A91" w:rsidRDefault="007D1BF4" w:rsidP="0041179D">
            <w:pPr>
              <w:jc w:val="center"/>
              <w:rPr>
                <w:rFonts w:cs="Arial"/>
                <w:szCs w:val="18"/>
              </w:rPr>
            </w:pPr>
            <w:r w:rsidRPr="00454A91">
              <w:rPr>
                <w:rFonts w:cs="Arial"/>
                <w:sz w:val="14"/>
                <w:szCs w:val="18"/>
              </w:rPr>
              <w:t>Impacto na carteira</w:t>
            </w:r>
          </w:p>
        </w:tc>
      </w:tr>
      <w:tr w:rsidR="007D1BF4" w:rsidRPr="00454A91" w14:paraId="793CCDF2" w14:textId="77777777" w:rsidTr="003004E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1F2C2354" w14:textId="77777777" w:rsidR="007D1BF4" w:rsidRPr="00454A91" w:rsidRDefault="007D1BF4" w:rsidP="0041179D">
            <w:pPr>
              <w:jc w:val="center"/>
              <w:rPr>
                <w:rFonts w:cs="Arial"/>
                <w:szCs w:val="18"/>
              </w:rPr>
            </w:pPr>
          </w:p>
        </w:tc>
        <w:tc>
          <w:tcPr>
            <w:tcW w:w="353" w:type="dxa"/>
            <w:tcBorders>
              <w:top w:val="single" w:sz="2" w:space="0" w:color="1F4E79" w:themeColor="accent1" w:themeShade="80"/>
              <w:bottom w:val="nil"/>
            </w:tcBorders>
            <w:shd w:val="clear" w:color="auto" w:fill="auto"/>
          </w:tcPr>
          <w:p w14:paraId="7B53FF57" w14:textId="77777777" w:rsidR="007D1BF4" w:rsidRPr="00454A91" w:rsidRDefault="007D1BF4" w:rsidP="0041179D">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6077A4CA" w14:textId="77777777" w:rsidR="007D1BF4" w:rsidRPr="00454A91" w:rsidRDefault="007D1BF4" w:rsidP="0041179D">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454A91">
              <w:rPr>
                <w:rFonts w:cs="Arial"/>
                <w:b/>
                <w:sz w:val="14"/>
                <w:szCs w:val="18"/>
              </w:rPr>
              <w:t>Controlador</w:t>
            </w:r>
          </w:p>
        </w:tc>
        <w:tc>
          <w:tcPr>
            <w:tcW w:w="242" w:type="dxa"/>
            <w:tcBorders>
              <w:top w:val="single" w:sz="2" w:space="0" w:color="1F4E79" w:themeColor="accent1" w:themeShade="80"/>
              <w:bottom w:val="nil"/>
            </w:tcBorders>
            <w:shd w:val="clear" w:color="auto" w:fill="auto"/>
          </w:tcPr>
          <w:p w14:paraId="68F9C0B5" w14:textId="77777777" w:rsidR="007D1BF4" w:rsidRPr="00454A91" w:rsidRDefault="007D1BF4" w:rsidP="0041179D">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5062CC19" w14:textId="77777777" w:rsidR="007D1BF4" w:rsidRPr="00454A91" w:rsidRDefault="007D1BF4" w:rsidP="0041179D">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454A91">
              <w:rPr>
                <w:rFonts w:cs="Arial"/>
                <w:b/>
                <w:sz w:val="14"/>
                <w:szCs w:val="18"/>
              </w:rPr>
              <w:t>Consolidado</w:t>
            </w:r>
          </w:p>
        </w:tc>
      </w:tr>
      <w:tr w:rsidR="007D1BF4" w:rsidRPr="001D6BE8" w14:paraId="619AD1E8" w14:textId="77777777" w:rsidTr="00673B9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2CB5A836" w14:textId="77777777" w:rsidR="007D1BF4" w:rsidRPr="001D6BE8" w:rsidRDefault="007D1BF4" w:rsidP="0041179D">
            <w:pPr>
              <w:pStyle w:val="08-Tabelageral"/>
              <w:jc w:val="left"/>
              <w:rPr>
                <w:rFonts w:cs="Arial"/>
                <w:b w:val="0"/>
              </w:rPr>
            </w:pPr>
          </w:p>
        </w:tc>
        <w:tc>
          <w:tcPr>
            <w:tcW w:w="353" w:type="dxa"/>
            <w:tcBorders>
              <w:top w:val="nil"/>
              <w:bottom w:val="nil"/>
            </w:tcBorders>
            <w:shd w:val="clear" w:color="auto" w:fill="auto"/>
          </w:tcPr>
          <w:p w14:paraId="5002FDA7" w14:textId="77777777" w:rsidR="007D1BF4" w:rsidRPr="001D6BE8" w:rsidRDefault="007D1BF4" w:rsidP="0041179D">
            <w:pPr>
              <w:pStyle w:val="08-Tabelageral"/>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60" w:type="dxa"/>
            <w:tcBorders>
              <w:top w:val="single" w:sz="2" w:space="0" w:color="1F4E79" w:themeColor="accent1" w:themeShade="80"/>
              <w:bottom w:val="nil"/>
            </w:tcBorders>
            <w:shd w:val="clear" w:color="auto" w:fill="auto"/>
            <w:vAlign w:val="center"/>
          </w:tcPr>
          <w:p w14:paraId="1DC9C7F0" w14:textId="77777777" w:rsidR="007D1BF4" w:rsidRPr="001D6BE8" w:rsidRDefault="007D1BF4" w:rsidP="005D1122">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31.12.2021</w:t>
            </w:r>
          </w:p>
        </w:tc>
        <w:tc>
          <w:tcPr>
            <w:tcW w:w="630" w:type="dxa"/>
            <w:tcBorders>
              <w:top w:val="single" w:sz="2" w:space="0" w:color="1F4E79" w:themeColor="accent1" w:themeShade="80"/>
              <w:bottom w:val="nil"/>
            </w:tcBorders>
            <w:shd w:val="clear" w:color="auto" w:fill="auto"/>
            <w:vAlign w:val="center"/>
          </w:tcPr>
          <w:p w14:paraId="6107F49D"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w:t>
            </w:r>
          </w:p>
        </w:tc>
        <w:tc>
          <w:tcPr>
            <w:tcW w:w="1418" w:type="dxa"/>
            <w:tcBorders>
              <w:top w:val="single" w:sz="2" w:space="0" w:color="1F4E79" w:themeColor="accent1" w:themeShade="80"/>
              <w:bottom w:val="nil"/>
            </w:tcBorders>
            <w:shd w:val="clear" w:color="auto" w:fill="auto"/>
            <w:vAlign w:val="center"/>
          </w:tcPr>
          <w:p w14:paraId="09400E3E" w14:textId="77777777" w:rsidR="007D1BF4" w:rsidRPr="00C806B0"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b/>
              </w:rPr>
              <w:t>31.12.2020</w:t>
            </w:r>
          </w:p>
        </w:tc>
        <w:tc>
          <w:tcPr>
            <w:tcW w:w="579" w:type="dxa"/>
            <w:tcBorders>
              <w:top w:val="single" w:sz="2" w:space="0" w:color="1F4E79" w:themeColor="accent1" w:themeShade="80"/>
              <w:bottom w:val="nil"/>
            </w:tcBorders>
            <w:shd w:val="clear" w:color="auto" w:fill="auto"/>
            <w:vAlign w:val="center"/>
          </w:tcPr>
          <w:p w14:paraId="796F26E1"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w:t>
            </w:r>
          </w:p>
        </w:tc>
        <w:tc>
          <w:tcPr>
            <w:tcW w:w="242" w:type="dxa"/>
            <w:tcBorders>
              <w:top w:val="nil"/>
              <w:bottom w:val="nil"/>
            </w:tcBorders>
            <w:shd w:val="clear" w:color="auto" w:fill="auto"/>
            <w:vAlign w:val="center"/>
          </w:tcPr>
          <w:p w14:paraId="38337515"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63" w:type="dxa"/>
            <w:tcBorders>
              <w:top w:val="single" w:sz="2" w:space="0" w:color="1F4E79" w:themeColor="accent1" w:themeShade="80"/>
              <w:bottom w:val="nil"/>
            </w:tcBorders>
            <w:shd w:val="clear" w:color="auto" w:fill="auto"/>
            <w:vAlign w:val="center"/>
          </w:tcPr>
          <w:p w14:paraId="291F7D79"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31.12.2021</w:t>
            </w:r>
          </w:p>
        </w:tc>
        <w:tc>
          <w:tcPr>
            <w:tcW w:w="709" w:type="dxa"/>
            <w:tcBorders>
              <w:top w:val="single" w:sz="2" w:space="0" w:color="1F4E79" w:themeColor="accent1" w:themeShade="80"/>
              <w:bottom w:val="nil"/>
            </w:tcBorders>
            <w:shd w:val="clear" w:color="auto" w:fill="auto"/>
            <w:vAlign w:val="center"/>
          </w:tcPr>
          <w:p w14:paraId="381D5270"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w:t>
            </w:r>
          </w:p>
        </w:tc>
        <w:tc>
          <w:tcPr>
            <w:tcW w:w="1417" w:type="dxa"/>
            <w:tcBorders>
              <w:top w:val="single" w:sz="2" w:space="0" w:color="1F4E79" w:themeColor="accent1" w:themeShade="80"/>
              <w:bottom w:val="nil"/>
            </w:tcBorders>
            <w:shd w:val="clear" w:color="auto" w:fill="auto"/>
            <w:vAlign w:val="center"/>
          </w:tcPr>
          <w:p w14:paraId="57F07777" w14:textId="77777777" w:rsidR="007D1BF4" w:rsidRPr="00C806B0"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b/>
              </w:rPr>
              <w:t>31.12.2020</w:t>
            </w:r>
          </w:p>
        </w:tc>
        <w:tc>
          <w:tcPr>
            <w:tcW w:w="567" w:type="dxa"/>
            <w:tcBorders>
              <w:top w:val="single" w:sz="2" w:space="0" w:color="1F4E79" w:themeColor="accent1" w:themeShade="80"/>
              <w:bottom w:val="nil"/>
            </w:tcBorders>
            <w:shd w:val="clear" w:color="auto" w:fill="auto"/>
            <w:vAlign w:val="center"/>
          </w:tcPr>
          <w:p w14:paraId="3F23F5D5" w14:textId="77777777" w:rsidR="007D1BF4" w:rsidRPr="001D6BE8" w:rsidRDefault="007D1BF4" w:rsidP="0041179D">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rFonts w:cs="Arial"/>
                <w:b/>
              </w:rPr>
              <w:t>%</w:t>
            </w:r>
          </w:p>
        </w:tc>
      </w:tr>
      <w:tr w:rsidR="007D1BF4" w:rsidRPr="001D6BE8" w14:paraId="2890BBC5" w14:textId="77777777" w:rsidTr="00673B9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tcPr>
          <w:p w14:paraId="0B738FD8" w14:textId="77777777" w:rsidR="007D1BF4" w:rsidRPr="003004EB" w:rsidRDefault="007D1BF4" w:rsidP="00730D43">
            <w:pPr>
              <w:pStyle w:val="08-Tabelageral"/>
              <w:jc w:val="left"/>
              <w:rPr>
                <w:rFonts w:cs="Arial"/>
                <w:b w:val="0"/>
                <w:szCs w:val="14"/>
              </w:rPr>
            </w:pPr>
            <w:r w:rsidRPr="003004EB">
              <w:rPr>
                <w:rFonts w:cs="Arial"/>
                <w:b w:val="0"/>
                <w:i/>
                <w:iCs/>
                <w:szCs w:val="14"/>
              </w:rPr>
              <w:t>Value at Risk (VaR</w:t>
            </w:r>
            <w:r w:rsidRPr="003004EB">
              <w:rPr>
                <w:rFonts w:cs="Arial"/>
                <w:b w:val="0"/>
                <w:szCs w:val="14"/>
              </w:rPr>
              <w:t>)</w:t>
            </w:r>
          </w:p>
        </w:tc>
        <w:tc>
          <w:tcPr>
            <w:tcW w:w="353" w:type="dxa"/>
            <w:tcBorders>
              <w:top w:val="nil"/>
              <w:bottom w:val="single" w:sz="2" w:space="0" w:color="1F4E79" w:themeColor="accent1" w:themeShade="80"/>
            </w:tcBorders>
            <w:shd w:val="clear" w:color="auto" w:fill="auto"/>
            <w:vAlign w:val="center"/>
          </w:tcPr>
          <w:p w14:paraId="6B620DC9" w14:textId="77777777" w:rsidR="007D1BF4" w:rsidRPr="00C806B0" w:rsidRDefault="007D1BF4" w:rsidP="00730D4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4E79" w:themeColor="accent1" w:themeShade="80"/>
            </w:tcBorders>
            <w:shd w:val="clear" w:color="auto" w:fill="auto"/>
            <w:vAlign w:val="center"/>
          </w:tcPr>
          <w:p w14:paraId="2BB7BA54" w14:textId="77777777" w:rsidR="007D1BF4" w:rsidRPr="00DB4978"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B4978">
              <w:rPr>
                <w:rFonts w:cs="Arial"/>
                <w:color w:val="auto"/>
                <w:szCs w:val="14"/>
              </w:rPr>
              <w:t>1</w:t>
            </w:r>
          </w:p>
        </w:tc>
        <w:tc>
          <w:tcPr>
            <w:tcW w:w="630" w:type="dxa"/>
            <w:tcBorders>
              <w:top w:val="nil"/>
              <w:bottom w:val="single" w:sz="2" w:space="0" w:color="1F4E79" w:themeColor="accent1" w:themeShade="80"/>
            </w:tcBorders>
            <w:shd w:val="clear" w:color="auto" w:fill="auto"/>
            <w:vAlign w:val="center"/>
          </w:tcPr>
          <w:p w14:paraId="4273E7FB" w14:textId="77777777" w:rsidR="007D1BF4" w:rsidRPr="00DB4978"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B4978">
              <w:rPr>
                <w:rFonts w:cs="Arial"/>
                <w:color w:val="auto"/>
                <w:szCs w:val="14"/>
              </w:rPr>
              <w:t>0,00</w:t>
            </w:r>
          </w:p>
        </w:tc>
        <w:tc>
          <w:tcPr>
            <w:tcW w:w="1418" w:type="dxa"/>
            <w:tcBorders>
              <w:top w:val="nil"/>
              <w:bottom w:val="single" w:sz="2" w:space="0" w:color="1F4E79" w:themeColor="accent1" w:themeShade="80"/>
            </w:tcBorders>
            <w:shd w:val="clear" w:color="auto" w:fill="auto"/>
            <w:vAlign w:val="center"/>
          </w:tcPr>
          <w:p w14:paraId="73975C40" w14:textId="77777777" w:rsidR="007D1BF4" w:rsidRPr="00E07586"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E07586">
              <w:rPr>
                <w:rFonts w:cs="Arial"/>
                <w:szCs w:val="14"/>
              </w:rPr>
              <w:t>0</w:t>
            </w:r>
          </w:p>
        </w:tc>
        <w:tc>
          <w:tcPr>
            <w:tcW w:w="579" w:type="dxa"/>
            <w:tcBorders>
              <w:top w:val="nil"/>
              <w:bottom w:val="single" w:sz="2" w:space="0" w:color="1F4E79" w:themeColor="accent1" w:themeShade="80"/>
            </w:tcBorders>
            <w:shd w:val="clear" w:color="auto" w:fill="auto"/>
            <w:vAlign w:val="center"/>
          </w:tcPr>
          <w:p w14:paraId="10BAFBD0" w14:textId="77777777" w:rsidR="007D1BF4" w:rsidRPr="00E07586"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E07586">
              <w:rPr>
                <w:rFonts w:cs="Arial"/>
                <w:szCs w:val="14"/>
              </w:rPr>
              <w:t>0,00</w:t>
            </w:r>
          </w:p>
        </w:tc>
        <w:tc>
          <w:tcPr>
            <w:tcW w:w="242" w:type="dxa"/>
            <w:tcBorders>
              <w:top w:val="nil"/>
              <w:bottom w:val="single" w:sz="2" w:space="0" w:color="1F4E79" w:themeColor="accent1" w:themeShade="80"/>
            </w:tcBorders>
            <w:shd w:val="clear" w:color="auto" w:fill="auto"/>
            <w:vAlign w:val="center"/>
          </w:tcPr>
          <w:p w14:paraId="705B1813" w14:textId="77777777" w:rsidR="007D1BF4" w:rsidRPr="00E07586"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4E79" w:themeColor="accent1" w:themeShade="80"/>
            </w:tcBorders>
            <w:shd w:val="clear" w:color="auto" w:fill="auto"/>
            <w:vAlign w:val="center"/>
          </w:tcPr>
          <w:p w14:paraId="71B795F9" w14:textId="77777777" w:rsidR="007D1BF4" w:rsidRPr="00DB4978"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B4978">
              <w:rPr>
                <w:rFonts w:cs="Arial"/>
                <w:color w:val="auto"/>
                <w:szCs w:val="14"/>
              </w:rPr>
              <w:t>8</w:t>
            </w:r>
          </w:p>
        </w:tc>
        <w:tc>
          <w:tcPr>
            <w:tcW w:w="709" w:type="dxa"/>
            <w:tcBorders>
              <w:top w:val="nil"/>
              <w:bottom w:val="single" w:sz="2" w:space="0" w:color="1F4E79" w:themeColor="accent1" w:themeShade="80"/>
            </w:tcBorders>
            <w:shd w:val="clear" w:color="auto" w:fill="auto"/>
            <w:vAlign w:val="center"/>
          </w:tcPr>
          <w:p w14:paraId="2B016213" w14:textId="77777777" w:rsidR="007D1BF4" w:rsidRPr="00DB4978"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B4978">
              <w:rPr>
                <w:rFonts w:cs="Arial"/>
                <w:color w:val="auto"/>
                <w:szCs w:val="14"/>
              </w:rPr>
              <w:t>0,00</w:t>
            </w:r>
          </w:p>
        </w:tc>
        <w:tc>
          <w:tcPr>
            <w:tcW w:w="1417" w:type="dxa"/>
            <w:tcBorders>
              <w:top w:val="nil"/>
              <w:bottom w:val="single" w:sz="2" w:space="0" w:color="1F4E79" w:themeColor="accent1" w:themeShade="80"/>
            </w:tcBorders>
            <w:shd w:val="clear" w:color="auto" w:fill="auto"/>
            <w:vAlign w:val="center"/>
          </w:tcPr>
          <w:p w14:paraId="6F1C4D0A" w14:textId="77777777" w:rsidR="007D1BF4" w:rsidRPr="00E07586"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E07586">
              <w:rPr>
                <w:rFonts w:cs="Arial"/>
                <w:color w:val="000000"/>
                <w:szCs w:val="14"/>
              </w:rPr>
              <w:t>4</w:t>
            </w:r>
          </w:p>
        </w:tc>
        <w:tc>
          <w:tcPr>
            <w:tcW w:w="567" w:type="dxa"/>
            <w:tcBorders>
              <w:top w:val="nil"/>
              <w:bottom w:val="single" w:sz="2" w:space="0" w:color="1F4E79" w:themeColor="accent1" w:themeShade="80"/>
            </w:tcBorders>
            <w:shd w:val="clear" w:color="auto" w:fill="auto"/>
            <w:vAlign w:val="center"/>
          </w:tcPr>
          <w:p w14:paraId="2BC4662E" w14:textId="77777777" w:rsidR="007D1BF4" w:rsidRPr="00E07586" w:rsidRDefault="007D1BF4" w:rsidP="00730D4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E07586">
              <w:rPr>
                <w:rFonts w:cs="Arial"/>
                <w:szCs w:val="14"/>
              </w:rPr>
              <w:t>0,00</w:t>
            </w:r>
          </w:p>
        </w:tc>
      </w:tr>
    </w:tbl>
    <w:p w14:paraId="53802BDD" w14:textId="77777777" w:rsidR="007D1BF4" w:rsidRDefault="007D1BF4">
      <w:pPr>
        <w:rPr>
          <w:rFonts w:cs="Arial"/>
          <w:b/>
          <w:color w:val="1F4E79" w:themeColor="accent1" w:themeShade="80"/>
          <w:szCs w:val="18"/>
        </w:rPr>
      </w:pPr>
    </w:p>
    <w:p w14:paraId="771F9912" w14:textId="77777777" w:rsidR="007D1BF4" w:rsidRPr="006A49AA" w:rsidRDefault="007D1BF4" w:rsidP="006A49AA">
      <w:pPr>
        <w:pStyle w:val="05-Textonormal"/>
        <w:rPr>
          <w:b/>
          <w:color w:val="1F4E79" w:themeColor="accent1" w:themeShade="80"/>
        </w:rPr>
      </w:pPr>
      <w:r w:rsidRPr="006A49AA">
        <w:rPr>
          <w:b/>
          <w:color w:val="1F4E79" w:themeColor="accent1" w:themeShade="80"/>
        </w:rPr>
        <w:t>Análise de sensibilidade aos fatores de risco de mercado</w:t>
      </w:r>
    </w:p>
    <w:p w14:paraId="124034F0" w14:textId="77777777" w:rsidR="007D1BF4" w:rsidRDefault="007D1BF4" w:rsidP="00C85E05">
      <w:pPr>
        <w:pStyle w:val="05-Textonormal"/>
      </w:pPr>
      <w:r>
        <w:t>Em 31 de dezembro de 2021,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443B9628" w14:textId="77777777" w:rsidR="007D1BF4" w:rsidRPr="006A49AA" w:rsidRDefault="007D1BF4" w:rsidP="1A586056">
      <w:pPr>
        <w:pStyle w:val="05-Textonormal"/>
        <w:rPr>
          <w:b/>
          <w:bCs/>
          <w:color w:val="1F4E79" w:themeColor="accent1" w:themeShade="80"/>
        </w:rPr>
      </w:pPr>
      <w:r w:rsidRPr="2BE5836A">
        <w:rPr>
          <w:b/>
          <w:bCs/>
          <w:color w:val="1F4E79" w:themeColor="accent1" w:themeShade="80"/>
        </w:rPr>
        <w:t>a.3) Risco de Crédito</w:t>
      </w:r>
    </w:p>
    <w:p w14:paraId="3CFC547F" w14:textId="77777777" w:rsidR="007D1BF4" w:rsidRDefault="007D1BF4" w:rsidP="006A49AA">
      <w:pPr>
        <w:pStyle w:val="05-Textonormal"/>
      </w:pPr>
      <w:r w:rsidRPr="00A96AB5">
        <w:t>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suas controladas, a exposição a esse risco origina-se da carteira de investimentos em ativos financeiros, que possui em sua composição títulos emitidos por contrapartes privadas. O risco de crédito foi reduzido em 2021 devido a alteração da Política de Investimentos Financeiros. De acordo com o último inventário de Riscos Relevantes e considerando a Política de Investimentos Financeiros e atual carteira, o risco não é considerado relevante</w:t>
      </w:r>
      <w:r>
        <w:t>.</w:t>
      </w:r>
    </w:p>
    <w:p w14:paraId="37426F6B" w14:textId="77777777" w:rsidR="007D1BF4" w:rsidRPr="00774968" w:rsidRDefault="007D1BF4" w:rsidP="006A49AA">
      <w:pPr>
        <w:pStyle w:val="05-Textonormal"/>
      </w:pPr>
      <w:bookmarkStart w:id="43" w:name="_Hlk46330444"/>
      <w:r>
        <w:t xml:space="preserve">Sobre o risco de crédito </w:t>
      </w:r>
      <w:r w:rsidRPr="00774968">
        <w:t>proveniente do pagamento de corretagem dos produtos comercializados pela BB Corretora</w:t>
      </w:r>
      <w:r>
        <w:t>,</w:t>
      </w:r>
      <w:r w:rsidRPr="00774968">
        <w:t xml:space="preserve"> </w:t>
      </w:r>
      <w:r>
        <w:t>considera-se devidamente mitigado, em função</w:t>
      </w:r>
      <w:r w:rsidRPr="00774968">
        <w:t xml:space="preserve"> </w:t>
      </w:r>
      <w:r>
        <w:t>da</w:t>
      </w:r>
      <w:r w:rsidRPr="00774968">
        <w:t xml:space="preserve"> natureza da operação do Grupo</w:t>
      </w:r>
      <w:r>
        <w:t>.</w:t>
      </w:r>
      <w:r w:rsidRPr="00774968">
        <w:t xml:space="preserve"> </w:t>
      </w:r>
    </w:p>
    <w:bookmarkEnd w:id="43"/>
    <w:p w14:paraId="0AB92933" w14:textId="77777777" w:rsidR="007D1BF4" w:rsidRPr="006A49AA" w:rsidRDefault="007D1BF4" w:rsidP="006A49AA">
      <w:pPr>
        <w:pStyle w:val="05-Textonormal"/>
        <w:rPr>
          <w:b/>
          <w:color w:val="1F4E79" w:themeColor="accent1" w:themeShade="80"/>
        </w:rPr>
      </w:pPr>
      <w:r w:rsidRPr="006A49AA">
        <w:rPr>
          <w:b/>
          <w:color w:val="1F4E79" w:themeColor="accent1" w:themeShade="80"/>
        </w:rPr>
        <w:t>Exposição ao risco de crédito nos investimentos em ativos financeiros</w:t>
      </w:r>
    </w:p>
    <w:p w14:paraId="7C6E4E62" w14:textId="77777777" w:rsidR="007D1BF4" w:rsidRPr="00126179" w:rsidRDefault="007D1BF4" w:rsidP="00126179">
      <w:pPr>
        <w:pStyle w:val="06-Rmil"/>
      </w:pPr>
      <w:r w:rsidRPr="005F2021">
        <w:t>R$ mil</w:t>
      </w:r>
    </w:p>
    <w:tbl>
      <w:tblPr>
        <w:tblStyle w:val="TabeladeLista6Colorida-nfase5"/>
        <w:tblW w:w="9639" w:type="dxa"/>
        <w:jc w:val="center"/>
        <w:tblLayout w:type="fixed"/>
        <w:tblLook w:val="04A0" w:firstRow="1" w:lastRow="0" w:firstColumn="1" w:lastColumn="0" w:noHBand="0" w:noVBand="1"/>
      </w:tblPr>
      <w:tblGrid>
        <w:gridCol w:w="2128"/>
        <w:gridCol w:w="1160"/>
        <w:gridCol w:w="633"/>
        <w:gridCol w:w="897"/>
        <w:gridCol w:w="853"/>
        <w:gridCol w:w="455"/>
        <w:gridCol w:w="1105"/>
        <w:gridCol w:w="708"/>
        <w:gridCol w:w="993"/>
        <w:gridCol w:w="707"/>
      </w:tblGrid>
      <w:tr w:rsidR="007D1BF4" w:rsidRPr="00454A91" w14:paraId="5F2A6DA1" w14:textId="77777777" w:rsidTr="003004EB">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8" w:type="dxa"/>
            <w:vMerge w:val="restart"/>
            <w:tcBorders>
              <w:top w:val="single" w:sz="2" w:space="0" w:color="1F4E79" w:themeColor="accent1" w:themeShade="80"/>
              <w:bottom w:val="none" w:sz="0" w:space="0" w:color="auto"/>
            </w:tcBorders>
            <w:shd w:val="clear" w:color="auto" w:fill="auto"/>
            <w:vAlign w:val="center"/>
          </w:tcPr>
          <w:p w14:paraId="2EC20308" w14:textId="77777777" w:rsidR="007D1BF4" w:rsidRPr="00454A91" w:rsidRDefault="007D1BF4" w:rsidP="00CB2D76">
            <w:pPr>
              <w:jc w:val="center"/>
              <w:rPr>
                <w:rFonts w:cs="Arial"/>
                <w:szCs w:val="18"/>
              </w:rPr>
            </w:pPr>
            <w:bookmarkStart w:id="44" w:name="_Hlk94020880"/>
            <w:r w:rsidRPr="00CB2D76">
              <w:rPr>
                <w:rFonts w:cs="Arial"/>
                <w:sz w:val="14"/>
                <w:szCs w:val="18"/>
              </w:rPr>
              <w:t>Ativos Financeiros</w:t>
            </w:r>
            <w:r>
              <w:rPr>
                <w:rFonts w:cs="Arial"/>
                <w:sz w:val="14"/>
                <w:szCs w:val="18"/>
              </w:rPr>
              <w:t xml:space="preserve"> </w:t>
            </w:r>
            <w:r w:rsidRPr="00C85E05">
              <w:rPr>
                <w:rFonts w:cs="Arial"/>
                <w:sz w:val="14"/>
                <w:szCs w:val="18"/>
                <w:vertAlign w:val="superscript"/>
              </w:rPr>
              <w:t>(1)</w:t>
            </w:r>
          </w:p>
        </w:tc>
        <w:tc>
          <w:tcPr>
            <w:tcW w:w="3543" w:type="dxa"/>
            <w:gridSpan w:val="4"/>
            <w:tcBorders>
              <w:top w:val="single" w:sz="2" w:space="0" w:color="1F4E79" w:themeColor="accent1" w:themeShade="80"/>
              <w:bottom w:val="single" w:sz="2" w:space="0" w:color="1F4E79" w:themeColor="accent1" w:themeShade="80"/>
            </w:tcBorders>
            <w:shd w:val="clear" w:color="auto" w:fill="auto"/>
            <w:vAlign w:val="center"/>
          </w:tcPr>
          <w:p w14:paraId="63FB2671" w14:textId="77777777" w:rsidR="007D1BF4" w:rsidRPr="00454A91" w:rsidRDefault="007D1BF4" w:rsidP="0026411A">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454A91">
              <w:rPr>
                <w:rFonts w:cs="Arial"/>
                <w:sz w:val="14"/>
                <w:szCs w:val="18"/>
              </w:rPr>
              <w:t>Controlador</w:t>
            </w:r>
          </w:p>
        </w:tc>
        <w:tc>
          <w:tcPr>
            <w:tcW w:w="455" w:type="dxa"/>
            <w:tcBorders>
              <w:top w:val="single" w:sz="2" w:space="0" w:color="1F4E79" w:themeColor="accent1" w:themeShade="80"/>
              <w:bottom w:val="nil"/>
            </w:tcBorders>
            <w:shd w:val="clear" w:color="auto" w:fill="auto"/>
          </w:tcPr>
          <w:p w14:paraId="34FEA367" w14:textId="77777777" w:rsidR="007D1BF4" w:rsidRPr="00454A91" w:rsidRDefault="007D1BF4" w:rsidP="0026411A">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13" w:type="dxa"/>
            <w:gridSpan w:val="4"/>
            <w:tcBorders>
              <w:top w:val="single" w:sz="2" w:space="0" w:color="1F4E79" w:themeColor="accent1" w:themeShade="80"/>
              <w:bottom w:val="single" w:sz="2" w:space="0" w:color="1F4E79" w:themeColor="accent1" w:themeShade="80"/>
            </w:tcBorders>
            <w:shd w:val="clear" w:color="auto" w:fill="auto"/>
            <w:vAlign w:val="center"/>
          </w:tcPr>
          <w:p w14:paraId="27CF84E8" w14:textId="77777777" w:rsidR="007D1BF4" w:rsidRPr="00454A91" w:rsidRDefault="007D1BF4" w:rsidP="0026411A">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454A91">
              <w:rPr>
                <w:rFonts w:cs="Arial"/>
                <w:sz w:val="14"/>
                <w:szCs w:val="18"/>
              </w:rPr>
              <w:t>Consolidado</w:t>
            </w:r>
          </w:p>
        </w:tc>
      </w:tr>
      <w:tr w:rsidR="007D1BF4" w:rsidRPr="001D6BE8" w14:paraId="3B2388DD" w14:textId="77777777" w:rsidTr="003004EB">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128" w:type="dxa"/>
            <w:vMerge/>
            <w:tcBorders>
              <w:bottom w:val="single" w:sz="2" w:space="0" w:color="1F4E79" w:themeColor="accent1" w:themeShade="80"/>
            </w:tcBorders>
            <w:shd w:val="clear" w:color="auto" w:fill="auto"/>
          </w:tcPr>
          <w:p w14:paraId="79BC9FE9" w14:textId="77777777" w:rsidR="007D1BF4" w:rsidRPr="001D6BE8" w:rsidRDefault="007D1BF4" w:rsidP="001C1EDA">
            <w:pPr>
              <w:pStyle w:val="08-Tabelageral"/>
              <w:jc w:val="left"/>
              <w:rPr>
                <w:rFonts w:cs="Arial"/>
                <w:b w:val="0"/>
              </w:rPr>
            </w:pPr>
          </w:p>
        </w:tc>
        <w:tc>
          <w:tcPr>
            <w:tcW w:w="1160" w:type="dxa"/>
            <w:tcBorders>
              <w:top w:val="single" w:sz="2" w:space="0" w:color="1F4E79" w:themeColor="accent1" w:themeShade="80"/>
              <w:bottom w:val="single" w:sz="2" w:space="0" w:color="1F4E79" w:themeColor="accent1" w:themeShade="80"/>
            </w:tcBorders>
            <w:shd w:val="clear" w:color="auto" w:fill="auto"/>
            <w:vAlign w:val="center"/>
          </w:tcPr>
          <w:p w14:paraId="544FB976" w14:textId="77777777" w:rsidR="007D1BF4" w:rsidRPr="001D6BE8" w:rsidRDefault="007D1BF4" w:rsidP="001C1EDA">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c>
          <w:tcPr>
            <w:tcW w:w="633" w:type="dxa"/>
            <w:tcBorders>
              <w:top w:val="single" w:sz="2" w:space="0" w:color="1F4E79" w:themeColor="accent1" w:themeShade="80"/>
              <w:bottom w:val="single" w:sz="2" w:space="0" w:color="1F4E79" w:themeColor="accent1" w:themeShade="80"/>
            </w:tcBorders>
            <w:shd w:val="clear" w:color="auto" w:fill="auto"/>
            <w:vAlign w:val="center"/>
          </w:tcPr>
          <w:p w14:paraId="118ABB9D" w14:textId="77777777" w:rsidR="007D1BF4" w:rsidRPr="001D6BE8" w:rsidRDefault="007D1BF4" w:rsidP="001C1EDA">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
        </w:tc>
        <w:tc>
          <w:tcPr>
            <w:tcW w:w="897" w:type="dxa"/>
            <w:tcBorders>
              <w:top w:val="single" w:sz="2" w:space="0" w:color="1F4E79" w:themeColor="accent1" w:themeShade="80"/>
              <w:bottom w:val="single" w:sz="2" w:space="0" w:color="1F4E79" w:themeColor="accent1" w:themeShade="80"/>
            </w:tcBorders>
            <w:shd w:val="clear" w:color="auto" w:fill="auto"/>
            <w:vAlign w:val="center"/>
          </w:tcPr>
          <w:p w14:paraId="124C1E0D" w14:textId="77777777" w:rsidR="007D1BF4" w:rsidRPr="00C806B0" w:rsidRDefault="007D1BF4" w:rsidP="00125B60">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b/>
              </w:rPr>
              <w:t>31.12.2020</w:t>
            </w:r>
          </w:p>
        </w:tc>
        <w:tc>
          <w:tcPr>
            <w:tcW w:w="853" w:type="dxa"/>
            <w:tcBorders>
              <w:top w:val="single" w:sz="2" w:space="0" w:color="1F4E79" w:themeColor="accent1" w:themeShade="80"/>
              <w:bottom w:val="single" w:sz="2" w:space="0" w:color="1F4E79" w:themeColor="accent1" w:themeShade="80"/>
            </w:tcBorders>
            <w:shd w:val="clear" w:color="auto" w:fill="auto"/>
            <w:vAlign w:val="center"/>
          </w:tcPr>
          <w:p w14:paraId="0D298C0D" w14:textId="77777777" w:rsidR="007D1BF4" w:rsidRPr="001D6BE8" w:rsidRDefault="007D1BF4" w:rsidP="00125B60">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
        </w:tc>
        <w:tc>
          <w:tcPr>
            <w:tcW w:w="455" w:type="dxa"/>
            <w:tcBorders>
              <w:top w:val="nil"/>
              <w:bottom w:val="single" w:sz="2" w:space="0" w:color="1F4E79" w:themeColor="accent1" w:themeShade="80"/>
            </w:tcBorders>
            <w:shd w:val="clear" w:color="auto" w:fill="auto"/>
            <w:vAlign w:val="center"/>
          </w:tcPr>
          <w:p w14:paraId="0DEE9276" w14:textId="77777777" w:rsidR="007D1BF4" w:rsidRPr="001D6BE8" w:rsidRDefault="007D1BF4" w:rsidP="001C1EDA">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14757423" w14:textId="77777777" w:rsidR="007D1BF4" w:rsidRPr="001D6BE8"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78F53030" w14:textId="77777777" w:rsidR="007D1BF4" w:rsidRPr="001D6BE8" w:rsidRDefault="007D1BF4" w:rsidP="001C1EDA">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1469A98" w14:textId="77777777" w:rsidR="007D1BF4" w:rsidRPr="00C806B0" w:rsidRDefault="007D1BF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b/>
              </w:rPr>
              <w:t>31.12.2020</w:t>
            </w:r>
          </w:p>
        </w:tc>
        <w:tc>
          <w:tcPr>
            <w:tcW w:w="707" w:type="dxa"/>
            <w:tcBorders>
              <w:top w:val="single" w:sz="2" w:space="0" w:color="1F4E79" w:themeColor="accent1" w:themeShade="80"/>
              <w:bottom w:val="single" w:sz="2" w:space="0" w:color="1F4E79" w:themeColor="accent1" w:themeShade="80"/>
            </w:tcBorders>
            <w:shd w:val="clear" w:color="auto" w:fill="auto"/>
            <w:vAlign w:val="center"/>
          </w:tcPr>
          <w:p w14:paraId="3CA5AE7B" w14:textId="77777777" w:rsidR="007D1BF4" w:rsidRPr="001D6BE8" w:rsidRDefault="007D1BF4" w:rsidP="00125B60">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
        </w:tc>
      </w:tr>
      <w:tr w:rsidR="007D1BF4" w:rsidRPr="001D6BE8" w14:paraId="37473AA7" w14:textId="77777777" w:rsidTr="003004E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128" w:type="dxa"/>
            <w:tcBorders>
              <w:top w:val="single" w:sz="2" w:space="0" w:color="1F4E79" w:themeColor="accent1" w:themeShade="80"/>
              <w:bottom w:val="nil"/>
            </w:tcBorders>
            <w:shd w:val="clear" w:color="auto" w:fill="auto"/>
          </w:tcPr>
          <w:p w14:paraId="5D465A81" w14:textId="77777777" w:rsidR="007D1BF4" w:rsidRPr="003004EB" w:rsidRDefault="007D1BF4" w:rsidP="00F84843">
            <w:pPr>
              <w:pStyle w:val="07-Legenda"/>
              <w:ind w:left="0" w:firstLine="0"/>
              <w:jc w:val="left"/>
              <w:rPr>
                <w:b w:val="0"/>
                <w:lang w:val="en-US"/>
              </w:rPr>
            </w:pPr>
            <w:r w:rsidRPr="003004EB">
              <w:rPr>
                <w:b w:val="0"/>
              </w:rPr>
              <w:t xml:space="preserve">Títulos Públicos Federais </w:t>
            </w:r>
            <w:r w:rsidRPr="003004EB">
              <w:rPr>
                <w:b w:val="0"/>
                <w:vertAlign w:val="superscript"/>
              </w:rPr>
              <w:t>(2)</w:t>
            </w:r>
          </w:p>
        </w:tc>
        <w:tc>
          <w:tcPr>
            <w:tcW w:w="1160" w:type="dxa"/>
            <w:tcBorders>
              <w:top w:val="single" w:sz="2" w:space="0" w:color="1F4E79" w:themeColor="accent1" w:themeShade="80"/>
              <w:bottom w:val="nil"/>
            </w:tcBorders>
            <w:shd w:val="clear" w:color="auto" w:fill="auto"/>
            <w:vAlign w:val="center"/>
          </w:tcPr>
          <w:p w14:paraId="6F0AE6FE" w14:textId="77777777" w:rsidR="007D1BF4" w:rsidRPr="00147860"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368.889</w:t>
            </w:r>
          </w:p>
        </w:tc>
        <w:tc>
          <w:tcPr>
            <w:tcW w:w="633" w:type="dxa"/>
            <w:tcBorders>
              <w:top w:val="single" w:sz="2" w:space="0" w:color="1F4E79" w:themeColor="accent1" w:themeShade="80"/>
              <w:bottom w:val="nil"/>
            </w:tcBorders>
            <w:shd w:val="clear" w:color="auto" w:fill="auto"/>
            <w:vAlign w:val="center"/>
          </w:tcPr>
          <w:p w14:paraId="104CA034" w14:textId="77777777" w:rsidR="007D1BF4" w:rsidRPr="00147860"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100,00</w:t>
            </w:r>
          </w:p>
        </w:tc>
        <w:tc>
          <w:tcPr>
            <w:tcW w:w="897" w:type="dxa"/>
            <w:tcBorders>
              <w:top w:val="single" w:sz="2" w:space="0" w:color="1F4E79" w:themeColor="accent1" w:themeShade="80"/>
              <w:bottom w:val="nil"/>
            </w:tcBorders>
            <w:shd w:val="clear" w:color="auto" w:fill="auto"/>
            <w:vAlign w:val="center"/>
          </w:tcPr>
          <w:p w14:paraId="66AA9D2A"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rFonts w:cs="Arial"/>
                <w:color w:val="000000"/>
                <w:szCs w:val="14"/>
              </w:rPr>
              <w:t>208.469</w:t>
            </w:r>
          </w:p>
        </w:tc>
        <w:tc>
          <w:tcPr>
            <w:tcW w:w="853" w:type="dxa"/>
            <w:tcBorders>
              <w:top w:val="single" w:sz="2" w:space="0" w:color="1F4E79" w:themeColor="accent1" w:themeShade="80"/>
              <w:bottom w:val="nil"/>
            </w:tcBorders>
            <w:shd w:val="clear" w:color="auto" w:fill="auto"/>
            <w:vAlign w:val="center"/>
          </w:tcPr>
          <w:p w14:paraId="3A5C4FE4"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rFonts w:cs="Arial"/>
                <w:color w:val="000000"/>
                <w:szCs w:val="14"/>
              </w:rPr>
              <w:t>100,00</w:t>
            </w:r>
          </w:p>
        </w:tc>
        <w:tc>
          <w:tcPr>
            <w:tcW w:w="455" w:type="dxa"/>
            <w:tcBorders>
              <w:top w:val="single" w:sz="2" w:space="0" w:color="1F4E79" w:themeColor="accent1" w:themeShade="80"/>
              <w:bottom w:val="nil"/>
            </w:tcBorders>
            <w:shd w:val="clear" w:color="auto" w:fill="auto"/>
            <w:vAlign w:val="center"/>
          </w:tcPr>
          <w:p w14:paraId="0271AC6F"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5DF0C031" w14:textId="77777777" w:rsidR="007D1BF4" w:rsidRPr="001A46FB"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4.086.952</w:t>
            </w:r>
          </w:p>
        </w:tc>
        <w:tc>
          <w:tcPr>
            <w:tcW w:w="708" w:type="dxa"/>
            <w:tcBorders>
              <w:top w:val="single" w:sz="2" w:space="0" w:color="1F4E79" w:themeColor="accent1" w:themeShade="80"/>
              <w:bottom w:val="nil"/>
            </w:tcBorders>
            <w:shd w:val="clear" w:color="auto" w:fill="auto"/>
            <w:vAlign w:val="center"/>
          </w:tcPr>
          <w:p w14:paraId="7809F589"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rFonts w:cs="Arial"/>
                <w:color w:val="000000"/>
                <w:szCs w:val="14"/>
              </w:rPr>
              <w:t>100,00</w:t>
            </w:r>
          </w:p>
        </w:tc>
        <w:tc>
          <w:tcPr>
            <w:tcW w:w="993" w:type="dxa"/>
            <w:tcBorders>
              <w:top w:val="single" w:sz="2" w:space="0" w:color="1F4E79" w:themeColor="accent1" w:themeShade="80"/>
              <w:bottom w:val="nil"/>
            </w:tcBorders>
            <w:shd w:val="clear" w:color="auto" w:fill="auto"/>
            <w:vAlign w:val="center"/>
          </w:tcPr>
          <w:p w14:paraId="311D8287"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rFonts w:cs="Arial"/>
                <w:color w:val="000000"/>
                <w:szCs w:val="14"/>
              </w:rPr>
              <w:t>2.192.597</w:t>
            </w:r>
          </w:p>
        </w:tc>
        <w:tc>
          <w:tcPr>
            <w:tcW w:w="707" w:type="dxa"/>
            <w:tcBorders>
              <w:top w:val="single" w:sz="2" w:space="0" w:color="1F4E79" w:themeColor="accent1" w:themeShade="80"/>
              <w:bottom w:val="nil"/>
            </w:tcBorders>
            <w:shd w:val="clear" w:color="auto" w:fill="auto"/>
            <w:vAlign w:val="center"/>
          </w:tcPr>
          <w:p w14:paraId="54255553" w14:textId="77777777" w:rsidR="007D1BF4"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rFonts w:cs="Arial"/>
                <w:color w:val="000000"/>
                <w:szCs w:val="14"/>
              </w:rPr>
              <w:t>82,97</w:t>
            </w:r>
          </w:p>
        </w:tc>
      </w:tr>
      <w:tr w:rsidR="007D1BF4" w:rsidRPr="001D6BE8" w14:paraId="042AEA48" w14:textId="77777777" w:rsidTr="003004EB">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shd w:val="clear" w:color="auto" w:fill="auto"/>
          </w:tcPr>
          <w:p w14:paraId="42A1E8EB" w14:textId="77777777" w:rsidR="007D1BF4" w:rsidRPr="003004EB" w:rsidRDefault="007D1BF4" w:rsidP="00F84843">
            <w:pPr>
              <w:pStyle w:val="07-Legenda"/>
              <w:jc w:val="left"/>
              <w:rPr>
                <w:rFonts w:cs="Arial"/>
                <w:b w:val="0"/>
                <w:i/>
                <w:lang w:val="en-US"/>
              </w:rPr>
            </w:pPr>
            <w:r w:rsidRPr="003004EB">
              <w:rPr>
                <w:b w:val="0"/>
              </w:rPr>
              <w:t xml:space="preserve">Títulos Privados </w:t>
            </w:r>
          </w:p>
        </w:tc>
        <w:tc>
          <w:tcPr>
            <w:tcW w:w="1160" w:type="dxa"/>
            <w:tcBorders>
              <w:top w:val="nil"/>
              <w:bottom w:val="nil"/>
            </w:tcBorders>
            <w:shd w:val="clear" w:color="auto" w:fill="auto"/>
            <w:vAlign w:val="center"/>
          </w:tcPr>
          <w:p w14:paraId="58714773" w14:textId="77777777" w:rsidR="007D1BF4" w:rsidRPr="0048470A"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633" w:type="dxa"/>
            <w:tcBorders>
              <w:top w:val="nil"/>
              <w:bottom w:val="nil"/>
            </w:tcBorders>
            <w:shd w:val="clear" w:color="auto" w:fill="auto"/>
            <w:vAlign w:val="center"/>
          </w:tcPr>
          <w:p w14:paraId="0CCEFCF1" w14:textId="77777777" w:rsidR="007D1BF4" w:rsidRPr="0048470A"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897" w:type="dxa"/>
            <w:tcBorders>
              <w:top w:val="nil"/>
              <w:bottom w:val="nil"/>
            </w:tcBorders>
            <w:shd w:val="clear" w:color="auto" w:fill="auto"/>
            <w:vAlign w:val="center"/>
          </w:tcPr>
          <w:p w14:paraId="7BCA6E2F" w14:textId="77777777" w:rsidR="007D1BF4" w:rsidRPr="0048470A"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w:t>
            </w:r>
          </w:p>
        </w:tc>
        <w:tc>
          <w:tcPr>
            <w:tcW w:w="853" w:type="dxa"/>
            <w:tcBorders>
              <w:top w:val="nil"/>
              <w:bottom w:val="nil"/>
            </w:tcBorders>
            <w:shd w:val="clear" w:color="auto" w:fill="auto"/>
            <w:vAlign w:val="center"/>
          </w:tcPr>
          <w:p w14:paraId="1FF1E99A" w14:textId="77777777" w:rsidR="007D1BF4" w:rsidRPr="0048470A"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w:t>
            </w:r>
          </w:p>
        </w:tc>
        <w:tc>
          <w:tcPr>
            <w:tcW w:w="455" w:type="dxa"/>
            <w:tcBorders>
              <w:top w:val="nil"/>
              <w:bottom w:val="nil"/>
            </w:tcBorders>
            <w:shd w:val="clear" w:color="auto" w:fill="auto"/>
            <w:vAlign w:val="center"/>
          </w:tcPr>
          <w:p w14:paraId="1E9B7B69" w14:textId="77777777" w:rsidR="007D1BF4" w:rsidRPr="000E5306"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p>
        </w:tc>
        <w:tc>
          <w:tcPr>
            <w:tcW w:w="1105" w:type="dxa"/>
            <w:tcBorders>
              <w:top w:val="nil"/>
              <w:bottom w:val="nil"/>
            </w:tcBorders>
            <w:shd w:val="clear" w:color="auto" w:fill="auto"/>
            <w:vAlign w:val="center"/>
          </w:tcPr>
          <w:p w14:paraId="4DDA230A" w14:textId="77777777" w:rsidR="007D1BF4" w:rsidRPr="000E5306"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w:t>
            </w:r>
          </w:p>
        </w:tc>
        <w:tc>
          <w:tcPr>
            <w:tcW w:w="708" w:type="dxa"/>
            <w:tcBorders>
              <w:top w:val="nil"/>
              <w:bottom w:val="nil"/>
            </w:tcBorders>
            <w:shd w:val="clear" w:color="auto" w:fill="auto"/>
            <w:vAlign w:val="center"/>
          </w:tcPr>
          <w:p w14:paraId="447F23CE" w14:textId="77777777" w:rsidR="007D1BF4" w:rsidRPr="000E5306"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w:t>
            </w:r>
          </w:p>
        </w:tc>
        <w:tc>
          <w:tcPr>
            <w:tcW w:w="993" w:type="dxa"/>
            <w:tcBorders>
              <w:top w:val="nil"/>
              <w:bottom w:val="nil"/>
            </w:tcBorders>
            <w:shd w:val="clear" w:color="auto" w:fill="auto"/>
            <w:vAlign w:val="center"/>
          </w:tcPr>
          <w:p w14:paraId="5C8D6243" w14:textId="77777777" w:rsidR="007D1BF4" w:rsidRPr="000E5306"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449.960</w:t>
            </w:r>
          </w:p>
        </w:tc>
        <w:tc>
          <w:tcPr>
            <w:tcW w:w="707" w:type="dxa"/>
            <w:tcBorders>
              <w:top w:val="nil"/>
              <w:bottom w:val="nil"/>
            </w:tcBorders>
            <w:shd w:val="clear" w:color="auto" w:fill="auto"/>
            <w:vAlign w:val="center"/>
          </w:tcPr>
          <w:p w14:paraId="36FF88AB" w14:textId="77777777" w:rsidR="007D1BF4" w:rsidRPr="000E5306" w:rsidRDefault="007D1BF4" w:rsidP="00F84843">
            <w:pPr>
              <w:pStyle w:val="07-Legenda"/>
              <w:jc w:val="right"/>
              <w:cnfStyle w:val="000000100000" w:firstRow="0" w:lastRow="0" w:firstColumn="0" w:lastColumn="0" w:oddVBand="0" w:evenVBand="0" w:oddHBand="1" w:evenHBand="0" w:firstRowFirstColumn="0" w:firstRowLastColumn="0" w:lastRowFirstColumn="0" w:lastRowLastColumn="0"/>
              <w:rPr>
                <w:szCs w:val="14"/>
                <w:lang w:val="en-US"/>
              </w:rPr>
            </w:pPr>
            <w:r>
              <w:rPr>
                <w:rFonts w:cs="Arial"/>
                <w:color w:val="000000"/>
                <w:szCs w:val="14"/>
              </w:rPr>
              <w:t>17,03</w:t>
            </w:r>
          </w:p>
        </w:tc>
      </w:tr>
      <w:tr w:rsidR="007D1BF4" w:rsidRPr="001D6BE8" w14:paraId="5B4D92EF" w14:textId="77777777" w:rsidTr="003004EB">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128" w:type="dxa"/>
            <w:tcBorders>
              <w:top w:val="nil"/>
              <w:bottom w:val="single" w:sz="2" w:space="0" w:color="1F4E79" w:themeColor="accent1" w:themeShade="80"/>
            </w:tcBorders>
            <w:shd w:val="clear" w:color="auto" w:fill="auto"/>
          </w:tcPr>
          <w:p w14:paraId="7D6A7DAE" w14:textId="77777777" w:rsidR="007D1BF4" w:rsidRPr="00774968" w:rsidRDefault="007D1BF4" w:rsidP="00F84843">
            <w:pPr>
              <w:pStyle w:val="07-Legenda"/>
              <w:jc w:val="left"/>
              <w:rPr>
                <w:rFonts w:cs="Arial"/>
                <w:b w:val="0"/>
                <w:i/>
                <w:lang w:val="en-US"/>
              </w:rPr>
            </w:pPr>
            <w:r w:rsidRPr="00774968">
              <w:rPr>
                <w:lang w:val="en-US"/>
              </w:rPr>
              <w:t>Total</w:t>
            </w:r>
          </w:p>
        </w:tc>
        <w:tc>
          <w:tcPr>
            <w:tcW w:w="1160" w:type="dxa"/>
            <w:tcBorders>
              <w:top w:val="nil"/>
              <w:bottom w:val="single" w:sz="2" w:space="0" w:color="1F4E79" w:themeColor="accent1" w:themeShade="80"/>
            </w:tcBorders>
            <w:shd w:val="clear" w:color="auto" w:fill="auto"/>
            <w:vAlign w:val="center"/>
          </w:tcPr>
          <w:p w14:paraId="79647EE2" w14:textId="77777777" w:rsidR="007D1BF4" w:rsidRPr="00147860"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368.889</w:t>
            </w:r>
          </w:p>
        </w:tc>
        <w:tc>
          <w:tcPr>
            <w:tcW w:w="633" w:type="dxa"/>
            <w:tcBorders>
              <w:top w:val="nil"/>
              <w:bottom w:val="single" w:sz="2" w:space="0" w:color="1F4E79" w:themeColor="accent1" w:themeShade="80"/>
            </w:tcBorders>
            <w:shd w:val="clear" w:color="auto" w:fill="auto"/>
            <w:vAlign w:val="center"/>
          </w:tcPr>
          <w:p w14:paraId="1F649BEA" w14:textId="77777777" w:rsidR="007D1BF4" w:rsidRPr="00147860"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100,00</w:t>
            </w:r>
          </w:p>
        </w:tc>
        <w:tc>
          <w:tcPr>
            <w:tcW w:w="897" w:type="dxa"/>
            <w:tcBorders>
              <w:top w:val="nil"/>
              <w:bottom w:val="single" w:sz="2" w:space="0" w:color="1F4E79" w:themeColor="accent1" w:themeShade="80"/>
            </w:tcBorders>
            <w:shd w:val="clear" w:color="auto" w:fill="auto"/>
            <w:vAlign w:val="center"/>
          </w:tcPr>
          <w:p w14:paraId="71BE2491"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208.469</w:t>
            </w:r>
          </w:p>
        </w:tc>
        <w:tc>
          <w:tcPr>
            <w:tcW w:w="853" w:type="dxa"/>
            <w:tcBorders>
              <w:top w:val="nil"/>
              <w:bottom w:val="single" w:sz="2" w:space="0" w:color="1F4E79" w:themeColor="accent1" w:themeShade="80"/>
            </w:tcBorders>
            <w:shd w:val="clear" w:color="auto" w:fill="auto"/>
            <w:vAlign w:val="center"/>
          </w:tcPr>
          <w:p w14:paraId="268DB03C"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100,00</w:t>
            </w:r>
          </w:p>
        </w:tc>
        <w:tc>
          <w:tcPr>
            <w:tcW w:w="455" w:type="dxa"/>
            <w:tcBorders>
              <w:top w:val="nil"/>
              <w:bottom w:val="single" w:sz="2" w:space="0" w:color="1F4E79" w:themeColor="accent1" w:themeShade="80"/>
            </w:tcBorders>
            <w:shd w:val="clear" w:color="auto" w:fill="auto"/>
            <w:vAlign w:val="center"/>
          </w:tcPr>
          <w:p w14:paraId="24AEB475"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p>
        </w:tc>
        <w:tc>
          <w:tcPr>
            <w:tcW w:w="1105" w:type="dxa"/>
            <w:tcBorders>
              <w:top w:val="nil"/>
              <w:bottom w:val="single" w:sz="2" w:space="0" w:color="1F4E79" w:themeColor="accent1" w:themeShade="80"/>
            </w:tcBorders>
            <w:shd w:val="clear" w:color="auto" w:fill="auto"/>
            <w:vAlign w:val="center"/>
          </w:tcPr>
          <w:p w14:paraId="5D4DAAFE"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4.086.952</w:t>
            </w:r>
          </w:p>
        </w:tc>
        <w:tc>
          <w:tcPr>
            <w:tcW w:w="708" w:type="dxa"/>
            <w:tcBorders>
              <w:top w:val="nil"/>
              <w:bottom w:val="single" w:sz="2" w:space="0" w:color="1F4E79" w:themeColor="accent1" w:themeShade="80"/>
            </w:tcBorders>
            <w:shd w:val="clear" w:color="auto" w:fill="auto"/>
            <w:vAlign w:val="center"/>
          </w:tcPr>
          <w:p w14:paraId="07A5BED9"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100,00</w:t>
            </w:r>
          </w:p>
        </w:tc>
        <w:tc>
          <w:tcPr>
            <w:tcW w:w="993" w:type="dxa"/>
            <w:tcBorders>
              <w:top w:val="nil"/>
              <w:bottom w:val="single" w:sz="2" w:space="0" w:color="1F4E79" w:themeColor="accent1" w:themeShade="80"/>
            </w:tcBorders>
            <w:shd w:val="clear" w:color="auto" w:fill="auto"/>
            <w:vAlign w:val="center"/>
          </w:tcPr>
          <w:p w14:paraId="7C9745DF"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2.642.557</w:t>
            </w:r>
          </w:p>
        </w:tc>
        <w:tc>
          <w:tcPr>
            <w:tcW w:w="707" w:type="dxa"/>
            <w:tcBorders>
              <w:top w:val="nil"/>
              <w:bottom w:val="single" w:sz="2" w:space="0" w:color="1F4E79" w:themeColor="accent1" w:themeShade="80"/>
            </w:tcBorders>
            <w:shd w:val="clear" w:color="auto" w:fill="auto"/>
            <w:vAlign w:val="center"/>
          </w:tcPr>
          <w:p w14:paraId="5260814F" w14:textId="77777777" w:rsidR="007D1BF4" w:rsidRPr="001C1EDA" w:rsidRDefault="007D1BF4" w:rsidP="00F84843">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rFonts w:cs="Arial"/>
                <w:b/>
                <w:bCs/>
                <w:color w:val="000000"/>
                <w:szCs w:val="14"/>
              </w:rPr>
              <w:t>100,00</w:t>
            </w:r>
          </w:p>
        </w:tc>
      </w:tr>
    </w:tbl>
    <w:bookmarkEnd w:id="44"/>
    <w:p w14:paraId="4A0AAF7E" w14:textId="77777777" w:rsidR="007D1BF4" w:rsidRPr="0026411A" w:rsidRDefault="007D1BF4" w:rsidP="007D1BF4">
      <w:pPr>
        <w:pStyle w:val="07-Legenda1"/>
        <w:numPr>
          <w:ilvl w:val="0"/>
          <w:numId w:val="10"/>
        </w:numPr>
        <w:tabs>
          <w:tab w:val="clear" w:pos="284"/>
        </w:tabs>
        <w:ind w:left="284" w:hanging="284"/>
        <w:rPr>
          <w:rFonts w:ascii="Arial" w:hAnsi="Arial" w:cs="Arial"/>
          <w:szCs w:val="14"/>
        </w:rPr>
      </w:pPr>
      <w:r w:rsidRPr="0026411A">
        <w:rPr>
          <w:rFonts w:ascii="Arial" w:hAnsi="Arial" w:cs="Arial"/>
          <w:szCs w:val="14"/>
        </w:rPr>
        <w:t>Não inclui os valores referentes ao</w:t>
      </w:r>
      <w:r>
        <w:rPr>
          <w:rFonts w:ascii="Arial" w:hAnsi="Arial" w:cs="Arial"/>
          <w:szCs w:val="14"/>
        </w:rPr>
        <w:t>s</w:t>
      </w:r>
      <w:r w:rsidRPr="0026411A">
        <w:rPr>
          <w:rFonts w:ascii="Arial" w:hAnsi="Arial" w:cs="Arial"/>
          <w:szCs w:val="14"/>
        </w:rPr>
        <w:t xml:space="preserve"> fundo</w:t>
      </w:r>
      <w:r>
        <w:rPr>
          <w:rFonts w:ascii="Arial" w:hAnsi="Arial" w:cs="Arial"/>
          <w:szCs w:val="14"/>
        </w:rPr>
        <w:t>s</w:t>
      </w:r>
      <w:r w:rsidRPr="0026411A">
        <w:rPr>
          <w:rFonts w:ascii="Arial" w:hAnsi="Arial" w:cs="Arial"/>
          <w:szCs w:val="14"/>
        </w:rPr>
        <w:t xml:space="preserve"> Brasil Aceleradora de </w:t>
      </w:r>
      <w:r w:rsidRPr="00894554">
        <w:rPr>
          <w:rFonts w:ascii="Arial" w:hAnsi="Arial" w:cs="Arial"/>
          <w:i/>
          <w:szCs w:val="14"/>
        </w:rPr>
        <w:t>Startups</w:t>
      </w:r>
      <w:r>
        <w:rPr>
          <w:rFonts w:ascii="Arial" w:hAnsi="Arial" w:cs="Arial"/>
          <w:szCs w:val="14"/>
        </w:rPr>
        <w:t>, v</w:t>
      </w:r>
      <w:r w:rsidRPr="0026411A">
        <w:rPr>
          <w:rFonts w:ascii="Arial" w:hAnsi="Arial" w:cs="Arial"/>
          <w:szCs w:val="14"/>
        </w:rPr>
        <w:t xml:space="preserve">alor total </w:t>
      </w:r>
      <w:r w:rsidRPr="00147860">
        <w:rPr>
          <w:rFonts w:ascii="Arial" w:hAnsi="Arial" w:cs="Arial"/>
          <w:szCs w:val="14"/>
        </w:rPr>
        <w:t>de R</w:t>
      </w:r>
      <w:r>
        <w:rPr>
          <w:rFonts w:ascii="Arial" w:hAnsi="Arial" w:cs="Arial"/>
          <w:color w:val="000000" w:themeColor="text1"/>
          <w:szCs w:val="14"/>
        </w:rPr>
        <w:t>$ 9.489</w:t>
      </w:r>
      <w:r w:rsidRPr="00431447">
        <w:rPr>
          <w:rFonts w:ascii="Arial" w:hAnsi="Arial" w:cs="Arial"/>
          <w:color w:val="000000" w:themeColor="text1"/>
          <w:szCs w:val="14"/>
        </w:rPr>
        <w:t xml:space="preserve"> mil em </w:t>
      </w:r>
      <w:r w:rsidRPr="00B60259">
        <w:rPr>
          <w:rFonts w:ascii="Arial" w:hAnsi="Arial" w:cs="Arial"/>
          <w:szCs w:val="14"/>
        </w:rPr>
        <w:t>3</w:t>
      </w:r>
      <w:r>
        <w:rPr>
          <w:rFonts w:ascii="Arial" w:hAnsi="Arial" w:cs="Arial"/>
          <w:szCs w:val="14"/>
        </w:rPr>
        <w:t>1</w:t>
      </w:r>
      <w:r w:rsidRPr="00B60259">
        <w:rPr>
          <w:rFonts w:ascii="Arial" w:hAnsi="Arial" w:cs="Arial"/>
          <w:szCs w:val="14"/>
        </w:rPr>
        <w:t>.</w:t>
      </w:r>
      <w:r>
        <w:rPr>
          <w:rFonts w:ascii="Arial" w:hAnsi="Arial" w:cs="Arial"/>
          <w:szCs w:val="14"/>
        </w:rPr>
        <w:t>12</w:t>
      </w:r>
      <w:r w:rsidRPr="00B60259">
        <w:rPr>
          <w:rFonts w:ascii="Arial" w:hAnsi="Arial" w:cs="Arial"/>
          <w:szCs w:val="14"/>
        </w:rPr>
        <w:t>.202</w:t>
      </w:r>
      <w:r>
        <w:rPr>
          <w:rFonts w:ascii="Arial" w:hAnsi="Arial" w:cs="Arial"/>
          <w:szCs w:val="14"/>
        </w:rPr>
        <w:t>1</w:t>
      </w:r>
      <w:r w:rsidRPr="00B60259">
        <w:rPr>
          <w:rFonts w:ascii="Arial" w:hAnsi="Arial" w:cs="Arial"/>
          <w:szCs w:val="14"/>
        </w:rPr>
        <w:t xml:space="preserve"> </w:t>
      </w:r>
      <w:r w:rsidRPr="0026411A">
        <w:rPr>
          <w:rFonts w:ascii="Arial" w:hAnsi="Arial" w:cs="Arial"/>
          <w:szCs w:val="14"/>
        </w:rPr>
        <w:t xml:space="preserve">(R$ </w:t>
      </w:r>
      <w:r w:rsidRPr="00B60259">
        <w:rPr>
          <w:rFonts w:ascii="Arial" w:hAnsi="Arial" w:cs="Arial"/>
          <w:szCs w:val="14"/>
        </w:rPr>
        <w:t xml:space="preserve">3.948 </w:t>
      </w:r>
      <w:r w:rsidRPr="0026411A">
        <w:rPr>
          <w:rFonts w:ascii="Arial" w:hAnsi="Arial" w:cs="Arial"/>
          <w:szCs w:val="14"/>
        </w:rPr>
        <w:t>mil em 31.12.20</w:t>
      </w:r>
      <w:r>
        <w:rPr>
          <w:rFonts w:ascii="Arial" w:hAnsi="Arial" w:cs="Arial"/>
          <w:szCs w:val="14"/>
        </w:rPr>
        <w:t>20</w:t>
      </w:r>
      <w:r w:rsidRPr="0026411A">
        <w:rPr>
          <w:rFonts w:ascii="Arial" w:hAnsi="Arial" w:cs="Arial"/>
          <w:szCs w:val="14"/>
        </w:rPr>
        <w:t>)</w:t>
      </w:r>
      <w:r>
        <w:rPr>
          <w:rFonts w:ascii="Arial" w:hAnsi="Arial" w:cs="Arial"/>
          <w:szCs w:val="14"/>
        </w:rPr>
        <w:t xml:space="preserve"> e Domo Ventures, valor total de R$ 999</w:t>
      </w:r>
      <w:r w:rsidRPr="000C70C6">
        <w:rPr>
          <w:rFonts w:ascii="Arial" w:hAnsi="Arial" w:cs="Arial"/>
          <w:color w:val="FF0000"/>
          <w:szCs w:val="14"/>
        </w:rPr>
        <w:t xml:space="preserve"> </w:t>
      </w:r>
      <w:r>
        <w:rPr>
          <w:rFonts w:ascii="Arial" w:hAnsi="Arial" w:cs="Arial"/>
          <w:szCs w:val="14"/>
        </w:rPr>
        <w:t>mil em 31.12.2021 (ainda não investido em 31.12.2020).</w:t>
      </w:r>
    </w:p>
    <w:p w14:paraId="16FB585B" w14:textId="77777777" w:rsidR="007D1BF4" w:rsidRPr="0026411A" w:rsidRDefault="007D1BF4" w:rsidP="007D1BF4">
      <w:pPr>
        <w:pStyle w:val="07-Legenda1"/>
        <w:numPr>
          <w:ilvl w:val="0"/>
          <w:numId w:val="10"/>
        </w:numPr>
        <w:tabs>
          <w:tab w:val="clear" w:pos="284"/>
        </w:tabs>
        <w:ind w:left="284" w:hanging="284"/>
        <w:rPr>
          <w:rFonts w:ascii="Arial" w:hAnsi="Arial" w:cs="Arial"/>
          <w:szCs w:val="14"/>
        </w:rPr>
      </w:pPr>
      <w:r w:rsidRPr="0026411A">
        <w:rPr>
          <w:rFonts w:ascii="Arial" w:hAnsi="Arial" w:cs="Arial"/>
          <w:szCs w:val="14"/>
        </w:rPr>
        <w:t>Inclui operações compromissadas lastreadas em títulos públicos federais.</w:t>
      </w:r>
    </w:p>
    <w:p w14:paraId="43795DE5" w14:textId="77777777" w:rsidR="007D1BF4" w:rsidRDefault="007D1BF4" w:rsidP="00C85E05">
      <w:pPr>
        <w:pStyle w:val="05-Textonormal"/>
      </w:pPr>
    </w:p>
    <w:p w14:paraId="2213F4EF" w14:textId="77777777" w:rsidR="007D1BF4" w:rsidRPr="00126179" w:rsidRDefault="007D1BF4" w:rsidP="00126179">
      <w:pPr>
        <w:pStyle w:val="06-Rmil"/>
      </w:pPr>
      <w:bookmarkStart w:id="45" w:name="_Hlk94020747"/>
      <w:r w:rsidRPr="005F2021">
        <w:lastRenderedPageBreak/>
        <w:t>R$ mil</w:t>
      </w:r>
    </w:p>
    <w:tbl>
      <w:tblPr>
        <w:tblW w:w="5000" w:type="pct"/>
        <w:jc w:val="center"/>
        <w:tblCellMar>
          <w:left w:w="28" w:type="dxa"/>
          <w:right w:w="28" w:type="dxa"/>
        </w:tblCellMar>
        <w:tblLook w:val="04A0" w:firstRow="1" w:lastRow="0" w:firstColumn="1" w:lastColumn="0" w:noHBand="0" w:noVBand="1"/>
      </w:tblPr>
      <w:tblGrid>
        <w:gridCol w:w="3094"/>
        <w:gridCol w:w="157"/>
        <w:gridCol w:w="1739"/>
        <w:gridCol w:w="1689"/>
        <w:gridCol w:w="1627"/>
        <w:gridCol w:w="1388"/>
      </w:tblGrid>
      <w:tr w:rsidR="007D1BF4" w:rsidRPr="004337A4" w14:paraId="37EE05D8" w14:textId="77777777" w:rsidTr="00DB4978">
        <w:trPr>
          <w:trHeight w:val="238"/>
          <w:jc w:val="center"/>
        </w:trPr>
        <w:tc>
          <w:tcPr>
            <w:tcW w:w="5000" w:type="pct"/>
            <w:gridSpan w:val="6"/>
            <w:tcBorders>
              <w:top w:val="single" w:sz="2" w:space="0" w:color="1F4E79" w:themeColor="accent1" w:themeShade="80"/>
              <w:left w:val="nil"/>
              <w:bottom w:val="single" w:sz="2" w:space="0" w:color="1F4E79" w:themeColor="accent1" w:themeShade="80"/>
              <w:right w:val="nil"/>
            </w:tcBorders>
            <w:shd w:val="clear" w:color="auto" w:fill="auto"/>
            <w:noWrap/>
            <w:vAlign w:val="center"/>
          </w:tcPr>
          <w:p w14:paraId="72A82706" w14:textId="77777777" w:rsidR="007D1BF4" w:rsidRDefault="007D1BF4" w:rsidP="00DB4978">
            <w:pPr>
              <w:pStyle w:val="08-Tabelageral"/>
              <w:jc w:val="center"/>
              <w:rPr>
                <w:rFonts w:cs="Arial"/>
                <w:b/>
              </w:rPr>
            </w:pPr>
            <w:r>
              <w:rPr>
                <w:rFonts w:cs="Arial"/>
                <w:b/>
              </w:rPr>
              <w:t>Consolidado</w:t>
            </w:r>
          </w:p>
        </w:tc>
      </w:tr>
      <w:tr w:rsidR="007D1BF4" w:rsidRPr="004337A4" w14:paraId="6E0705EF" w14:textId="77777777" w:rsidTr="00DB4978">
        <w:trPr>
          <w:trHeight w:val="238"/>
          <w:jc w:val="center"/>
        </w:trPr>
        <w:tc>
          <w:tcPr>
            <w:tcW w:w="1596" w:type="pct"/>
            <w:vMerge w:val="restart"/>
            <w:tcBorders>
              <w:top w:val="single" w:sz="2" w:space="0" w:color="1F4E79" w:themeColor="accent1" w:themeShade="80"/>
              <w:left w:val="nil"/>
              <w:bottom w:val="single" w:sz="2" w:space="0" w:color="1F4E79" w:themeColor="accent1" w:themeShade="80"/>
              <w:right w:val="nil"/>
            </w:tcBorders>
            <w:shd w:val="clear" w:color="auto" w:fill="auto"/>
            <w:noWrap/>
            <w:vAlign w:val="center"/>
            <w:hideMark/>
          </w:tcPr>
          <w:p w14:paraId="41630244" w14:textId="77777777" w:rsidR="007D1BF4" w:rsidRPr="004337A4" w:rsidRDefault="007D1BF4" w:rsidP="00FB7369">
            <w:pPr>
              <w:pStyle w:val="08-Tabelageral"/>
              <w:jc w:val="left"/>
              <w:rPr>
                <w:b/>
              </w:rPr>
            </w:pPr>
            <w:r w:rsidRPr="004337A4">
              <w:rPr>
                <w:b/>
              </w:rPr>
              <w:t>Títulos</w:t>
            </w:r>
          </w:p>
          <w:p w14:paraId="0E5AB988" w14:textId="77777777" w:rsidR="007D1BF4" w:rsidRPr="004337A4" w:rsidRDefault="007D1BF4" w:rsidP="00FB7369">
            <w:pPr>
              <w:pStyle w:val="08-Tabelageral"/>
              <w:jc w:val="left"/>
              <w:rPr>
                <w:b/>
              </w:rPr>
            </w:pPr>
            <w:r>
              <w:rPr>
                <w:b/>
              </w:rPr>
              <w:t xml:space="preserve">Privados - </w:t>
            </w:r>
          </w:p>
          <w:p w14:paraId="498C4D2E" w14:textId="77777777" w:rsidR="007D1BF4" w:rsidRPr="004337A4" w:rsidRDefault="007D1BF4" w:rsidP="00FB7369">
            <w:pPr>
              <w:pStyle w:val="08-Tabelageral"/>
              <w:jc w:val="left"/>
              <w:rPr>
                <w:b/>
              </w:rPr>
            </w:pPr>
            <w:r w:rsidRPr="004337A4">
              <w:rPr>
                <w:b/>
                <w:i/>
              </w:rPr>
              <w:t>Rating</w:t>
            </w:r>
            <w:r>
              <w:rPr>
                <w:b/>
                <w:i/>
              </w:rPr>
              <w:t xml:space="preserve"> </w:t>
            </w:r>
            <w:r w:rsidRPr="004337A4">
              <w:rPr>
                <w:b/>
                <w:vertAlign w:val="superscript"/>
              </w:rPr>
              <w:t>(1)</w:t>
            </w:r>
          </w:p>
        </w:tc>
        <w:tc>
          <w:tcPr>
            <w:tcW w:w="81" w:type="pct"/>
            <w:tcBorders>
              <w:top w:val="single" w:sz="2" w:space="0" w:color="1F4E79" w:themeColor="accent1" w:themeShade="80"/>
              <w:left w:val="nil"/>
              <w:bottom w:val="nil"/>
              <w:right w:val="nil"/>
            </w:tcBorders>
            <w:shd w:val="clear" w:color="auto" w:fill="auto"/>
            <w:vAlign w:val="bottom"/>
            <w:hideMark/>
          </w:tcPr>
          <w:p w14:paraId="2679AF16" w14:textId="77777777" w:rsidR="007D1BF4" w:rsidRPr="004337A4" w:rsidRDefault="007D1BF4" w:rsidP="005E3ACE">
            <w:pPr>
              <w:pStyle w:val="08-Tabelageral"/>
              <w:jc w:val="center"/>
              <w:rPr>
                <w:b/>
              </w:rPr>
            </w:pPr>
          </w:p>
        </w:tc>
        <w:tc>
          <w:tcPr>
            <w:tcW w:w="3323" w:type="pct"/>
            <w:gridSpan w:val="4"/>
            <w:tcBorders>
              <w:top w:val="single" w:sz="2" w:space="0" w:color="1F4E79" w:themeColor="accent1" w:themeShade="80"/>
              <w:left w:val="nil"/>
              <w:bottom w:val="single" w:sz="2" w:space="0" w:color="1F4E79" w:themeColor="accent1" w:themeShade="80"/>
              <w:right w:val="nil"/>
            </w:tcBorders>
            <w:shd w:val="clear" w:color="auto" w:fill="auto"/>
            <w:vAlign w:val="center"/>
          </w:tcPr>
          <w:p w14:paraId="253E9C83" w14:textId="77777777" w:rsidR="007D1BF4" w:rsidRPr="004337A4" w:rsidRDefault="007D1BF4" w:rsidP="00DB4978">
            <w:pPr>
              <w:pStyle w:val="08-Tabelageral"/>
              <w:jc w:val="center"/>
              <w:rPr>
                <w:b/>
              </w:rPr>
            </w:pPr>
            <w:r>
              <w:rPr>
                <w:rFonts w:cs="Arial"/>
                <w:b/>
              </w:rPr>
              <w:t xml:space="preserve">31.12.2020 </w:t>
            </w:r>
            <w:r w:rsidRPr="00C85E05">
              <w:rPr>
                <w:rFonts w:cs="Arial"/>
                <w:b/>
                <w:vertAlign w:val="superscript"/>
              </w:rPr>
              <w:t>(</w:t>
            </w:r>
            <w:r w:rsidRPr="00C85E05">
              <w:rPr>
                <w:b/>
                <w:vertAlign w:val="superscript"/>
              </w:rPr>
              <w:t>2)</w:t>
            </w:r>
          </w:p>
        </w:tc>
      </w:tr>
      <w:tr w:rsidR="007D1BF4" w:rsidRPr="004337A4" w14:paraId="10FF179A" w14:textId="77777777" w:rsidTr="00257655">
        <w:trPr>
          <w:trHeight w:val="238"/>
          <w:jc w:val="center"/>
        </w:trPr>
        <w:tc>
          <w:tcPr>
            <w:tcW w:w="1596" w:type="pct"/>
            <w:vMerge/>
            <w:tcBorders>
              <w:left w:val="nil"/>
              <w:bottom w:val="single" w:sz="2" w:space="0" w:color="1F4E79" w:themeColor="accent1" w:themeShade="80"/>
              <w:right w:val="nil"/>
            </w:tcBorders>
            <w:shd w:val="clear" w:color="auto" w:fill="auto"/>
            <w:vAlign w:val="center"/>
            <w:hideMark/>
          </w:tcPr>
          <w:p w14:paraId="1E7B9272" w14:textId="77777777" w:rsidR="007D1BF4" w:rsidRPr="004337A4" w:rsidRDefault="007D1BF4" w:rsidP="00FB7369">
            <w:pPr>
              <w:pStyle w:val="08-Tabelageral"/>
              <w:jc w:val="center"/>
              <w:rPr>
                <w:b/>
              </w:rPr>
            </w:pPr>
          </w:p>
        </w:tc>
        <w:tc>
          <w:tcPr>
            <w:tcW w:w="81" w:type="pct"/>
            <w:tcBorders>
              <w:left w:val="nil"/>
              <w:bottom w:val="single" w:sz="2" w:space="0" w:color="1F4E79" w:themeColor="accent1" w:themeShade="80"/>
              <w:right w:val="nil"/>
            </w:tcBorders>
            <w:shd w:val="clear" w:color="auto" w:fill="auto"/>
            <w:vAlign w:val="center"/>
            <w:hideMark/>
          </w:tcPr>
          <w:p w14:paraId="05ADD332" w14:textId="77777777" w:rsidR="007D1BF4" w:rsidRPr="004337A4" w:rsidRDefault="007D1BF4" w:rsidP="00FB7369">
            <w:pPr>
              <w:pStyle w:val="08-Tabelageral"/>
              <w:jc w:val="center"/>
              <w:rPr>
                <w:b/>
              </w:rPr>
            </w:pPr>
          </w:p>
        </w:tc>
        <w:tc>
          <w:tcPr>
            <w:tcW w:w="897" w:type="pct"/>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88BC5FB" w14:textId="77777777" w:rsidR="007D1BF4" w:rsidRPr="004337A4" w:rsidRDefault="007D1BF4" w:rsidP="00257655">
            <w:pPr>
              <w:pStyle w:val="08-Tabelageral"/>
              <w:rPr>
                <w:b/>
              </w:rPr>
            </w:pPr>
            <w:r w:rsidRPr="004337A4">
              <w:rPr>
                <w:b/>
              </w:rPr>
              <w:t>Debêntures</w:t>
            </w:r>
          </w:p>
        </w:tc>
        <w:tc>
          <w:tcPr>
            <w:tcW w:w="871" w:type="pct"/>
            <w:tcBorders>
              <w:top w:val="single" w:sz="2" w:space="0" w:color="1F4E79" w:themeColor="accent1" w:themeShade="80"/>
              <w:left w:val="nil"/>
              <w:bottom w:val="single" w:sz="2" w:space="0" w:color="1F4E79" w:themeColor="accent1" w:themeShade="80"/>
              <w:right w:val="nil"/>
            </w:tcBorders>
            <w:shd w:val="clear" w:color="auto" w:fill="auto"/>
            <w:vAlign w:val="center"/>
          </w:tcPr>
          <w:p w14:paraId="25371D74" w14:textId="77777777" w:rsidR="007D1BF4" w:rsidRDefault="007D1BF4" w:rsidP="00257655">
            <w:pPr>
              <w:pStyle w:val="08-Tabelageral"/>
              <w:rPr>
                <w:b/>
              </w:rPr>
            </w:pPr>
            <w:r>
              <w:rPr>
                <w:b/>
              </w:rPr>
              <w:t>Letras Financeiras</w:t>
            </w:r>
          </w:p>
        </w:tc>
        <w:tc>
          <w:tcPr>
            <w:tcW w:w="839" w:type="pct"/>
            <w:tcBorders>
              <w:top w:val="single" w:sz="2" w:space="0" w:color="1F4E79" w:themeColor="accent1" w:themeShade="80"/>
              <w:left w:val="nil"/>
              <w:bottom w:val="single" w:sz="2" w:space="0" w:color="1F4E79" w:themeColor="accent1" w:themeShade="80"/>
              <w:right w:val="nil"/>
            </w:tcBorders>
            <w:shd w:val="clear" w:color="auto" w:fill="auto"/>
            <w:vAlign w:val="center"/>
          </w:tcPr>
          <w:p w14:paraId="4E71BAF0" w14:textId="77777777" w:rsidR="007D1BF4" w:rsidRPr="004337A4" w:rsidRDefault="007D1BF4" w:rsidP="00257655">
            <w:pPr>
              <w:pStyle w:val="08-Tabelageral"/>
              <w:rPr>
                <w:b/>
              </w:rPr>
            </w:pPr>
            <w:r w:rsidRPr="004337A4">
              <w:rPr>
                <w:b/>
              </w:rPr>
              <w:t>Outros</w:t>
            </w:r>
            <w:r>
              <w:rPr>
                <w:b/>
              </w:rPr>
              <w:t xml:space="preserve"> </w:t>
            </w:r>
            <w:r w:rsidRPr="00A96DD7">
              <w:rPr>
                <w:b/>
                <w:vertAlign w:val="superscript"/>
              </w:rPr>
              <w:t>(</w:t>
            </w:r>
            <w:r>
              <w:rPr>
                <w:b/>
                <w:vertAlign w:val="superscript"/>
              </w:rPr>
              <w:t>3</w:t>
            </w:r>
            <w:r w:rsidRPr="00A96DD7">
              <w:rPr>
                <w:b/>
                <w:vertAlign w:val="superscript"/>
              </w:rPr>
              <w:t>)</w:t>
            </w:r>
          </w:p>
        </w:tc>
        <w:tc>
          <w:tcPr>
            <w:tcW w:w="716" w:type="pct"/>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C1D742F" w14:textId="77777777" w:rsidR="007D1BF4" w:rsidRPr="004337A4" w:rsidRDefault="007D1BF4" w:rsidP="00257655">
            <w:pPr>
              <w:pStyle w:val="08-Tabelageral"/>
              <w:rPr>
                <w:b/>
              </w:rPr>
            </w:pPr>
            <w:r w:rsidRPr="004337A4">
              <w:rPr>
                <w:b/>
              </w:rPr>
              <w:t>Total</w:t>
            </w:r>
          </w:p>
        </w:tc>
      </w:tr>
      <w:tr w:rsidR="007D1BF4" w:rsidRPr="004337A4" w14:paraId="54B143AF" w14:textId="77777777" w:rsidTr="00257655">
        <w:trPr>
          <w:trHeight w:val="238"/>
          <w:jc w:val="center"/>
        </w:trPr>
        <w:tc>
          <w:tcPr>
            <w:tcW w:w="1596" w:type="pct"/>
            <w:tcBorders>
              <w:top w:val="single" w:sz="2" w:space="0" w:color="1F4E79" w:themeColor="accent1" w:themeShade="80"/>
              <w:left w:val="nil"/>
              <w:bottom w:val="nil"/>
              <w:right w:val="nil"/>
            </w:tcBorders>
            <w:shd w:val="clear" w:color="auto" w:fill="auto"/>
            <w:noWrap/>
            <w:hideMark/>
          </w:tcPr>
          <w:p w14:paraId="25393169" w14:textId="77777777" w:rsidR="007D1BF4" w:rsidRPr="004337A4" w:rsidRDefault="007D1BF4" w:rsidP="000C70C6">
            <w:pPr>
              <w:pStyle w:val="08-Tabelageral"/>
              <w:jc w:val="left"/>
            </w:pPr>
            <w:r w:rsidRPr="004337A4">
              <w:t xml:space="preserve">AAA </w:t>
            </w:r>
          </w:p>
        </w:tc>
        <w:tc>
          <w:tcPr>
            <w:tcW w:w="81" w:type="pct"/>
            <w:tcBorders>
              <w:top w:val="single" w:sz="2" w:space="0" w:color="1F4E79" w:themeColor="accent1" w:themeShade="80"/>
              <w:left w:val="nil"/>
              <w:bottom w:val="nil"/>
              <w:right w:val="nil"/>
            </w:tcBorders>
            <w:shd w:val="clear" w:color="auto" w:fill="auto"/>
            <w:noWrap/>
            <w:vAlign w:val="center"/>
          </w:tcPr>
          <w:p w14:paraId="1E29410B" w14:textId="77777777" w:rsidR="007D1BF4" w:rsidRPr="004337A4" w:rsidRDefault="007D1BF4" w:rsidP="000C70C6">
            <w:pPr>
              <w:pStyle w:val="08-Tabelageral"/>
              <w:rPr>
                <w:rFonts w:cs="Arial"/>
                <w:szCs w:val="14"/>
              </w:rPr>
            </w:pPr>
          </w:p>
        </w:tc>
        <w:tc>
          <w:tcPr>
            <w:tcW w:w="897" w:type="pct"/>
            <w:tcBorders>
              <w:top w:val="single" w:sz="2" w:space="0" w:color="1F4E79" w:themeColor="accent1" w:themeShade="80"/>
              <w:left w:val="nil"/>
              <w:bottom w:val="nil"/>
              <w:right w:val="nil"/>
            </w:tcBorders>
            <w:shd w:val="clear" w:color="auto" w:fill="auto"/>
            <w:noWrap/>
            <w:vAlign w:val="center"/>
          </w:tcPr>
          <w:p w14:paraId="2FB109CE" w14:textId="77777777" w:rsidR="007D1BF4" w:rsidRPr="004337A4" w:rsidRDefault="007D1BF4" w:rsidP="000C70C6">
            <w:pPr>
              <w:pStyle w:val="08-Tabelageral"/>
              <w:rPr>
                <w:rFonts w:cs="Arial"/>
                <w:szCs w:val="14"/>
              </w:rPr>
            </w:pPr>
            <w:r>
              <w:rPr>
                <w:rFonts w:cs="Arial"/>
                <w:color w:val="000000"/>
                <w:szCs w:val="14"/>
              </w:rPr>
              <w:t>70</w:t>
            </w:r>
          </w:p>
        </w:tc>
        <w:tc>
          <w:tcPr>
            <w:tcW w:w="871" w:type="pct"/>
            <w:tcBorders>
              <w:top w:val="single" w:sz="2" w:space="0" w:color="1F4E79" w:themeColor="accent1" w:themeShade="80"/>
              <w:left w:val="nil"/>
              <w:bottom w:val="nil"/>
              <w:right w:val="nil"/>
            </w:tcBorders>
            <w:shd w:val="clear" w:color="auto" w:fill="auto"/>
            <w:vAlign w:val="center"/>
          </w:tcPr>
          <w:p w14:paraId="35D1F044" w14:textId="77777777" w:rsidR="007D1BF4" w:rsidRPr="008E5E40" w:rsidRDefault="007D1BF4" w:rsidP="000C70C6">
            <w:pPr>
              <w:pStyle w:val="08-Tabelageral"/>
            </w:pPr>
            <w:r>
              <w:rPr>
                <w:rFonts w:cs="Arial"/>
                <w:color w:val="000000"/>
                <w:szCs w:val="14"/>
              </w:rPr>
              <w:t>18</w:t>
            </w:r>
          </w:p>
        </w:tc>
        <w:tc>
          <w:tcPr>
            <w:tcW w:w="839" w:type="pct"/>
            <w:tcBorders>
              <w:top w:val="single" w:sz="2" w:space="0" w:color="1F4E79" w:themeColor="accent1" w:themeShade="80"/>
              <w:left w:val="nil"/>
              <w:bottom w:val="nil"/>
              <w:right w:val="nil"/>
            </w:tcBorders>
            <w:shd w:val="clear" w:color="auto" w:fill="auto"/>
            <w:vAlign w:val="center"/>
          </w:tcPr>
          <w:p w14:paraId="51FB1EAB" w14:textId="77777777" w:rsidR="007D1BF4" w:rsidRPr="004337A4" w:rsidRDefault="007D1BF4" w:rsidP="000C70C6">
            <w:pPr>
              <w:pStyle w:val="08-Tabelageral"/>
              <w:rPr>
                <w:rFonts w:cs="Arial"/>
                <w:szCs w:val="14"/>
              </w:rPr>
            </w:pPr>
            <w:r>
              <w:rPr>
                <w:rFonts w:cs="Arial"/>
                <w:color w:val="000000"/>
                <w:szCs w:val="14"/>
              </w:rPr>
              <w:t>5</w:t>
            </w:r>
          </w:p>
        </w:tc>
        <w:tc>
          <w:tcPr>
            <w:tcW w:w="716" w:type="pct"/>
            <w:tcBorders>
              <w:top w:val="single" w:sz="2" w:space="0" w:color="1F4E79" w:themeColor="accent1" w:themeShade="80"/>
              <w:left w:val="nil"/>
              <w:bottom w:val="nil"/>
              <w:right w:val="nil"/>
            </w:tcBorders>
            <w:shd w:val="clear" w:color="auto" w:fill="auto"/>
            <w:noWrap/>
            <w:vAlign w:val="center"/>
          </w:tcPr>
          <w:p w14:paraId="29D46847" w14:textId="77777777" w:rsidR="007D1BF4" w:rsidRPr="00D61833" w:rsidRDefault="007D1BF4" w:rsidP="000C70C6">
            <w:pPr>
              <w:pStyle w:val="08-Tabelageral"/>
              <w:rPr>
                <w:rFonts w:cs="Arial"/>
                <w:b/>
                <w:bCs/>
                <w:szCs w:val="14"/>
              </w:rPr>
            </w:pPr>
            <w:r>
              <w:rPr>
                <w:rFonts w:cs="Arial"/>
                <w:b/>
                <w:bCs/>
                <w:color w:val="000000"/>
                <w:szCs w:val="14"/>
              </w:rPr>
              <w:t>93</w:t>
            </w:r>
          </w:p>
        </w:tc>
      </w:tr>
      <w:tr w:rsidR="007D1BF4" w:rsidRPr="004337A4" w14:paraId="246051B2" w14:textId="77777777" w:rsidTr="00257655">
        <w:trPr>
          <w:trHeight w:val="238"/>
          <w:jc w:val="center"/>
        </w:trPr>
        <w:tc>
          <w:tcPr>
            <w:tcW w:w="1596" w:type="pct"/>
            <w:tcBorders>
              <w:top w:val="nil"/>
              <w:left w:val="nil"/>
              <w:bottom w:val="nil"/>
              <w:right w:val="nil"/>
            </w:tcBorders>
            <w:shd w:val="clear" w:color="auto" w:fill="auto"/>
            <w:noWrap/>
          </w:tcPr>
          <w:p w14:paraId="2F7E6CE3" w14:textId="77777777" w:rsidR="007D1BF4" w:rsidRPr="004337A4" w:rsidRDefault="007D1BF4" w:rsidP="000C70C6">
            <w:pPr>
              <w:pStyle w:val="08-Tabelageral"/>
              <w:jc w:val="left"/>
            </w:pPr>
            <w:r w:rsidRPr="004337A4">
              <w:t>AA+ / AA / AA-</w:t>
            </w:r>
          </w:p>
        </w:tc>
        <w:tc>
          <w:tcPr>
            <w:tcW w:w="81" w:type="pct"/>
            <w:tcBorders>
              <w:top w:val="nil"/>
              <w:left w:val="nil"/>
              <w:bottom w:val="nil"/>
              <w:right w:val="nil"/>
            </w:tcBorders>
            <w:shd w:val="clear" w:color="auto" w:fill="auto"/>
            <w:noWrap/>
            <w:vAlign w:val="center"/>
          </w:tcPr>
          <w:p w14:paraId="202411EA" w14:textId="77777777" w:rsidR="007D1BF4" w:rsidRPr="004337A4" w:rsidRDefault="007D1BF4" w:rsidP="000C70C6">
            <w:pPr>
              <w:pStyle w:val="08-Tabelageral"/>
              <w:rPr>
                <w:rFonts w:cs="Arial"/>
                <w:szCs w:val="14"/>
              </w:rPr>
            </w:pPr>
          </w:p>
        </w:tc>
        <w:tc>
          <w:tcPr>
            <w:tcW w:w="897" w:type="pct"/>
            <w:tcBorders>
              <w:top w:val="nil"/>
              <w:left w:val="nil"/>
              <w:bottom w:val="nil"/>
              <w:right w:val="nil"/>
            </w:tcBorders>
            <w:shd w:val="clear" w:color="auto" w:fill="auto"/>
            <w:noWrap/>
            <w:vAlign w:val="center"/>
          </w:tcPr>
          <w:p w14:paraId="22D0027F" w14:textId="77777777" w:rsidR="007D1BF4" w:rsidRPr="004337A4" w:rsidRDefault="007D1BF4" w:rsidP="000C70C6">
            <w:pPr>
              <w:pStyle w:val="08-Tabelageral"/>
              <w:rPr>
                <w:rFonts w:cs="Arial"/>
                <w:szCs w:val="14"/>
              </w:rPr>
            </w:pPr>
            <w:r>
              <w:rPr>
                <w:rFonts w:cs="Arial"/>
                <w:color w:val="000000"/>
                <w:szCs w:val="14"/>
              </w:rPr>
              <w:t>51</w:t>
            </w:r>
          </w:p>
        </w:tc>
        <w:tc>
          <w:tcPr>
            <w:tcW w:w="871" w:type="pct"/>
            <w:tcBorders>
              <w:top w:val="nil"/>
              <w:left w:val="nil"/>
              <w:bottom w:val="nil"/>
              <w:right w:val="nil"/>
            </w:tcBorders>
            <w:shd w:val="clear" w:color="auto" w:fill="auto"/>
            <w:vAlign w:val="center"/>
          </w:tcPr>
          <w:p w14:paraId="20FC765D" w14:textId="77777777" w:rsidR="007D1BF4" w:rsidRPr="008E5E40" w:rsidRDefault="007D1BF4" w:rsidP="000C70C6">
            <w:pPr>
              <w:pStyle w:val="08-Tabelageral"/>
            </w:pPr>
            <w:r>
              <w:rPr>
                <w:rFonts w:cs="Arial"/>
                <w:color w:val="000000"/>
                <w:szCs w:val="14"/>
              </w:rPr>
              <w:t>449.787</w:t>
            </w:r>
          </w:p>
        </w:tc>
        <w:tc>
          <w:tcPr>
            <w:tcW w:w="839" w:type="pct"/>
            <w:tcBorders>
              <w:top w:val="nil"/>
              <w:left w:val="nil"/>
              <w:bottom w:val="nil"/>
              <w:right w:val="nil"/>
            </w:tcBorders>
            <w:shd w:val="clear" w:color="auto" w:fill="auto"/>
            <w:vAlign w:val="center"/>
          </w:tcPr>
          <w:p w14:paraId="1055986B" w14:textId="77777777" w:rsidR="007D1BF4" w:rsidRPr="004337A4" w:rsidRDefault="007D1BF4" w:rsidP="000C70C6">
            <w:pPr>
              <w:pStyle w:val="08-Tabelageral"/>
              <w:rPr>
                <w:rFonts w:cs="Arial"/>
                <w:szCs w:val="14"/>
              </w:rPr>
            </w:pPr>
            <w:r>
              <w:rPr>
                <w:rFonts w:cs="Arial"/>
                <w:color w:val="000000"/>
                <w:szCs w:val="14"/>
              </w:rPr>
              <w:t>5</w:t>
            </w:r>
          </w:p>
        </w:tc>
        <w:tc>
          <w:tcPr>
            <w:tcW w:w="716" w:type="pct"/>
            <w:tcBorders>
              <w:top w:val="nil"/>
              <w:left w:val="nil"/>
              <w:bottom w:val="nil"/>
              <w:right w:val="nil"/>
            </w:tcBorders>
            <w:shd w:val="clear" w:color="auto" w:fill="auto"/>
            <w:noWrap/>
            <w:vAlign w:val="center"/>
          </w:tcPr>
          <w:p w14:paraId="3EC4F10D" w14:textId="77777777" w:rsidR="007D1BF4" w:rsidRPr="00D61833" w:rsidRDefault="007D1BF4" w:rsidP="000C70C6">
            <w:pPr>
              <w:pStyle w:val="08-Tabelageral"/>
              <w:rPr>
                <w:rFonts w:cs="Arial"/>
                <w:b/>
                <w:bCs/>
                <w:szCs w:val="14"/>
              </w:rPr>
            </w:pPr>
            <w:r>
              <w:rPr>
                <w:rFonts w:cs="Arial"/>
                <w:b/>
                <w:bCs/>
                <w:color w:val="000000"/>
                <w:szCs w:val="14"/>
              </w:rPr>
              <w:t>449.843</w:t>
            </w:r>
          </w:p>
        </w:tc>
      </w:tr>
      <w:tr w:rsidR="007D1BF4" w:rsidRPr="004337A4" w14:paraId="2359597F" w14:textId="77777777" w:rsidTr="00257655">
        <w:trPr>
          <w:trHeight w:val="238"/>
          <w:jc w:val="center"/>
        </w:trPr>
        <w:tc>
          <w:tcPr>
            <w:tcW w:w="1596" w:type="pct"/>
            <w:tcBorders>
              <w:top w:val="nil"/>
              <w:left w:val="nil"/>
              <w:bottom w:val="nil"/>
              <w:right w:val="nil"/>
            </w:tcBorders>
            <w:shd w:val="clear" w:color="auto" w:fill="auto"/>
            <w:noWrap/>
          </w:tcPr>
          <w:p w14:paraId="1E2AE891" w14:textId="77777777" w:rsidR="007D1BF4" w:rsidRPr="004337A4" w:rsidRDefault="007D1BF4" w:rsidP="000C70C6">
            <w:pPr>
              <w:pStyle w:val="08-Tabelageral"/>
              <w:jc w:val="left"/>
            </w:pPr>
            <w:r w:rsidRPr="004337A4">
              <w:t>A+ / A / A-</w:t>
            </w:r>
          </w:p>
        </w:tc>
        <w:tc>
          <w:tcPr>
            <w:tcW w:w="81" w:type="pct"/>
            <w:tcBorders>
              <w:top w:val="nil"/>
              <w:left w:val="nil"/>
              <w:bottom w:val="nil"/>
              <w:right w:val="nil"/>
            </w:tcBorders>
            <w:shd w:val="clear" w:color="auto" w:fill="auto"/>
            <w:noWrap/>
            <w:vAlign w:val="center"/>
          </w:tcPr>
          <w:p w14:paraId="6F28C06A" w14:textId="77777777" w:rsidR="007D1BF4" w:rsidRPr="004337A4" w:rsidRDefault="007D1BF4" w:rsidP="000C70C6">
            <w:pPr>
              <w:pStyle w:val="08-Tabelageral"/>
              <w:rPr>
                <w:rFonts w:cs="Arial"/>
                <w:szCs w:val="14"/>
              </w:rPr>
            </w:pPr>
          </w:p>
        </w:tc>
        <w:tc>
          <w:tcPr>
            <w:tcW w:w="897" w:type="pct"/>
            <w:tcBorders>
              <w:top w:val="nil"/>
              <w:left w:val="nil"/>
              <w:bottom w:val="nil"/>
              <w:right w:val="nil"/>
            </w:tcBorders>
            <w:shd w:val="clear" w:color="auto" w:fill="auto"/>
            <w:noWrap/>
            <w:vAlign w:val="center"/>
          </w:tcPr>
          <w:p w14:paraId="096A9620" w14:textId="77777777" w:rsidR="007D1BF4" w:rsidRPr="004337A4" w:rsidRDefault="007D1BF4" w:rsidP="000C70C6">
            <w:pPr>
              <w:pStyle w:val="08-Tabelageral"/>
              <w:rPr>
                <w:rFonts w:cs="Arial"/>
                <w:szCs w:val="14"/>
              </w:rPr>
            </w:pPr>
            <w:r>
              <w:rPr>
                <w:rFonts w:cs="Arial"/>
                <w:color w:val="000000"/>
                <w:szCs w:val="14"/>
              </w:rPr>
              <w:t>2</w:t>
            </w:r>
          </w:p>
        </w:tc>
        <w:tc>
          <w:tcPr>
            <w:tcW w:w="871" w:type="pct"/>
            <w:tcBorders>
              <w:top w:val="nil"/>
              <w:left w:val="nil"/>
              <w:bottom w:val="nil"/>
              <w:right w:val="nil"/>
            </w:tcBorders>
            <w:shd w:val="clear" w:color="auto" w:fill="auto"/>
          </w:tcPr>
          <w:p w14:paraId="590E0797" w14:textId="77777777" w:rsidR="007D1BF4" w:rsidRPr="008E5E40" w:rsidRDefault="007D1BF4" w:rsidP="000C70C6">
            <w:pPr>
              <w:pStyle w:val="08-Tabelageral"/>
            </w:pPr>
            <w:r w:rsidRPr="00F6656F">
              <w:rPr>
                <w:rFonts w:cs="Arial"/>
                <w:color w:val="000000"/>
                <w:szCs w:val="14"/>
              </w:rPr>
              <w:t>--</w:t>
            </w:r>
          </w:p>
        </w:tc>
        <w:tc>
          <w:tcPr>
            <w:tcW w:w="839" w:type="pct"/>
            <w:tcBorders>
              <w:top w:val="nil"/>
              <w:left w:val="nil"/>
              <w:bottom w:val="nil"/>
              <w:right w:val="nil"/>
            </w:tcBorders>
            <w:shd w:val="clear" w:color="auto" w:fill="auto"/>
            <w:vAlign w:val="center"/>
          </w:tcPr>
          <w:p w14:paraId="0A460E04" w14:textId="77777777" w:rsidR="007D1BF4" w:rsidRPr="004337A4" w:rsidRDefault="007D1BF4" w:rsidP="000C70C6">
            <w:pPr>
              <w:pStyle w:val="08-Tabelageral"/>
              <w:rPr>
                <w:rFonts w:cs="Arial"/>
                <w:szCs w:val="14"/>
              </w:rPr>
            </w:pPr>
            <w:r>
              <w:rPr>
                <w:rFonts w:cs="Arial"/>
                <w:color w:val="000000"/>
                <w:szCs w:val="14"/>
              </w:rPr>
              <w:t>1</w:t>
            </w:r>
          </w:p>
        </w:tc>
        <w:tc>
          <w:tcPr>
            <w:tcW w:w="716" w:type="pct"/>
            <w:tcBorders>
              <w:top w:val="nil"/>
              <w:left w:val="nil"/>
              <w:bottom w:val="nil"/>
              <w:right w:val="nil"/>
            </w:tcBorders>
            <w:shd w:val="clear" w:color="auto" w:fill="auto"/>
            <w:noWrap/>
            <w:vAlign w:val="center"/>
          </w:tcPr>
          <w:p w14:paraId="3C9460FB" w14:textId="77777777" w:rsidR="007D1BF4" w:rsidRPr="00D61833" w:rsidRDefault="007D1BF4" w:rsidP="000C70C6">
            <w:pPr>
              <w:pStyle w:val="08-Tabelageral"/>
              <w:rPr>
                <w:rFonts w:cs="Arial"/>
                <w:b/>
                <w:bCs/>
                <w:szCs w:val="14"/>
              </w:rPr>
            </w:pPr>
            <w:r>
              <w:rPr>
                <w:rFonts w:cs="Arial"/>
                <w:b/>
                <w:bCs/>
                <w:color w:val="000000"/>
                <w:szCs w:val="14"/>
              </w:rPr>
              <w:t>3</w:t>
            </w:r>
          </w:p>
        </w:tc>
      </w:tr>
      <w:tr w:rsidR="007D1BF4" w:rsidRPr="004337A4" w14:paraId="7824755B" w14:textId="77777777" w:rsidTr="00257655">
        <w:trPr>
          <w:trHeight w:val="238"/>
          <w:jc w:val="center"/>
        </w:trPr>
        <w:tc>
          <w:tcPr>
            <w:tcW w:w="1596" w:type="pct"/>
            <w:tcBorders>
              <w:top w:val="nil"/>
              <w:left w:val="nil"/>
              <w:bottom w:val="nil"/>
              <w:right w:val="nil"/>
            </w:tcBorders>
            <w:shd w:val="clear" w:color="auto" w:fill="auto"/>
            <w:noWrap/>
          </w:tcPr>
          <w:p w14:paraId="35CB2E96" w14:textId="77777777" w:rsidR="007D1BF4" w:rsidRPr="004337A4" w:rsidRDefault="007D1BF4" w:rsidP="00375F68">
            <w:pPr>
              <w:pStyle w:val="08-Tabelageral"/>
              <w:jc w:val="left"/>
            </w:pPr>
            <w:r w:rsidRPr="004337A4">
              <w:t>BBB+ / BBB / BBB-</w:t>
            </w:r>
          </w:p>
        </w:tc>
        <w:tc>
          <w:tcPr>
            <w:tcW w:w="81" w:type="pct"/>
            <w:tcBorders>
              <w:top w:val="nil"/>
              <w:left w:val="nil"/>
              <w:bottom w:val="nil"/>
              <w:right w:val="nil"/>
            </w:tcBorders>
            <w:shd w:val="clear" w:color="auto" w:fill="auto"/>
            <w:noWrap/>
            <w:vAlign w:val="center"/>
          </w:tcPr>
          <w:p w14:paraId="4EC6F4FA" w14:textId="77777777" w:rsidR="007D1BF4" w:rsidRPr="004337A4" w:rsidRDefault="007D1BF4" w:rsidP="00375F68">
            <w:pPr>
              <w:pStyle w:val="08-Tabelageral"/>
              <w:rPr>
                <w:rFonts w:cs="Arial"/>
                <w:szCs w:val="14"/>
              </w:rPr>
            </w:pPr>
          </w:p>
        </w:tc>
        <w:tc>
          <w:tcPr>
            <w:tcW w:w="897" w:type="pct"/>
            <w:tcBorders>
              <w:top w:val="nil"/>
              <w:left w:val="nil"/>
              <w:bottom w:val="nil"/>
              <w:right w:val="nil"/>
            </w:tcBorders>
            <w:shd w:val="clear" w:color="auto" w:fill="auto"/>
            <w:noWrap/>
          </w:tcPr>
          <w:p w14:paraId="41B0F569" w14:textId="77777777" w:rsidR="007D1BF4" w:rsidRPr="004337A4" w:rsidRDefault="007D1BF4" w:rsidP="00375F68">
            <w:pPr>
              <w:pStyle w:val="08-Tabelageral"/>
            </w:pPr>
            <w:r w:rsidRPr="00B145F3">
              <w:rPr>
                <w:rFonts w:cs="Arial"/>
                <w:color w:val="000000"/>
                <w:szCs w:val="14"/>
              </w:rPr>
              <w:t>--</w:t>
            </w:r>
          </w:p>
        </w:tc>
        <w:tc>
          <w:tcPr>
            <w:tcW w:w="871" w:type="pct"/>
            <w:tcBorders>
              <w:top w:val="nil"/>
              <w:left w:val="nil"/>
              <w:bottom w:val="nil"/>
              <w:right w:val="nil"/>
            </w:tcBorders>
            <w:shd w:val="clear" w:color="auto" w:fill="auto"/>
          </w:tcPr>
          <w:p w14:paraId="3CC387C6" w14:textId="77777777" w:rsidR="007D1BF4" w:rsidRDefault="007D1BF4" w:rsidP="00375F68">
            <w:pPr>
              <w:pStyle w:val="08-Tabelageral"/>
            </w:pPr>
            <w:r w:rsidRPr="00F6656F">
              <w:rPr>
                <w:rFonts w:cs="Arial"/>
                <w:color w:val="000000"/>
                <w:szCs w:val="14"/>
              </w:rPr>
              <w:t>--</w:t>
            </w:r>
          </w:p>
        </w:tc>
        <w:tc>
          <w:tcPr>
            <w:tcW w:w="839" w:type="pct"/>
            <w:tcBorders>
              <w:top w:val="nil"/>
              <w:left w:val="nil"/>
              <w:bottom w:val="nil"/>
              <w:right w:val="nil"/>
            </w:tcBorders>
            <w:shd w:val="clear" w:color="auto" w:fill="auto"/>
            <w:vAlign w:val="center"/>
          </w:tcPr>
          <w:p w14:paraId="343C8D79" w14:textId="77777777" w:rsidR="007D1BF4" w:rsidRPr="004337A4" w:rsidDel="009D4ED3" w:rsidRDefault="007D1BF4" w:rsidP="00375F68">
            <w:pPr>
              <w:pStyle w:val="08-Tabelageral"/>
            </w:pPr>
            <w:r>
              <w:rPr>
                <w:rFonts w:cs="Arial"/>
                <w:color w:val="000000"/>
                <w:szCs w:val="14"/>
              </w:rPr>
              <w:t>2</w:t>
            </w:r>
          </w:p>
        </w:tc>
        <w:tc>
          <w:tcPr>
            <w:tcW w:w="716" w:type="pct"/>
            <w:tcBorders>
              <w:top w:val="nil"/>
              <w:left w:val="nil"/>
              <w:bottom w:val="nil"/>
              <w:right w:val="nil"/>
            </w:tcBorders>
            <w:shd w:val="clear" w:color="auto" w:fill="auto"/>
            <w:noWrap/>
            <w:vAlign w:val="center"/>
          </w:tcPr>
          <w:p w14:paraId="120C2CEF" w14:textId="77777777" w:rsidR="007D1BF4" w:rsidRPr="00D61833" w:rsidRDefault="007D1BF4" w:rsidP="00375F68">
            <w:pPr>
              <w:pStyle w:val="08-Tabelageral"/>
              <w:rPr>
                <w:b/>
              </w:rPr>
            </w:pPr>
            <w:r>
              <w:rPr>
                <w:rFonts w:cs="Arial"/>
                <w:b/>
                <w:bCs/>
                <w:color w:val="000000"/>
                <w:szCs w:val="14"/>
              </w:rPr>
              <w:t>2</w:t>
            </w:r>
          </w:p>
        </w:tc>
      </w:tr>
      <w:tr w:rsidR="007D1BF4" w:rsidRPr="004337A4" w14:paraId="2BAE785B" w14:textId="77777777" w:rsidTr="00257655">
        <w:trPr>
          <w:trHeight w:val="238"/>
          <w:jc w:val="center"/>
        </w:trPr>
        <w:tc>
          <w:tcPr>
            <w:tcW w:w="1596" w:type="pct"/>
            <w:tcBorders>
              <w:top w:val="nil"/>
              <w:left w:val="nil"/>
              <w:bottom w:val="nil"/>
              <w:right w:val="nil"/>
            </w:tcBorders>
            <w:shd w:val="clear" w:color="auto" w:fill="auto"/>
            <w:noWrap/>
          </w:tcPr>
          <w:p w14:paraId="29B72E87" w14:textId="77777777" w:rsidR="007D1BF4" w:rsidRPr="004337A4" w:rsidRDefault="007D1BF4" w:rsidP="00375F68">
            <w:pPr>
              <w:pStyle w:val="08-Tabelageral"/>
              <w:jc w:val="left"/>
            </w:pPr>
            <w:r w:rsidRPr="004337A4">
              <w:t xml:space="preserve">BB+ / BB / BB- </w:t>
            </w:r>
          </w:p>
        </w:tc>
        <w:tc>
          <w:tcPr>
            <w:tcW w:w="81" w:type="pct"/>
            <w:tcBorders>
              <w:top w:val="nil"/>
              <w:left w:val="nil"/>
              <w:bottom w:val="nil"/>
              <w:right w:val="nil"/>
            </w:tcBorders>
            <w:shd w:val="clear" w:color="auto" w:fill="auto"/>
            <w:noWrap/>
            <w:vAlign w:val="center"/>
          </w:tcPr>
          <w:p w14:paraId="7380BE4B" w14:textId="77777777" w:rsidR="007D1BF4" w:rsidRPr="004337A4" w:rsidRDefault="007D1BF4" w:rsidP="00375F68">
            <w:pPr>
              <w:pStyle w:val="08-Tabelageral"/>
              <w:rPr>
                <w:rFonts w:cs="Arial"/>
                <w:szCs w:val="14"/>
              </w:rPr>
            </w:pPr>
          </w:p>
        </w:tc>
        <w:tc>
          <w:tcPr>
            <w:tcW w:w="897" w:type="pct"/>
            <w:tcBorders>
              <w:top w:val="nil"/>
              <w:left w:val="nil"/>
              <w:bottom w:val="nil"/>
              <w:right w:val="nil"/>
            </w:tcBorders>
            <w:shd w:val="clear" w:color="auto" w:fill="auto"/>
            <w:noWrap/>
          </w:tcPr>
          <w:p w14:paraId="2D112780" w14:textId="77777777" w:rsidR="007D1BF4" w:rsidRPr="004337A4" w:rsidRDefault="007D1BF4" w:rsidP="00375F68">
            <w:pPr>
              <w:pStyle w:val="08-Tabelageral"/>
            </w:pPr>
            <w:r w:rsidRPr="00B145F3">
              <w:rPr>
                <w:rFonts w:cs="Arial"/>
                <w:color w:val="000000"/>
                <w:szCs w:val="14"/>
              </w:rPr>
              <w:t>--</w:t>
            </w:r>
          </w:p>
        </w:tc>
        <w:tc>
          <w:tcPr>
            <w:tcW w:w="871" w:type="pct"/>
            <w:tcBorders>
              <w:top w:val="nil"/>
              <w:left w:val="nil"/>
              <w:bottom w:val="nil"/>
              <w:right w:val="nil"/>
            </w:tcBorders>
            <w:shd w:val="clear" w:color="auto" w:fill="auto"/>
          </w:tcPr>
          <w:p w14:paraId="062534D7" w14:textId="77777777" w:rsidR="007D1BF4" w:rsidRPr="008E5E40" w:rsidRDefault="007D1BF4" w:rsidP="00375F68">
            <w:pPr>
              <w:pStyle w:val="08-Tabelageral"/>
            </w:pPr>
            <w:r w:rsidRPr="00F6656F">
              <w:rPr>
                <w:rFonts w:cs="Arial"/>
                <w:color w:val="000000"/>
                <w:szCs w:val="14"/>
              </w:rPr>
              <w:t>--</w:t>
            </w:r>
          </w:p>
        </w:tc>
        <w:tc>
          <w:tcPr>
            <w:tcW w:w="839" w:type="pct"/>
            <w:tcBorders>
              <w:top w:val="nil"/>
              <w:left w:val="nil"/>
              <w:bottom w:val="nil"/>
              <w:right w:val="nil"/>
            </w:tcBorders>
            <w:shd w:val="clear" w:color="auto" w:fill="auto"/>
            <w:vAlign w:val="center"/>
          </w:tcPr>
          <w:p w14:paraId="5C68DFB0" w14:textId="77777777" w:rsidR="007D1BF4" w:rsidRPr="004337A4" w:rsidDel="009D4ED3" w:rsidRDefault="007D1BF4" w:rsidP="00375F68">
            <w:pPr>
              <w:pStyle w:val="08-Tabelageral"/>
            </w:pPr>
            <w:r>
              <w:rPr>
                <w:rFonts w:cs="Arial"/>
                <w:color w:val="000000"/>
                <w:szCs w:val="14"/>
              </w:rPr>
              <w:t>1</w:t>
            </w:r>
          </w:p>
        </w:tc>
        <w:tc>
          <w:tcPr>
            <w:tcW w:w="716" w:type="pct"/>
            <w:tcBorders>
              <w:top w:val="nil"/>
              <w:left w:val="nil"/>
              <w:bottom w:val="nil"/>
              <w:right w:val="nil"/>
            </w:tcBorders>
            <w:shd w:val="clear" w:color="auto" w:fill="auto"/>
            <w:noWrap/>
            <w:vAlign w:val="center"/>
          </w:tcPr>
          <w:p w14:paraId="3E5A5CFF" w14:textId="77777777" w:rsidR="007D1BF4" w:rsidRPr="00D61833" w:rsidRDefault="007D1BF4" w:rsidP="00375F68">
            <w:pPr>
              <w:pStyle w:val="08-Tabelageral"/>
              <w:rPr>
                <w:b/>
              </w:rPr>
            </w:pPr>
            <w:r>
              <w:rPr>
                <w:rFonts w:cs="Arial"/>
                <w:b/>
                <w:bCs/>
                <w:color w:val="000000"/>
                <w:szCs w:val="14"/>
              </w:rPr>
              <w:t>1</w:t>
            </w:r>
          </w:p>
        </w:tc>
      </w:tr>
      <w:tr w:rsidR="007D1BF4" w:rsidRPr="004337A4" w14:paraId="6E4BE2CA" w14:textId="77777777" w:rsidTr="00257655">
        <w:trPr>
          <w:trHeight w:val="238"/>
          <w:jc w:val="center"/>
        </w:trPr>
        <w:tc>
          <w:tcPr>
            <w:tcW w:w="1596" w:type="pct"/>
            <w:tcBorders>
              <w:top w:val="nil"/>
              <w:left w:val="nil"/>
              <w:bottom w:val="nil"/>
              <w:right w:val="nil"/>
            </w:tcBorders>
            <w:shd w:val="clear" w:color="auto" w:fill="auto"/>
            <w:noWrap/>
          </w:tcPr>
          <w:p w14:paraId="5F4C0D1A" w14:textId="77777777" w:rsidR="007D1BF4" w:rsidRPr="004337A4" w:rsidRDefault="007D1BF4" w:rsidP="00375F68">
            <w:pPr>
              <w:pStyle w:val="08-Tabelageral"/>
              <w:jc w:val="left"/>
            </w:pPr>
            <w:r w:rsidRPr="004337A4">
              <w:t>B+ / B / B-</w:t>
            </w:r>
          </w:p>
        </w:tc>
        <w:tc>
          <w:tcPr>
            <w:tcW w:w="81" w:type="pct"/>
            <w:tcBorders>
              <w:top w:val="nil"/>
              <w:left w:val="nil"/>
              <w:bottom w:val="nil"/>
              <w:right w:val="nil"/>
            </w:tcBorders>
            <w:shd w:val="clear" w:color="auto" w:fill="auto"/>
            <w:noWrap/>
            <w:vAlign w:val="center"/>
          </w:tcPr>
          <w:p w14:paraId="039F9AAE" w14:textId="77777777" w:rsidR="007D1BF4" w:rsidRPr="004337A4" w:rsidRDefault="007D1BF4" w:rsidP="00375F68">
            <w:pPr>
              <w:pStyle w:val="08-Tabelageral"/>
              <w:rPr>
                <w:rFonts w:cs="Arial"/>
                <w:szCs w:val="14"/>
              </w:rPr>
            </w:pPr>
          </w:p>
        </w:tc>
        <w:tc>
          <w:tcPr>
            <w:tcW w:w="897" w:type="pct"/>
            <w:tcBorders>
              <w:top w:val="nil"/>
              <w:left w:val="nil"/>
              <w:bottom w:val="nil"/>
              <w:right w:val="nil"/>
            </w:tcBorders>
            <w:shd w:val="clear" w:color="auto" w:fill="auto"/>
            <w:noWrap/>
            <w:vAlign w:val="center"/>
          </w:tcPr>
          <w:p w14:paraId="1CFDBED5" w14:textId="77777777" w:rsidR="007D1BF4" w:rsidRPr="004337A4" w:rsidRDefault="007D1BF4" w:rsidP="00375F68">
            <w:pPr>
              <w:pStyle w:val="08-Tabelageral"/>
            </w:pPr>
            <w:r>
              <w:rPr>
                <w:rFonts w:cs="Arial"/>
                <w:color w:val="000000"/>
                <w:szCs w:val="14"/>
              </w:rPr>
              <w:t>2</w:t>
            </w:r>
          </w:p>
        </w:tc>
        <w:tc>
          <w:tcPr>
            <w:tcW w:w="871" w:type="pct"/>
            <w:tcBorders>
              <w:top w:val="nil"/>
              <w:left w:val="nil"/>
              <w:bottom w:val="nil"/>
              <w:right w:val="nil"/>
            </w:tcBorders>
            <w:shd w:val="clear" w:color="auto" w:fill="auto"/>
          </w:tcPr>
          <w:p w14:paraId="4D8EBF01" w14:textId="77777777" w:rsidR="007D1BF4" w:rsidRPr="008E5E40" w:rsidRDefault="007D1BF4" w:rsidP="00375F68">
            <w:pPr>
              <w:pStyle w:val="08-Tabelageral"/>
            </w:pPr>
            <w:r w:rsidRPr="00F6656F">
              <w:rPr>
                <w:rFonts w:cs="Arial"/>
                <w:color w:val="000000"/>
                <w:szCs w:val="14"/>
              </w:rPr>
              <w:t>--</w:t>
            </w:r>
          </w:p>
        </w:tc>
        <w:tc>
          <w:tcPr>
            <w:tcW w:w="839" w:type="pct"/>
            <w:tcBorders>
              <w:top w:val="nil"/>
              <w:left w:val="nil"/>
              <w:bottom w:val="nil"/>
              <w:right w:val="nil"/>
            </w:tcBorders>
            <w:shd w:val="clear" w:color="auto" w:fill="auto"/>
          </w:tcPr>
          <w:p w14:paraId="78426A18" w14:textId="77777777" w:rsidR="007D1BF4" w:rsidRPr="004337A4" w:rsidDel="009D4ED3" w:rsidRDefault="007D1BF4" w:rsidP="00375F68">
            <w:pPr>
              <w:pStyle w:val="08-Tabelageral"/>
            </w:pPr>
            <w:r w:rsidRPr="006D74CB">
              <w:rPr>
                <w:rFonts w:cs="Arial"/>
                <w:color w:val="000000"/>
                <w:szCs w:val="14"/>
              </w:rPr>
              <w:t>--</w:t>
            </w:r>
          </w:p>
        </w:tc>
        <w:tc>
          <w:tcPr>
            <w:tcW w:w="716" w:type="pct"/>
            <w:tcBorders>
              <w:top w:val="nil"/>
              <w:left w:val="nil"/>
              <w:bottom w:val="nil"/>
              <w:right w:val="nil"/>
            </w:tcBorders>
            <w:shd w:val="clear" w:color="auto" w:fill="auto"/>
            <w:noWrap/>
            <w:vAlign w:val="center"/>
          </w:tcPr>
          <w:p w14:paraId="26ED07AB" w14:textId="77777777" w:rsidR="007D1BF4" w:rsidRPr="00D61833" w:rsidRDefault="007D1BF4" w:rsidP="00375F68">
            <w:pPr>
              <w:pStyle w:val="08-Tabelageral"/>
              <w:rPr>
                <w:b/>
              </w:rPr>
            </w:pPr>
            <w:r>
              <w:rPr>
                <w:rFonts w:cs="Arial"/>
                <w:b/>
                <w:bCs/>
                <w:color w:val="000000"/>
                <w:szCs w:val="14"/>
              </w:rPr>
              <w:t>2</w:t>
            </w:r>
          </w:p>
        </w:tc>
      </w:tr>
      <w:tr w:rsidR="007D1BF4" w:rsidRPr="004337A4" w14:paraId="2038B7B5" w14:textId="77777777" w:rsidTr="00257655">
        <w:trPr>
          <w:trHeight w:val="238"/>
          <w:jc w:val="center"/>
        </w:trPr>
        <w:tc>
          <w:tcPr>
            <w:tcW w:w="1596" w:type="pct"/>
            <w:tcBorders>
              <w:top w:val="nil"/>
              <w:left w:val="nil"/>
              <w:right w:val="nil"/>
            </w:tcBorders>
            <w:shd w:val="clear" w:color="auto" w:fill="auto"/>
            <w:noWrap/>
          </w:tcPr>
          <w:p w14:paraId="70485E02" w14:textId="77777777" w:rsidR="007D1BF4" w:rsidRPr="004337A4" w:rsidRDefault="007D1BF4" w:rsidP="000C70C6">
            <w:pPr>
              <w:pStyle w:val="08-Tabelageral"/>
              <w:jc w:val="left"/>
            </w:pPr>
            <w:r>
              <w:t>Sem Rating</w:t>
            </w:r>
          </w:p>
        </w:tc>
        <w:tc>
          <w:tcPr>
            <w:tcW w:w="81" w:type="pct"/>
            <w:tcBorders>
              <w:top w:val="nil"/>
              <w:left w:val="nil"/>
              <w:right w:val="nil"/>
            </w:tcBorders>
            <w:shd w:val="clear" w:color="auto" w:fill="auto"/>
            <w:noWrap/>
            <w:vAlign w:val="center"/>
          </w:tcPr>
          <w:p w14:paraId="234B7208" w14:textId="77777777" w:rsidR="007D1BF4" w:rsidRPr="004337A4" w:rsidRDefault="007D1BF4" w:rsidP="000C70C6">
            <w:pPr>
              <w:pStyle w:val="08-Tabelageral"/>
              <w:rPr>
                <w:rFonts w:cs="Arial"/>
                <w:szCs w:val="14"/>
              </w:rPr>
            </w:pPr>
          </w:p>
        </w:tc>
        <w:tc>
          <w:tcPr>
            <w:tcW w:w="897" w:type="pct"/>
            <w:tcBorders>
              <w:top w:val="nil"/>
              <w:left w:val="nil"/>
              <w:right w:val="nil"/>
            </w:tcBorders>
            <w:shd w:val="clear" w:color="auto" w:fill="auto"/>
            <w:noWrap/>
            <w:vAlign w:val="center"/>
          </w:tcPr>
          <w:p w14:paraId="206267C3" w14:textId="77777777" w:rsidR="007D1BF4" w:rsidRPr="00E14E0D" w:rsidRDefault="007D1BF4" w:rsidP="000C70C6">
            <w:pPr>
              <w:pStyle w:val="08-Tabelageral"/>
            </w:pPr>
            <w:r>
              <w:rPr>
                <w:rFonts w:cs="Arial"/>
                <w:color w:val="000000"/>
                <w:szCs w:val="14"/>
              </w:rPr>
              <w:t>10</w:t>
            </w:r>
          </w:p>
        </w:tc>
        <w:tc>
          <w:tcPr>
            <w:tcW w:w="871" w:type="pct"/>
            <w:tcBorders>
              <w:top w:val="nil"/>
              <w:left w:val="nil"/>
              <w:right w:val="nil"/>
            </w:tcBorders>
            <w:shd w:val="clear" w:color="auto" w:fill="auto"/>
            <w:vAlign w:val="center"/>
          </w:tcPr>
          <w:p w14:paraId="7A3368EC" w14:textId="77777777" w:rsidR="007D1BF4" w:rsidRPr="008E5E40" w:rsidRDefault="007D1BF4" w:rsidP="000C70C6">
            <w:pPr>
              <w:pStyle w:val="08-Tabelageral"/>
            </w:pPr>
            <w:r>
              <w:rPr>
                <w:rFonts w:cs="Arial"/>
                <w:color w:val="000000"/>
                <w:szCs w:val="14"/>
              </w:rPr>
              <w:t>4</w:t>
            </w:r>
          </w:p>
        </w:tc>
        <w:tc>
          <w:tcPr>
            <w:tcW w:w="839" w:type="pct"/>
            <w:tcBorders>
              <w:top w:val="nil"/>
              <w:left w:val="nil"/>
              <w:right w:val="nil"/>
            </w:tcBorders>
            <w:shd w:val="clear" w:color="auto" w:fill="auto"/>
            <w:vAlign w:val="center"/>
          </w:tcPr>
          <w:p w14:paraId="214D11B5" w14:textId="77777777" w:rsidR="007D1BF4" w:rsidRPr="00E14E0D" w:rsidRDefault="007D1BF4" w:rsidP="000C70C6">
            <w:pPr>
              <w:pStyle w:val="08-Tabelageral"/>
            </w:pPr>
            <w:r>
              <w:t>2</w:t>
            </w:r>
          </w:p>
        </w:tc>
        <w:tc>
          <w:tcPr>
            <w:tcW w:w="716" w:type="pct"/>
            <w:tcBorders>
              <w:top w:val="nil"/>
              <w:left w:val="nil"/>
              <w:right w:val="nil"/>
            </w:tcBorders>
            <w:shd w:val="clear" w:color="auto" w:fill="auto"/>
            <w:noWrap/>
            <w:vAlign w:val="center"/>
          </w:tcPr>
          <w:p w14:paraId="24AD1CDB" w14:textId="77777777" w:rsidR="007D1BF4" w:rsidRPr="00D61833" w:rsidRDefault="007D1BF4" w:rsidP="000C70C6">
            <w:pPr>
              <w:pStyle w:val="08-Tabelageral"/>
              <w:rPr>
                <w:b/>
              </w:rPr>
            </w:pPr>
            <w:r>
              <w:rPr>
                <w:rFonts w:cs="Arial"/>
                <w:b/>
                <w:bCs/>
                <w:color w:val="000000"/>
                <w:szCs w:val="14"/>
              </w:rPr>
              <w:t>16</w:t>
            </w:r>
          </w:p>
        </w:tc>
      </w:tr>
      <w:tr w:rsidR="007D1BF4" w:rsidRPr="005F2021" w14:paraId="0B2B984E" w14:textId="77777777" w:rsidTr="00257655">
        <w:trPr>
          <w:trHeight w:val="238"/>
          <w:jc w:val="center"/>
        </w:trPr>
        <w:tc>
          <w:tcPr>
            <w:tcW w:w="1596" w:type="pct"/>
            <w:tcBorders>
              <w:left w:val="nil"/>
              <w:bottom w:val="single" w:sz="2" w:space="0" w:color="1F4E79" w:themeColor="accent1" w:themeShade="80"/>
              <w:right w:val="nil"/>
            </w:tcBorders>
            <w:shd w:val="clear" w:color="auto" w:fill="auto"/>
            <w:noWrap/>
            <w:vAlign w:val="center"/>
          </w:tcPr>
          <w:p w14:paraId="3AEC4C6F" w14:textId="77777777" w:rsidR="007D1BF4" w:rsidRPr="004337A4" w:rsidRDefault="007D1BF4" w:rsidP="000C70C6">
            <w:pPr>
              <w:pStyle w:val="08-Tabelageral"/>
              <w:jc w:val="left"/>
              <w:rPr>
                <w:b/>
              </w:rPr>
            </w:pPr>
            <w:r w:rsidRPr="004337A4">
              <w:rPr>
                <w:b/>
              </w:rPr>
              <w:t>Total</w:t>
            </w:r>
          </w:p>
        </w:tc>
        <w:tc>
          <w:tcPr>
            <w:tcW w:w="81" w:type="pct"/>
            <w:tcBorders>
              <w:left w:val="nil"/>
              <w:bottom w:val="single" w:sz="2" w:space="0" w:color="1F4E79" w:themeColor="accent1" w:themeShade="80"/>
              <w:right w:val="nil"/>
            </w:tcBorders>
            <w:shd w:val="clear" w:color="auto" w:fill="auto"/>
            <w:vAlign w:val="center"/>
          </w:tcPr>
          <w:p w14:paraId="163D0236" w14:textId="77777777" w:rsidR="007D1BF4" w:rsidRPr="004337A4" w:rsidRDefault="007D1BF4" w:rsidP="000C70C6">
            <w:pPr>
              <w:pStyle w:val="08-Tabelageral"/>
              <w:rPr>
                <w:b/>
                <w:bCs/>
              </w:rPr>
            </w:pPr>
          </w:p>
        </w:tc>
        <w:tc>
          <w:tcPr>
            <w:tcW w:w="897" w:type="pct"/>
            <w:tcBorders>
              <w:left w:val="nil"/>
              <w:bottom w:val="single" w:sz="2" w:space="0" w:color="1F4E79" w:themeColor="accent1" w:themeShade="80"/>
              <w:right w:val="nil"/>
            </w:tcBorders>
            <w:shd w:val="clear" w:color="auto" w:fill="auto"/>
            <w:vAlign w:val="center"/>
          </w:tcPr>
          <w:p w14:paraId="3D8A9AD3" w14:textId="77777777" w:rsidR="007D1BF4" w:rsidRPr="00D61833" w:rsidRDefault="007D1BF4" w:rsidP="000C70C6">
            <w:pPr>
              <w:pStyle w:val="08-Tabelageral"/>
              <w:rPr>
                <w:rFonts w:cs="Arial"/>
                <w:b/>
                <w:bCs/>
                <w:szCs w:val="14"/>
              </w:rPr>
            </w:pPr>
            <w:r>
              <w:rPr>
                <w:rFonts w:cs="Arial"/>
                <w:b/>
                <w:bCs/>
                <w:color w:val="000000"/>
                <w:szCs w:val="14"/>
              </w:rPr>
              <w:t>135</w:t>
            </w:r>
          </w:p>
        </w:tc>
        <w:tc>
          <w:tcPr>
            <w:tcW w:w="871" w:type="pct"/>
            <w:tcBorders>
              <w:left w:val="nil"/>
              <w:bottom w:val="single" w:sz="2" w:space="0" w:color="1F4E79" w:themeColor="accent1" w:themeShade="80"/>
              <w:right w:val="nil"/>
            </w:tcBorders>
            <w:shd w:val="clear" w:color="auto" w:fill="auto"/>
            <w:vAlign w:val="center"/>
          </w:tcPr>
          <w:p w14:paraId="096255E4" w14:textId="77777777" w:rsidR="007D1BF4" w:rsidRPr="00D61833" w:rsidRDefault="007D1BF4" w:rsidP="000C70C6">
            <w:pPr>
              <w:pStyle w:val="08-Tabelageral"/>
              <w:rPr>
                <w:b/>
              </w:rPr>
            </w:pPr>
            <w:r>
              <w:rPr>
                <w:rFonts w:cs="Arial"/>
                <w:b/>
                <w:bCs/>
                <w:color w:val="000000"/>
                <w:szCs w:val="14"/>
              </w:rPr>
              <w:t>449.809</w:t>
            </w:r>
          </w:p>
        </w:tc>
        <w:tc>
          <w:tcPr>
            <w:tcW w:w="839" w:type="pct"/>
            <w:tcBorders>
              <w:left w:val="nil"/>
              <w:bottom w:val="single" w:sz="2" w:space="0" w:color="1F4E79" w:themeColor="accent1" w:themeShade="80"/>
              <w:right w:val="nil"/>
            </w:tcBorders>
            <w:shd w:val="clear" w:color="auto" w:fill="auto"/>
            <w:vAlign w:val="center"/>
          </w:tcPr>
          <w:p w14:paraId="1C85B903" w14:textId="77777777" w:rsidR="007D1BF4" w:rsidRPr="00D61833" w:rsidRDefault="007D1BF4" w:rsidP="000C70C6">
            <w:pPr>
              <w:pStyle w:val="08-Tabelageral"/>
              <w:rPr>
                <w:rFonts w:cs="Arial"/>
                <w:b/>
                <w:bCs/>
                <w:szCs w:val="14"/>
              </w:rPr>
            </w:pPr>
            <w:r>
              <w:rPr>
                <w:rFonts w:cs="Arial"/>
                <w:b/>
                <w:bCs/>
                <w:color w:val="000000"/>
                <w:szCs w:val="14"/>
              </w:rPr>
              <w:t>16</w:t>
            </w:r>
          </w:p>
        </w:tc>
        <w:tc>
          <w:tcPr>
            <w:tcW w:w="716" w:type="pct"/>
            <w:tcBorders>
              <w:left w:val="nil"/>
              <w:bottom w:val="single" w:sz="2" w:space="0" w:color="1F4E79" w:themeColor="accent1" w:themeShade="80"/>
              <w:right w:val="nil"/>
            </w:tcBorders>
            <w:shd w:val="clear" w:color="auto" w:fill="auto"/>
            <w:vAlign w:val="center"/>
          </w:tcPr>
          <w:p w14:paraId="51176FDF" w14:textId="77777777" w:rsidR="007D1BF4" w:rsidRPr="00D61833" w:rsidRDefault="007D1BF4" w:rsidP="000C70C6">
            <w:pPr>
              <w:pStyle w:val="08-Tabelageral"/>
              <w:rPr>
                <w:rFonts w:cs="Arial"/>
                <w:b/>
                <w:bCs/>
                <w:szCs w:val="14"/>
              </w:rPr>
            </w:pPr>
            <w:r>
              <w:rPr>
                <w:rFonts w:cs="Arial"/>
                <w:b/>
                <w:bCs/>
                <w:color w:val="000000"/>
                <w:szCs w:val="14"/>
              </w:rPr>
              <w:t>449.960</w:t>
            </w:r>
          </w:p>
        </w:tc>
      </w:tr>
    </w:tbl>
    <w:p w14:paraId="227E9718" w14:textId="77777777" w:rsidR="007D1BF4" w:rsidRDefault="007D1BF4" w:rsidP="007D1BF4">
      <w:pPr>
        <w:pStyle w:val="07-Legenda1"/>
        <w:numPr>
          <w:ilvl w:val="0"/>
          <w:numId w:val="25"/>
        </w:numPr>
        <w:tabs>
          <w:tab w:val="clear" w:pos="284"/>
        </w:tabs>
        <w:ind w:left="284" w:hanging="284"/>
        <w:rPr>
          <w:rFonts w:ascii="Arial" w:hAnsi="Arial" w:cs="Arial"/>
          <w:szCs w:val="14"/>
        </w:rPr>
      </w:pPr>
      <w:r w:rsidRPr="000A3D92">
        <w:rPr>
          <w:rFonts w:ascii="Arial" w:hAnsi="Arial" w:cs="Arial"/>
          <w:szCs w:val="14"/>
        </w:rPr>
        <w:t xml:space="preserve">A </w:t>
      </w:r>
      <w:r>
        <w:rPr>
          <w:rFonts w:ascii="Arial" w:hAnsi="Arial" w:cs="Arial"/>
          <w:szCs w:val="14"/>
        </w:rPr>
        <w:t xml:space="preserve">forma de apresentação </w:t>
      </w:r>
      <w:r w:rsidRPr="3FE67090">
        <w:rPr>
          <w:rFonts w:ascii="Arial" w:hAnsi="Arial" w:cs="Arial"/>
        </w:rPr>
        <w:t xml:space="preserve">dos ratings </w:t>
      </w:r>
      <w:r>
        <w:rPr>
          <w:rFonts w:ascii="Arial" w:hAnsi="Arial" w:cs="Arial"/>
        </w:rPr>
        <w:t xml:space="preserve">da </w:t>
      </w:r>
      <w:r w:rsidRPr="000A3D92">
        <w:rPr>
          <w:rFonts w:ascii="Arial" w:hAnsi="Arial" w:cs="Arial"/>
          <w:szCs w:val="14"/>
        </w:rPr>
        <w:t>Standard &amp; Poor’s foi utilizada como base para os ratings das demais agências, todos apresentados em escala nacional.</w:t>
      </w:r>
    </w:p>
    <w:p w14:paraId="6D773461" w14:textId="77777777" w:rsidR="007D1BF4" w:rsidRPr="000A3D92" w:rsidRDefault="007D1BF4" w:rsidP="007D1BF4">
      <w:pPr>
        <w:pStyle w:val="07-Legenda1"/>
        <w:numPr>
          <w:ilvl w:val="0"/>
          <w:numId w:val="25"/>
        </w:numPr>
        <w:tabs>
          <w:tab w:val="clear" w:pos="284"/>
        </w:tabs>
        <w:ind w:left="284" w:hanging="284"/>
        <w:rPr>
          <w:rFonts w:ascii="Arial" w:hAnsi="Arial" w:cs="Arial"/>
        </w:rPr>
      </w:pPr>
      <w:r w:rsidRPr="48C73AF2">
        <w:rPr>
          <w:rFonts w:ascii="Arial" w:hAnsi="Arial" w:cs="Arial"/>
        </w:rPr>
        <w:t>Em 31.12.2021 não h</w:t>
      </w:r>
      <w:r>
        <w:rPr>
          <w:rFonts w:ascii="Arial" w:hAnsi="Arial" w:cs="Arial"/>
        </w:rPr>
        <w:t>á</w:t>
      </w:r>
      <w:r w:rsidRPr="48C73AF2">
        <w:rPr>
          <w:rFonts w:ascii="Arial" w:hAnsi="Arial" w:cs="Arial"/>
        </w:rPr>
        <w:t xml:space="preserve"> exposição em títulos privados.</w:t>
      </w:r>
    </w:p>
    <w:p w14:paraId="11216414" w14:textId="77777777" w:rsidR="007D1BF4" w:rsidRDefault="007D1BF4" w:rsidP="007D1BF4">
      <w:pPr>
        <w:pStyle w:val="07-Legenda1"/>
        <w:numPr>
          <w:ilvl w:val="0"/>
          <w:numId w:val="25"/>
        </w:numPr>
        <w:tabs>
          <w:tab w:val="clear" w:pos="284"/>
        </w:tabs>
        <w:ind w:left="284" w:hanging="284"/>
        <w:rPr>
          <w:rFonts w:ascii="Arial" w:hAnsi="Arial" w:cs="Arial"/>
        </w:rPr>
      </w:pPr>
      <w:r w:rsidRPr="48C73AF2">
        <w:rPr>
          <w:rFonts w:ascii="Arial" w:hAnsi="Arial" w:cs="Arial"/>
        </w:rPr>
        <w:t>Inclui DPGEs, Letras Hipotecárias, CDBs, Notas Promissórias e FIDCs.</w:t>
      </w:r>
    </w:p>
    <w:bookmarkEnd w:id="45"/>
    <w:p w14:paraId="49090A0A" w14:textId="77777777" w:rsidR="007D1BF4" w:rsidRDefault="007D1BF4" w:rsidP="00693575">
      <w:pPr>
        <w:pStyle w:val="05-Textonormal"/>
        <w:spacing w:before="0" w:after="0" w:line="240" w:lineRule="auto"/>
      </w:pPr>
    </w:p>
    <w:p w14:paraId="7AD2F300" w14:textId="77777777" w:rsidR="007D1BF4" w:rsidRPr="006A49AA" w:rsidRDefault="007D1BF4" w:rsidP="1A586056">
      <w:pPr>
        <w:pStyle w:val="05-Textonormal"/>
        <w:rPr>
          <w:b/>
          <w:bCs/>
          <w:color w:val="1F4E79" w:themeColor="accent1" w:themeShade="80"/>
        </w:rPr>
      </w:pPr>
      <w:r w:rsidRPr="2BE5836A">
        <w:rPr>
          <w:b/>
          <w:bCs/>
          <w:color w:val="1F4E79" w:themeColor="accent1" w:themeShade="80"/>
        </w:rPr>
        <w:t>a.4) Risco de liquidez e gestão de capital</w:t>
      </w:r>
    </w:p>
    <w:p w14:paraId="09C1513F" w14:textId="77777777" w:rsidR="007D1BF4" w:rsidRDefault="007D1BF4" w:rsidP="005E3ACE">
      <w:pPr>
        <w:pStyle w:val="05-Textonormal"/>
      </w:pPr>
      <w:r>
        <w:t>O risco de liquidez é definido pelo Grupo como a possibilidade de impactos negativos devido à falta de recursos para honrar suas obrigações em função do descasamento entre ativos e passivos.</w:t>
      </w:r>
    </w:p>
    <w:p w14:paraId="5856964E" w14:textId="77777777" w:rsidR="007D1BF4" w:rsidRDefault="007D1BF4" w:rsidP="005E3ACE">
      <w:pPr>
        <w:pStyle w:val="05-Textonormal"/>
      </w:pPr>
      <w: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pela Política de Gestão de Capital e pelo Plano de Capital.</w:t>
      </w:r>
    </w:p>
    <w:p w14:paraId="0CD125ED" w14:textId="77777777" w:rsidR="007D1BF4" w:rsidRDefault="007D1BF4" w:rsidP="005E3ACE">
      <w:pPr>
        <w:pStyle w:val="05-Textonormal"/>
      </w:pPr>
      <w:r>
        <w:t xml:space="preserve">O Plano de Capital, elaborado para um horizonte mínimo de três anos, apresenta os fluxos financeiros projetados da atividade operacional, como </w:t>
      </w:r>
      <w:r w:rsidRPr="00931D4A">
        <w:t xml:space="preserve">a remuneração recebida de comissões, de participações acionárias, os gastos inerentes à atividade </w:t>
      </w:r>
      <w:r>
        <w:t>do Grupo</w:t>
      </w:r>
      <w:r w:rsidRPr="00931D4A">
        <w:t xml:space="preserve"> e os decorrentes de movimentos estratégicos, com</w:t>
      </w:r>
      <w:r>
        <w:t>o</w:t>
      </w:r>
      <w:r w:rsidRPr="00931D4A">
        <w:t xml:space="preserve"> a alocação de recursos em participações acionárias, investimentos estratégicos, desinvestimentos</w:t>
      </w:r>
      <w:r>
        <w:t xml:space="preserve"> e alienações e considera a manutenção de</w:t>
      </w:r>
      <w:r w:rsidRPr="00931D4A">
        <w:t xml:space="preserve"> margem de liquidez </w:t>
      </w:r>
      <w:r>
        <w:t>visando</w:t>
      </w:r>
      <w:r w:rsidRPr="00931D4A">
        <w:t xml:space="preserve"> o equilíbrio financeiro em caso de eventos não previsíveis.</w:t>
      </w:r>
    </w:p>
    <w:p w14:paraId="4EA8A4AD" w14:textId="77777777" w:rsidR="007D1BF4" w:rsidRDefault="007D1BF4" w:rsidP="00906CCA">
      <w:pPr>
        <w:pStyle w:val="05-Textonormal"/>
      </w:pPr>
      <w:r>
        <w:t>Os principais passivos da BB Seguridade e suas controladas são referentes a despesas administrativas, aos pagamentos de tributos e</w:t>
      </w:r>
      <w:r>
        <w:rPr>
          <w:lang w:eastAsia="en-US"/>
        </w:rPr>
        <w:t xml:space="preserve"> aos pagamentos de dividendos, conforme apresentado a seguir.</w:t>
      </w:r>
    </w:p>
    <w:p w14:paraId="36C267CD" w14:textId="77777777" w:rsidR="007D1BF4" w:rsidRPr="005F2021" w:rsidRDefault="007D1BF4" w:rsidP="009125BF">
      <w:pPr>
        <w:pStyle w:val="06-Rmil"/>
      </w:pPr>
      <w:r w:rsidRPr="009125BF">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7D1BF4" w:rsidRPr="00454A91" w14:paraId="7F0D5485" w14:textId="77777777" w:rsidTr="009A48A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tcPr>
          <w:p w14:paraId="5B14ECFA" w14:textId="77777777" w:rsidR="007D1BF4" w:rsidRDefault="007D1BF4" w:rsidP="00424AA7">
            <w:pPr>
              <w:keepNext/>
              <w:jc w:val="center"/>
              <w:rPr>
                <w:rFonts w:cs="Arial"/>
                <w:sz w:val="14"/>
                <w:szCs w:val="18"/>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4CD413ED" w14:textId="77777777" w:rsidR="007D1BF4" w:rsidRPr="00454A91" w:rsidRDefault="007D1BF4" w:rsidP="00424AA7">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Pr>
                <w:rFonts w:cs="Arial"/>
                <w:sz w:val="14"/>
                <w:szCs w:val="18"/>
              </w:rPr>
              <w:t>Controlador</w:t>
            </w:r>
          </w:p>
        </w:tc>
      </w:tr>
      <w:tr w:rsidR="007D1BF4" w:rsidRPr="00454A91" w14:paraId="7AF2726A" w14:textId="77777777" w:rsidTr="009A48A9">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4E79" w:themeColor="accent1" w:themeShade="80"/>
              <w:bottom w:val="nil"/>
            </w:tcBorders>
            <w:shd w:val="clear" w:color="auto" w:fill="auto"/>
            <w:vAlign w:val="center"/>
          </w:tcPr>
          <w:p w14:paraId="3D7061F6" w14:textId="77777777" w:rsidR="007D1BF4" w:rsidRPr="007C510A" w:rsidRDefault="007D1BF4" w:rsidP="00424AA7">
            <w:pPr>
              <w:keepNext/>
              <w:rPr>
                <w:rFonts w:cs="Arial"/>
                <w:sz w:val="14"/>
                <w:szCs w:val="14"/>
              </w:rPr>
            </w:pPr>
            <w:r w:rsidRPr="007C510A">
              <w:rPr>
                <w:rFonts w:cs="Arial"/>
                <w:sz w:val="14"/>
                <w:szCs w:val="14"/>
              </w:rPr>
              <w:t>Risco de Liquidez</w:t>
            </w:r>
          </w:p>
        </w:tc>
        <w:tc>
          <w:tcPr>
            <w:tcW w:w="992" w:type="dxa"/>
            <w:tcBorders>
              <w:top w:val="single" w:sz="2" w:space="0" w:color="1F4E79" w:themeColor="accent1" w:themeShade="80"/>
              <w:bottom w:val="nil"/>
            </w:tcBorders>
            <w:shd w:val="clear" w:color="auto" w:fill="auto"/>
          </w:tcPr>
          <w:p w14:paraId="1B6AE6B9" w14:textId="77777777" w:rsidR="007D1BF4" w:rsidRPr="007C510A" w:rsidRDefault="007D1BF4" w:rsidP="00424AA7">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4E79" w:themeColor="accent1" w:themeShade="80"/>
              <w:bottom w:val="single" w:sz="2" w:space="0" w:color="1F4E79" w:themeColor="accent1" w:themeShade="80"/>
            </w:tcBorders>
            <w:shd w:val="clear" w:color="auto" w:fill="auto"/>
            <w:vAlign w:val="center"/>
          </w:tcPr>
          <w:p w14:paraId="6F21FE34" w14:textId="77777777" w:rsidR="007D1BF4" w:rsidRPr="007C510A" w:rsidRDefault="007D1BF4" w:rsidP="00424AA7">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7C510A">
              <w:rPr>
                <w:rFonts w:cs="Arial"/>
                <w:b/>
                <w:sz w:val="14"/>
                <w:szCs w:val="18"/>
              </w:rPr>
              <w:t>3</w:t>
            </w:r>
            <w:r>
              <w:rPr>
                <w:rFonts w:cs="Arial"/>
                <w:b/>
                <w:sz w:val="14"/>
                <w:szCs w:val="18"/>
              </w:rPr>
              <w:t>1</w:t>
            </w:r>
            <w:r w:rsidRPr="007C510A">
              <w:rPr>
                <w:rFonts w:cs="Arial"/>
                <w:b/>
                <w:sz w:val="14"/>
                <w:szCs w:val="18"/>
              </w:rPr>
              <w:t>.</w:t>
            </w:r>
            <w:r>
              <w:rPr>
                <w:rFonts w:cs="Arial"/>
                <w:b/>
                <w:sz w:val="14"/>
                <w:szCs w:val="18"/>
              </w:rPr>
              <w:t>12</w:t>
            </w:r>
            <w:r w:rsidRPr="007C510A">
              <w:rPr>
                <w:rFonts w:cs="Arial"/>
                <w:b/>
                <w:sz w:val="14"/>
                <w:szCs w:val="18"/>
              </w:rPr>
              <w:t>.20</w:t>
            </w:r>
            <w:r>
              <w:rPr>
                <w:rFonts w:cs="Arial"/>
                <w:b/>
                <w:sz w:val="14"/>
                <w:szCs w:val="18"/>
              </w:rPr>
              <w:t>21</w:t>
            </w:r>
          </w:p>
        </w:tc>
        <w:tc>
          <w:tcPr>
            <w:tcW w:w="312" w:type="dxa"/>
            <w:tcBorders>
              <w:top w:val="single" w:sz="2" w:space="0" w:color="1F4E79" w:themeColor="accent1" w:themeShade="80"/>
              <w:bottom w:val="nil"/>
            </w:tcBorders>
            <w:shd w:val="clear" w:color="auto" w:fill="auto"/>
          </w:tcPr>
          <w:p w14:paraId="0621F72C" w14:textId="77777777" w:rsidR="007D1BF4" w:rsidRPr="007C510A" w:rsidRDefault="007D1BF4" w:rsidP="00424AA7">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4E79" w:themeColor="accent1" w:themeShade="80"/>
              <w:bottom w:val="single" w:sz="2" w:space="0" w:color="1F4E79" w:themeColor="accent1" w:themeShade="80"/>
            </w:tcBorders>
            <w:shd w:val="clear" w:color="auto" w:fill="auto"/>
            <w:vAlign w:val="center"/>
          </w:tcPr>
          <w:p w14:paraId="60140436" w14:textId="77777777" w:rsidR="007D1BF4" w:rsidRPr="007C510A" w:rsidRDefault="007D1BF4" w:rsidP="00424AA7">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7C510A">
              <w:rPr>
                <w:rFonts w:cs="Arial"/>
                <w:b/>
                <w:sz w:val="14"/>
                <w:szCs w:val="18"/>
              </w:rPr>
              <w:t>3</w:t>
            </w:r>
            <w:r>
              <w:rPr>
                <w:rFonts w:cs="Arial"/>
                <w:b/>
                <w:sz w:val="14"/>
                <w:szCs w:val="18"/>
              </w:rPr>
              <w:t>1</w:t>
            </w:r>
            <w:r w:rsidRPr="007C510A">
              <w:rPr>
                <w:rFonts w:cs="Arial"/>
                <w:b/>
                <w:sz w:val="14"/>
                <w:szCs w:val="18"/>
              </w:rPr>
              <w:t>.</w:t>
            </w:r>
            <w:r>
              <w:rPr>
                <w:rFonts w:cs="Arial"/>
                <w:b/>
                <w:sz w:val="14"/>
                <w:szCs w:val="18"/>
              </w:rPr>
              <w:t>12</w:t>
            </w:r>
            <w:r w:rsidRPr="007C510A">
              <w:rPr>
                <w:rFonts w:cs="Arial"/>
                <w:b/>
                <w:sz w:val="14"/>
                <w:szCs w:val="18"/>
              </w:rPr>
              <w:t>.20</w:t>
            </w:r>
            <w:r>
              <w:rPr>
                <w:rFonts w:cs="Arial"/>
                <w:b/>
                <w:sz w:val="14"/>
                <w:szCs w:val="18"/>
              </w:rPr>
              <w:t>20</w:t>
            </w:r>
          </w:p>
        </w:tc>
      </w:tr>
      <w:tr w:rsidR="007D1BF4" w:rsidRPr="001D6BE8" w14:paraId="2BECA664" w14:textId="77777777" w:rsidTr="009A48A9">
        <w:trPr>
          <w:trHeight w:hRule="exact" w:val="241"/>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nil"/>
              <w:bottom w:val="single" w:sz="2" w:space="0" w:color="1F4E79" w:themeColor="accent1" w:themeShade="80"/>
            </w:tcBorders>
            <w:shd w:val="clear" w:color="auto" w:fill="auto"/>
          </w:tcPr>
          <w:p w14:paraId="421C54CD" w14:textId="77777777" w:rsidR="007D1BF4" w:rsidRPr="001D6BE8" w:rsidRDefault="007D1BF4" w:rsidP="00424AA7">
            <w:pPr>
              <w:pStyle w:val="08-Tabelageral"/>
              <w:jc w:val="left"/>
              <w:rPr>
                <w:rFonts w:cs="Arial"/>
                <w:b w:val="0"/>
              </w:rPr>
            </w:pPr>
          </w:p>
        </w:tc>
        <w:tc>
          <w:tcPr>
            <w:tcW w:w="992" w:type="dxa"/>
            <w:tcBorders>
              <w:top w:val="nil"/>
              <w:bottom w:val="single" w:sz="2" w:space="0" w:color="1F4E79" w:themeColor="accent1" w:themeShade="80"/>
            </w:tcBorders>
            <w:shd w:val="clear" w:color="auto" w:fill="auto"/>
            <w:vAlign w:val="center"/>
          </w:tcPr>
          <w:p w14:paraId="53EE25E5" w14:textId="77777777" w:rsidR="007D1BF4" w:rsidRDefault="007D1BF4" w:rsidP="00424AA7">
            <w:pPr>
              <w:pStyle w:val="08-Tabelageral"/>
              <w:jc w:val="center"/>
              <w:cnfStyle w:val="000000000000" w:firstRow="0" w:lastRow="0" w:firstColumn="0" w:lastColumn="0" w:oddVBand="0" w:evenVBand="0" w:oddHBand="0" w:evenHBand="0" w:firstRowFirstColumn="0" w:firstRowLastColumn="0" w:lastRowFirstColumn="0" w:lastRowLastColumn="0"/>
              <w:rPr>
                <w:b/>
              </w:rPr>
            </w:pPr>
            <w:r>
              <w:rPr>
                <w:b/>
              </w:rPr>
              <w:t>Nota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230B1D5" w14:textId="77777777" w:rsidR="007D1BF4" w:rsidRPr="001D6BE8" w:rsidRDefault="007D1BF4" w:rsidP="00424AA7">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b/>
              </w:rPr>
              <w:t>Até 1 ano</w:t>
            </w:r>
            <w:r>
              <w:rPr>
                <w:rFonts w:cs="Arial"/>
                <w:b/>
              </w:rPr>
              <w:t xml:space="preserve"> </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1232AF2" w14:textId="77777777" w:rsidR="007D1BF4" w:rsidRPr="001D6BE8" w:rsidRDefault="007D1BF4" w:rsidP="00125B60">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b/>
              </w:rPr>
              <w:t>Mais de 1 ano</w:t>
            </w:r>
          </w:p>
        </w:tc>
        <w:tc>
          <w:tcPr>
            <w:tcW w:w="312" w:type="dxa"/>
            <w:tcBorders>
              <w:top w:val="nil"/>
              <w:bottom w:val="single" w:sz="2" w:space="0" w:color="1F4E79" w:themeColor="accent1" w:themeShade="80"/>
            </w:tcBorders>
            <w:shd w:val="clear" w:color="auto" w:fill="auto"/>
            <w:vAlign w:val="center"/>
          </w:tcPr>
          <w:p w14:paraId="4D33556A" w14:textId="77777777" w:rsidR="007D1BF4" w:rsidRPr="001D6BE8" w:rsidRDefault="007D1BF4" w:rsidP="00424AA7">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456092A2" w14:textId="77777777" w:rsidR="007D1BF4" w:rsidRPr="001D6BE8" w:rsidRDefault="007D1BF4" w:rsidP="00424AA7">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b/>
              </w:rPr>
              <w:t>Até 1 ano</w:t>
            </w:r>
            <w:r>
              <w:rPr>
                <w:rFonts w:cs="Arial"/>
                <w:b/>
              </w:rPr>
              <w:t xml:space="preserve"> </w:t>
            </w:r>
          </w:p>
        </w:tc>
        <w:tc>
          <w:tcPr>
            <w:tcW w:w="1133" w:type="dxa"/>
            <w:tcBorders>
              <w:top w:val="single" w:sz="2" w:space="0" w:color="1F4E79" w:themeColor="accent1" w:themeShade="80"/>
              <w:bottom w:val="single" w:sz="2" w:space="0" w:color="1F4E79" w:themeColor="accent1" w:themeShade="80"/>
            </w:tcBorders>
            <w:shd w:val="clear" w:color="auto" w:fill="auto"/>
            <w:vAlign w:val="center"/>
          </w:tcPr>
          <w:p w14:paraId="24E62380" w14:textId="77777777" w:rsidR="007D1BF4" w:rsidRPr="001D6BE8" w:rsidRDefault="007D1BF4" w:rsidP="00125B60">
            <w:pPr>
              <w:pStyle w:val="08-Tabelageral"/>
              <w:cnfStyle w:val="000000000000" w:firstRow="0" w:lastRow="0" w:firstColumn="0" w:lastColumn="0" w:oddVBand="0" w:evenVBand="0" w:oddHBand="0" w:evenHBand="0" w:firstRowFirstColumn="0" w:firstRowLastColumn="0" w:lastRowFirstColumn="0" w:lastRowLastColumn="0"/>
              <w:rPr>
                <w:rFonts w:cs="Arial"/>
                <w:b/>
              </w:rPr>
            </w:pPr>
            <w:r>
              <w:rPr>
                <w:b/>
              </w:rPr>
              <w:t>Mais de 1 ano</w:t>
            </w:r>
          </w:p>
        </w:tc>
      </w:tr>
      <w:tr w:rsidR="007D1BF4" w:rsidRPr="001D6BE8" w14:paraId="2CC8978A" w14:textId="77777777" w:rsidTr="003E1E6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4E79" w:themeColor="accent1" w:themeShade="80"/>
              <w:bottom w:val="nil"/>
            </w:tcBorders>
            <w:shd w:val="clear" w:color="auto" w:fill="auto"/>
            <w:vAlign w:val="center"/>
          </w:tcPr>
          <w:p w14:paraId="30B80958" w14:textId="77777777" w:rsidR="007D1BF4" w:rsidRPr="003E1E6E" w:rsidRDefault="007D1BF4" w:rsidP="003E1E6E">
            <w:pPr>
              <w:pStyle w:val="08-Tabelageral"/>
              <w:jc w:val="left"/>
              <w:rPr>
                <w:b w:val="0"/>
              </w:rPr>
            </w:pPr>
            <w:r w:rsidRPr="003E1E6E">
              <w:rPr>
                <w:b w:val="0"/>
              </w:rPr>
              <w:t>ATIVOS</w:t>
            </w:r>
          </w:p>
        </w:tc>
        <w:tc>
          <w:tcPr>
            <w:tcW w:w="992" w:type="dxa"/>
            <w:tcBorders>
              <w:top w:val="single" w:sz="2" w:space="0" w:color="1F4E79" w:themeColor="accent1" w:themeShade="80"/>
              <w:bottom w:val="nil"/>
            </w:tcBorders>
            <w:shd w:val="clear" w:color="auto" w:fill="auto"/>
            <w:vAlign w:val="center"/>
          </w:tcPr>
          <w:p w14:paraId="1F4B4598" w14:textId="77777777" w:rsidR="007D1BF4" w:rsidRDefault="007D1BF4" w:rsidP="00424AA7">
            <w:pPr>
              <w:pStyle w:val="07-Legenda"/>
              <w:keepNext/>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4E79" w:themeColor="accent1" w:themeShade="80"/>
              <w:bottom w:val="nil"/>
            </w:tcBorders>
            <w:shd w:val="clear" w:color="auto" w:fill="auto"/>
            <w:vAlign w:val="center"/>
          </w:tcPr>
          <w:p w14:paraId="25B99CC8" w14:textId="77777777" w:rsidR="007D1BF4" w:rsidRDefault="007D1BF4" w:rsidP="00424AA7">
            <w:pPr>
              <w:pStyle w:val="07-Legenda"/>
              <w:keepNext/>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5CC05FD9" w14:textId="77777777" w:rsidR="007D1BF4" w:rsidRDefault="007D1BF4" w:rsidP="00424AA7">
            <w:pPr>
              <w:pStyle w:val="07-Legenda"/>
              <w:keepNext/>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4E79" w:themeColor="accent1" w:themeShade="80"/>
              <w:bottom w:val="nil"/>
            </w:tcBorders>
            <w:shd w:val="clear" w:color="auto" w:fill="auto"/>
            <w:vAlign w:val="center"/>
          </w:tcPr>
          <w:p w14:paraId="5B29F4B4" w14:textId="77777777" w:rsidR="007D1BF4" w:rsidRDefault="007D1BF4" w:rsidP="00424AA7">
            <w:pPr>
              <w:pStyle w:val="07-Legenda"/>
              <w:keepNext/>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739D744E" w14:textId="77777777" w:rsidR="007D1BF4" w:rsidRDefault="007D1BF4" w:rsidP="00424AA7">
            <w:pPr>
              <w:pStyle w:val="07-Legenda"/>
              <w:keepNext/>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4E79" w:themeColor="accent1" w:themeShade="80"/>
              <w:bottom w:val="nil"/>
            </w:tcBorders>
            <w:shd w:val="clear" w:color="auto" w:fill="auto"/>
            <w:vAlign w:val="center"/>
          </w:tcPr>
          <w:p w14:paraId="7A83C925" w14:textId="77777777" w:rsidR="007D1BF4" w:rsidRDefault="007D1BF4" w:rsidP="00424AA7">
            <w:pPr>
              <w:pStyle w:val="07-Legenda"/>
              <w:keepNext/>
              <w:jc w:val="right"/>
              <w:cnfStyle w:val="000000100000" w:firstRow="0" w:lastRow="0" w:firstColumn="0" w:lastColumn="0" w:oddVBand="0" w:evenVBand="0" w:oddHBand="1" w:evenHBand="0" w:firstRowFirstColumn="0" w:firstRowLastColumn="0" w:lastRowFirstColumn="0" w:lastRowLastColumn="0"/>
              <w:rPr>
                <w:lang w:val="en-US"/>
              </w:rPr>
            </w:pPr>
          </w:p>
        </w:tc>
      </w:tr>
      <w:tr w:rsidR="007D1BF4" w:rsidRPr="001D6BE8" w14:paraId="23083685"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266A4FCB" w14:textId="77777777" w:rsidR="007D1BF4" w:rsidRPr="003E1E6E" w:rsidRDefault="007D1BF4" w:rsidP="00F84843">
            <w:pPr>
              <w:pStyle w:val="08-Tabelageral"/>
              <w:jc w:val="left"/>
              <w:rPr>
                <w:b w:val="0"/>
              </w:rPr>
            </w:pPr>
            <w:r w:rsidRPr="003E1E6E">
              <w:rPr>
                <w:b w:val="0"/>
              </w:rPr>
              <w:t>Caixa e Equivalentes de Caixa</w:t>
            </w:r>
          </w:p>
        </w:tc>
        <w:tc>
          <w:tcPr>
            <w:tcW w:w="0" w:type="dxa"/>
            <w:tcBorders>
              <w:top w:val="nil"/>
              <w:bottom w:val="nil"/>
            </w:tcBorders>
            <w:shd w:val="clear" w:color="auto" w:fill="auto"/>
            <w:vAlign w:val="center"/>
          </w:tcPr>
          <w:p w14:paraId="5783DD3C" w14:textId="77777777" w:rsidR="007D1BF4" w:rsidRDefault="007D1BF4" w:rsidP="00F84843">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[15]</w:t>
            </w:r>
          </w:p>
        </w:tc>
        <w:tc>
          <w:tcPr>
            <w:tcW w:w="0" w:type="dxa"/>
            <w:tcBorders>
              <w:top w:val="nil"/>
              <w:bottom w:val="nil"/>
            </w:tcBorders>
            <w:shd w:val="clear" w:color="auto" w:fill="auto"/>
            <w:vAlign w:val="center"/>
          </w:tcPr>
          <w:p w14:paraId="78CB335D" w14:textId="77777777" w:rsidR="007D1BF4" w:rsidRPr="00F84843" w:rsidRDefault="007D1BF4" w:rsidP="00F84843">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sidRPr="00257655">
              <w:rPr>
                <w:rFonts w:cs="Arial"/>
                <w:sz w:val="14"/>
                <w:szCs w:val="14"/>
              </w:rPr>
              <w:t>369.342</w:t>
            </w:r>
          </w:p>
        </w:tc>
        <w:tc>
          <w:tcPr>
            <w:tcW w:w="0" w:type="dxa"/>
            <w:tcBorders>
              <w:top w:val="nil"/>
              <w:bottom w:val="nil"/>
            </w:tcBorders>
            <w:shd w:val="clear" w:color="auto" w:fill="auto"/>
            <w:vAlign w:val="center"/>
          </w:tcPr>
          <w:p w14:paraId="267E7E8F" w14:textId="77777777" w:rsidR="007D1BF4" w:rsidRPr="00F84843" w:rsidRDefault="007D1BF4" w:rsidP="00F8484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sz w:val="14"/>
                <w:szCs w:val="14"/>
              </w:rPr>
              <w:t>--</w:t>
            </w:r>
          </w:p>
        </w:tc>
        <w:tc>
          <w:tcPr>
            <w:tcW w:w="0" w:type="dxa"/>
            <w:tcBorders>
              <w:top w:val="nil"/>
              <w:bottom w:val="nil"/>
            </w:tcBorders>
            <w:shd w:val="clear" w:color="auto" w:fill="auto"/>
            <w:vAlign w:val="center"/>
          </w:tcPr>
          <w:p w14:paraId="5DC9EC85" w14:textId="77777777" w:rsidR="007D1BF4" w:rsidRPr="00136621"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2683897A"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208.893</w:t>
            </w:r>
          </w:p>
        </w:tc>
        <w:tc>
          <w:tcPr>
            <w:tcW w:w="0" w:type="dxa"/>
            <w:tcBorders>
              <w:top w:val="nil"/>
              <w:bottom w:val="nil"/>
            </w:tcBorders>
            <w:shd w:val="clear" w:color="auto" w:fill="auto"/>
            <w:vAlign w:val="center"/>
          </w:tcPr>
          <w:p w14:paraId="1F3DDB06"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w:t>
            </w:r>
          </w:p>
        </w:tc>
      </w:tr>
      <w:tr w:rsidR="007D1BF4" w:rsidRPr="001D6BE8" w14:paraId="5C4A9091" w14:textId="77777777" w:rsidTr="0025765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0D204EC8" w14:textId="77777777" w:rsidR="007D1BF4" w:rsidRPr="003E1E6E" w:rsidRDefault="007D1BF4" w:rsidP="003E1E6E">
            <w:pPr>
              <w:pStyle w:val="08-Tabelageral"/>
              <w:jc w:val="left"/>
              <w:rPr>
                <w:rFonts w:cs="Arial"/>
                <w:b w:val="0"/>
                <w:szCs w:val="14"/>
              </w:rPr>
            </w:pPr>
            <w:r w:rsidRPr="003E1E6E">
              <w:rPr>
                <w:rFonts w:cs="Arial"/>
                <w:b w:val="0"/>
                <w:szCs w:val="14"/>
              </w:rPr>
              <w:t>Ativos financeiros ao valor justo por meio do resultado</w:t>
            </w:r>
          </w:p>
        </w:tc>
        <w:tc>
          <w:tcPr>
            <w:tcW w:w="0" w:type="dxa"/>
            <w:tcBorders>
              <w:top w:val="nil"/>
              <w:bottom w:val="nil"/>
            </w:tcBorders>
            <w:shd w:val="clear" w:color="auto" w:fill="auto"/>
            <w:vAlign w:val="center"/>
          </w:tcPr>
          <w:p w14:paraId="2B7B068E" w14:textId="77777777" w:rsidR="007D1BF4" w:rsidRDefault="007D1BF4" w:rsidP="009A48A9">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[16]</w:t>
            </w:r>
          </w:p>
        </w:tc>
        <w:tc>
          <w:tcPr>
            <w:tcW w:w="0" w:type="dxa"/>
            <w:tcBorders>
              <w:top w:val="nil"/>
              <w:bottom w:val="nil"/>
            </w:tcBorders>
            <w:shd w:val="clear" w:color="auto" w:fill="auto"/>
            <w:vAlign w:val="center"/>
          </w:tcPr>
          <w:p w14:paraId="29B73C65" w14:textId="77777777" w:rsidR="007D1BF4" w:rsidRPr="00F84843"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0" w:type="dxa"/>
            <w:tcBorders>
              <w:top w:val="nil"/>
              <w:bottom w:val="nil"/>
            </w:tcBorders>
            <w:shd w:val="clear" w:color="auto" w:fill="auto"/>
            <w:vAlign w:val="center"/>
          </w:tcPr>
          <w:p w14:paraId="7594BB1E" w14:textId="77777777" w:rsidR="007D1BF4" w:rsidRPr="00F84843"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84843">
              <w:rPr>
                <w:rFonts w:cs="Arial"/>
                <w:color w:val="000000"/>
                <w:szCs w:val="14"/>
              </w:rPr>
              <w:t>14.011</w:t>
            </w:r>
          </w:p>
        </w:tc>
        <w:tc>
          <w:tcPr>
            <w:tcW w:w="0" w:type="dxa"/>
            <w:tcBorders>
              <w:top w:val="nil"/>
              <w:bottom w:val="nil"/>
            </w:tcBorders>
            <w:shd w:val="clear" w:color="auto" w:fill="auto"/>
            <w:vAlign w:val="center"/>
          </w:tcPr>
          <w:p w14:paraId="65DB523A" w14:textId="77777777" w:rsidR="007D1BF4" w:rsidRPr="00136621"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29EE5D4E"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136621">
              <w:rPr>
                <w:rFonts w:cs="Arial"/>
                <w:color w:val="000000"/>
                <w:szCs w:val="14"/>
              </w:rPr>
              <w:t>--</w:t>
            </w:r>
          </w:p>
        </w:tc>
        <w:tc>
          <w:tcPr>
            <w:tcW w:w="0" w:type="dxa"/>
            <w:tcBorders>
              <w:top w:val="nil"/>
              <w:bottom w:val="nil"/>
            </w:tcBorders>
            <w:shd w:val="clear" w:color="auto" w:fill="auto"/>
            <w:vAlign w:val="center"/>
          </w:tcPr>
          <w:p w14:paraId="387E31D5"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3.948</w:t>
            </w:r>
          </w:p>
        </w:tc>
      </w:tr>
      <w:tr w:rsidR="007D1BF4" w:rsidRPr="001D6BE8" w14:paraId="69CF19F6"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339902DD" w14:textId="77777777" w:rsidR="007D1BF4" w:rsidRPr="003E1E6E" w:rsidRDefault="007D1BF4" w:rsidP="003E1E6E">
            <w:pPr>
              <w:pStyle w:val="08-Tabelageral"/>
              <w:jc w:val="left"/>
              <w:rPr>
                <w:rFonts w:cs="Arial"/>
                <w:b w:val="0"/>
                <w:szCs w:val="14"/>
              </w:rPr>
            </w:pPr>
            <w:r w:rsidRPr="003E1E6E">
              <w:rPr>
                <w:rFonts w:cs="Arial"/>
                <w:b w:val="0"/>
                <w:szCs w:val="14"/>
              </w:rPr>
              <w:t>Dividendos/JCP a Receber</w:t>
            </w:r>
          </w:p>
        </w:tc>
        <w:tc>
          <w:tcPr>
            <w:tcW w:w="0" w:type="dxa"/>
            <w:tcBorders>
              <w:top w:val="nil"/>
              <w:bottom w:val="nil"/>
            </w:tcBorders>
            <w:shd w:val="clear" w:color="auto" w:fill="auto"/>
            <w:vAlign w:val="center"/>
          </w:tcPr>
          <w:p w14:paraId="100F9940" w14:textId="77777777" w:rsidR="007D1BF4" w:rsidRDefault="007D1BF4" w:rsidP="009A48A9">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[17]</w:t>
            </w:r>
          </w:p>
        </w:tc>
        <w:tc>
          <w:tcPr>
            <w:tcW w:w="0" w:type="dxa"/>
            <w:tcBorders>
              <w:top w:val="nil"/>
              <w:bottom w:val="nil"/>
            </w:tcBorders>
            <w:shd w:val="clear" w:color="auto" w:fill="auto"/>
            <w:vAlign w:val="center"/>
          </w:tcPr>
          <w:p w14:paraId="4176F23C" w14:textId="77777777" w:rsidR="007D1BF4" w:rsidRPr="00F84843"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1.572.428</w:t>
            </w:r>
          </w:p>
        </w:tc>
        <w:tc>
          <w:tcPr>
            <w:tcW w:w="0" w:type="dxa"/>
            <w:tcBorders>
              <w:top w:val="nil"/>
              <w:bottom w:val="nil"/>
            </w:tcBorders>
            <w:shd w:val="clear" w:color="auto" w:fill="auto"/>
            <w:vAlign w:val="center"/>
          </w:tcPr>
          <w:p w14:paraId="0B37B44D" w14:textId="77777777" w:rsidR="007D1BF4" w:rsidRPr="00F84843"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r>
              <w:rPr>
                <w:rFonts w:cs="Arial"/>
                <w:szCs w:val="14"/>
                <w:lang w:val="en-US"/>
              </w:rPr>
              <w:t>--</w:t>
            </w:r>
          </w:p>
        </w:tc>
        <w:tc>
          <w:tcPr>
            <w:tcW w:w="0" w:type="dxa"/>
            <w:tcBorders>
              <w:top w:val="nil"/>
              <w:bottom w:val="nil"/>
            </w:tcBorders>
            <w:shd w:val="clear" w:color="auto" w:fill="auto"/>
            <w:vAlign w:val="center"/>
          </w:tcPr>
          <w:p w14:paraId="730CB2E7" w14:textId="77777777" w:rsidR="007D1BF4" w:rsidRPr="00136621"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49384C51"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bCs/>
                <w:szCs w:val="14"/>
              </w:rPr>
            </w:pPr>
            <w:r w:rsidRPr="00136621">
              <w:rPr>
                <w:rFonts w:cs="Arial"/>
                <w:color w:val="000000"/>
                <w:szCs w:val="14"/>
              </w:rPr>
              <w:t>1.060.278</w:t>
            </w:r>
          </w:p>
        </w:tc>
        <w:tc>
          <w:tcPr>
            <w:tcW w:w="0" w:type="dxa"/>
            <w:tcBorders>
              <w:top w:val="nil"/>
              <w:bottom w:val="nil"/>
            </w:tcBorders>
            <w:shd w:val="clear" w:color="auto" w:fill="auto"/>
            <w:vAlign w:val="center"/>
          </w:tcPr>
          <w:p w14:paraId="0FD497C5"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36621">
              <w:rPr>
                <w:rFonts w:cs="Arial"/>
                <w:szCs w:val="14"/>
                <w:lang w:val="en-US"/>
              </w:rPr>
              <w:t>--</w:t>
            </w:r>
          </w:p>
        </w:tc>
      </w:tr>
      <w:tr w:rsidR="007D1BF4" w:rsidRPr="001D6BE8" w14:paraId="66DB3C85" w14:textId="77777777" w:rsidTr="0025765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4923D173" w14:textId="77777777" w:rsidR="007D1BF4" w:rsidRPr="003E1E6E" w:rsidRDefault="007D1BF4" w:rsidP="003E1E6E">
            <w:pPr>
              <w:pStyle w:val="08-Tabelageral"/>
              <w:jc w:val="left"/>
              <w:rPr>
                <w:rFonts w:cs="Arial"/>
                <w:b w:val="0"/>
                <w:szCs w:val="14"/>
              </w:rPr>
            </w:pPr>
          </w:p>
        </w:tc>
        <w:tc>
          <w:tcPr>
            <w:tcW w:w="0" w:type="dxa"/>
            <w:tcBorders>
              <w:top w:val="nil"/>
              <w:bottom w:val="nil"/>
            </w:tcBorders>
            <w:shd w:val="clear" w:color="auto" w:fill="auto"/>
            <w:vAlign w:val="center"/>
          </w:tcPr>
          <w:p w14:paraId="7E2715DF" w14:textId="77777777" w:rsidR="007D1BF4" w:rsidRDefault="007D1BF4" w:rsidP="009A48A9">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0" w:type="dxa"/>
            <w:tcBorders>
              <w:top w:val="nil"/>
              <w:bottom w:val="nil"/>
            </w:tcBorders>
            <w:shd w:val="clear" w:color="auto" w:fill="auto"/>
            <w:vAlign w:val="center"/>
          </w:tcPr>
          <w:p w14:paraId="3C7EF7D6" w14:textId="77777777" w:rsidR="007D1BF4" w:rsidRPr="00F84843"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0" w:type="dxa"/>
            <w:tcBorders>
              <w:top w:val="nil"/>
              <w:bottom w:val="nil"/>
            </w:tcBorders>
            <w:shd w:val="clear" w:color="auto" w:fill="auto"/>
            <w:vAlign w:val="center"/>
          </w:tcPr>
          <w:p w14:paraId="6DF68EE7" w14:textId="77777777" w:rsidR="007D1BF4" w:rsidRPr="00F84843"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0" w:type="dxa"/>
            <w:tcBorders>
              <w:top w:val="nil"/>
              <w:bottom w:val="nil"/>
            </w:tcBorders>
            <w:shd w:val="clear" w:color="auto" w:fill="auto"/>
            <w:vAlign w:val="center"/>
          </w:tcPr>
          <w:p w14:paraId="26D51CAB" w14:textId="77777777" w:rsidR="007D1BF4" w:rsidRPr="00136621"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58B9A390"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0" w:type="dxa"/>
            <w:tcBorders>
              <w:top w:val="nil"/>
              <w:bottom w:val="nil"/>
            </w:tcBorders>
            <w:shd w:val="clear" w:color="auto" w:fill="auto"/>
            <w:vAlign w:val="center"/>
          </w:tcPr>
          <w:p w14:paraId="64C4A42D"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r>
      <w:tr w:rsidR="007D1BF4" w:rsidRPr="001D6BE8" w14:paraId="76F5BE89"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03ADA2EC" w14:textId="77777777" w:rsidR="007D1BF4" w:rsidRPr="003E1E6E" w:rsidRDefault="007D1BF4" w:rsidP="003E1E6E">
            <w:pPr>
              <w:pStyle w:val="08-Tabelageral"/>
              <w:jc w:val="left"/>
              <w:rPr>
                <w:rFonts w:cs="Arial"/>
                <w:b w:val="0"/>
                <w:szCs w:val="14"/>
              </w:rPr>
            </w:pPr>
            <w:r w:rsidRPr="003E1E6E">
              <w:rPr>
                <w:rFonts w:cs="Arial"/>
                <w:b w:val="0"/>
                <w:szCs w:val="14"/>
              </w:rPr>
              <w:t>PASSIVOS</w:t>
            </w:r>
          </w:p>
        </w:tc>
        <w:tc>
          <w:tcPr>
            <w:tcW w:w="0" w:type="dxa"/>
            <w:tcBorders>
              <w:top w:val="nil"/>
              <w:bottom w:val="nil"/>
            </w:tcBorders>
            <w:shd w:val="clear" w:color="auto" w:fill="auto"/>
            <w:vAlign w:val="center"/>
          </w:tcPr>
          <w:p w14:paraId="374FDABA" w14:textId="77777777" w:rsidR="007D1BF4" w:rsidRDefault="007D1BF4" w:rsidP="009A48A9">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p>
        </w:tc>
        <w:tc>
          <w:tcPr>
            <w:tcW w:w="0" w:type="dxa"/>
            <w:tcBorders>
              <w:top w:val="nil"/>
              <w:bottom w:val="nil"/>
            </w:tcBorders>
            <w:shd w:val="clear" w:color="auto" w:fill="auto"/>
            <w:vAlign w:val="center"/>
          </w:tcPr>
          <w:p w14:paraId="0D86E4BE" w14:textId="77777777" w:rsidR="007D1BF4" w:rsidRPr="00F84843"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color w:val="000000"/>
                <w:szCs w:val="14"/>
              </w:rPr>
            </w:pPr>
          </w:p>
        </w:tc>
        <w:tc>
          <w:tcPr>
            <w:tcW w:w="0" w:type="dxa"/>
            <w:tcBorders>
              <w:top w:val="nil"/>
              <w:bottom w:val="nil"/>
            </w:tcBorders>
            <w:shd w:val="clear" w:color="auto" w:fill="auto"/>
            <w:vAlign w:val="center"/>
          </w:tcPr>
          <w:p w14:paraId="0B021854" w14:textId="77777777" w:rsidR="007D1BF4" w:rsidRPr="00F84843"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6A6C170B" w14:textId="77777777" w:rsidR="007D1BF4" w:rsidRPr="00136621"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4FBCFA9B"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0" w:type="dxa"/>
            <w:tcBorders>
              <w:top w:val="nil"/>
              <w:bottom w:val="nil"/>
            </w:tcBorders>
            <w:shd w:val="clear" w:color="auto" w:fill="auto"/>
            <w:vAlign w:val="center"/>
          </w:tcPr>
          <w:p w14:paraId="1FE6DE95"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r>
      <w:tr w:rsidR="007D1BF4" w:rsidRPr="001D6BE8" w14:paraId="2AED9937" w14:textId="77777777" w:rsidTr="0025765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4C9B87C1" w14:textId="77777777" w:rsidR="007D1BF4" w:rsidRPr="003E1E6E" w:rsidRDefault="007D1BF4" w:rsidP="003E1E6E">
            <w:pPr>
              <w:pStyle w:val="08-Tabelageral"/>
              <w:jc w:val="left"/>
              <w:rPr>
                <w:rFonts w:cs="Arial"/>
                <w:b w:val="0"/>
                <w:szCs w:val="14"/>
              </w:rPr>
            </w:pPr>
            <w:r w:rsidRPr="003E1E6E">
              <w:rPr>
                <w:rFonts w:cs="Arial"/>
                <w:b w:val="0"/>
                <w:szCs w:val="14"/>
              </w:rPr>
              <w:t>Obrigações Societárias e Estatutárias</w:t>
            </w:r>
          </w:p>
        </w:tc>
        <w:tc>
          <w:tcPr>
            <w:tcW w:w="0" w:type="dxa"/>
            <w:tcBorders>
              <w:top w:val="nil"/>
              <w:bottom w:val="nil"/>
            </w:tcBorders>
            <w:shd w:val="clear" w:color="auto" w:fill="auto"/>
            <w:vAlign w:val="center"/>
          </w:tcPr>
          <w:p w14:paraId="05B3C5DE" w14:textId="77777777" w:rsidR="007D1BF4" w:rsidRDefault="007D1BF4" w:rsidP="009A48A9">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[21]</w:t>
            </w:r>
          </w:p>
        </w:tc>
        <w:tc>
          <w:tcPr>
            <w:tcW w:w="0" w:type="dxa"/>
            <w:tcBorders>
              <w:top w:val="nil"/>
              <w:bottom w:val="nil"/>
            </w:tcBorders>
            <w:shd w:val="clear" w:color="auto" w:fill="auto"/>
            <w:vAlign w:val="center"/>
          </w:tcPr>
          <w:p w14:paraId="5CBA8574" w14:textId="77777777" w:rsidR="007D1BF4" w:rsidRPr="00F84843" w:rsidRDefault="007D1BF4" w:rsidP="00F84843">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sidRPr="000D0C29">
              <w:rPr>
                <w:rFonts w:eastAsia="Times New Roman" w:cs="Arial"/>
                <w:color w:val="000000"/>
                <w:sz w:val="14"/>
                <w:szCs w:val="14"/>
              </w:rPr>
              <w:t>1.831.691</w:t>
            </w:r>
          </w:p>
        </w:tc>
        <w:tc>
          <w:tcPr>
            <w:tcW w:w="0" w:type="dxa"/>
            <w:tcBorders>
              <w:top w:val="nil"/>
              <w:bottom w:val="nil"/>
            </w:tcBorders>
            <w:shd w:val="clear" w:color="auto" w:fill="auto"/>
            <w:vAlign w:val="center"/>
          </w:tcPr>
          <w:p w14:paraId="7A9E88A1" w14:textId="77777777" w:rsidR="007D1BF4" w:rsidRPr="00F84843" w:rsidRDefault="007D1BF4" w:rsidP="00F84843">
            <w:pPr>
              <w:keepNext/>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0" w:type="dxa"/>
            <w:tcBorders>
              <w:top w:val="nil"/>
              <w:bottom w:val="nil"/>
            </w:tcBorders>
            <w:shd w:val="clear" w:color="auto" w:fill="auto"/>
            <w:vAlign w:val="center"/>
          </w:tcPr>
          <w:p w14:paraId="2EEC925C" w14:textId="77777777" w:rsidR="007D1BF4" w:rsidRPr="00136621"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44B78F4A"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36621">
              <w:rPr>
                <w:rFonts w:cs="Arial"/>
                <w:szCs w:val="14"/>
              </w:rPr>
              <w:t>948.493</w:t>
            </w:r>
          </w:p>
        </w:tc>
        <w:tc>
          <w:tcPr>
            <w:tcW w:w="0" w:type="dxa"/>
            <w:tcBorders>
              <w:top w:val="nil"/>
              <w:bottom w:val="nil"/>
            </w:tcBorders>
            <w:shd w:val="clear" w:color="auto" w:fill="auto"/>
            <w:vAlign w:val="center"/>
          </w:tcPr>
          <w:p w14:paraId="5100E8BE"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136621">
              <w:rPr>
                <w:rFonts w:cs="Arial"/>
                <w:color w:val="000000"/>
                <w:szCs w:val="14"/>
              </w:rPr>
              <w:t>--</w:t>
            </w:r>
          </w:p>
        </w:tc>
      </w:tr>
      <w:tr w:rsidR="007D1BF4" w:rsidRPr="001D6BE8" w14:paraId="326324D8"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vAlign w:val="center"/>
          </w:tcPr>
          <w:p w14:paraId="781BA4CD" w14:textId="77777777" w:rsidR="007D1BF4" w:rsidRPr="003E1E6E" w:rsidRDefault="007D1BF4" w:rsidP="003E1E6E">
            <w:pPr>
              <w:pStyle w:val="08-Tabelageral"/>
              <w:jc w:val="left"/>
              <w:rPr>
                <w:rFonts w:cs="Arial"/>
                <w:b w:val="0"/>
                <w:szCs w:val="14"/>
              </w:rPr>
            </w:pPr>
            <w:r w:rsidRPr="003E1E6E">
              <w:rPr>
                <w:rFonts w:cs="Arial"/>
                <w:b w:val="0"/>
                <w:szCs w:val="14"/>
              </w:rPr>
              <w:t>Passivos por impostos correntes</w:t>
            </w:r>
          </w:p>
        </w:tc>
        <w:tc>
          <w:tcPr>
            <w:tcW w:w="0" w:type="dxa"/>
            <w:tcBorders>
              <w:top w:val="nil"/>
              <w:bottom w:val="nil"/>
            </w:tcBorders>
            <w:shd w:val="clear" w:color="auto" w:fill="auto"/>
            <w:vAlign w:val="center"/>
          </w:tcPr>
          <w:p w14:paraId="578E33CC" w14:textId="77777777" w:rsidR="007D1BF4" w:rsidRDefault="007D1BF4" w:rsidP="009A48A9">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[12]</w:t>
            </w:r>
          </w:p>
        </w:tc>
        <w:tc>
          <w:tcPr>
            <w:tcW w:w="0" w:type="dxa"/>
            <w:tcBorders>
              <w:top w:val="nil"/>
              <w:bottom w:val="nil"/>
            </w:tcBorders>
            <w:shd w:val="clear" w:color="auto" w:fill="auto"/>
            <w:vAlign w:val="center"/>
          </w:tcPr>
          <w:p w14:paraId="05660589" w14:textId="77777777" w:rsidR="007D1BF4" w:rsidRPr="00F84843" w:rsidRDefault="007D1BF4" w:rsidP="00F8484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0D0C29">
              <w:rPr>
                <w:rFonts w:cs="Arial"/>
                <w:color w:val="000000"/>
                <w:sz w:val="14"/>
                <w:szCs w:val="14"/>
              </w:rPr>
              <w:t>444</w:t>
            </w:r>
          </w:p>
        </w:tc>
        <w:tc>
          <w:tcPr>
            <w:tcW w:w="0" w:type="dxa"/>
            <w:tcBorders>
              <w:top w:val="nil"/>
              <w:bottom w:val="nil"/>
            </w:tcBorders>
            <w:shd w:val="clear" w:color="auto" w:fill="auto"/>
            <w:vAlign w:val="center"/>
          </w:tcPr>
          <w:p w14:paraId="35EF05E1" w14:textId="77777777" w:rsidR="007D1BF4" w:rsidRPr="00F84843" w:rsidRDefault="007D1BF4" w:rsidP="00F84843">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w:t>
            </w:r>
          </w:p>
        </w:tc>
        <w:tc>
          <w:tcPr>
            <w:tcW w:w="0" w:type="dxa"/>
            <w:tcBorders>
              <w:top w:val="nil"/>
              <w:bottom w:val="nil"/>
            </w:tcBorders>
            <w:shd w:val="clear" w:color="auto" w:fill="auto"/>
            <w:vAlign w:val="center"/>
          </w:tcPr>
          <w:p w14:paraId="2DC1498D" w14:textId="77777777" w:rsidR="007D1BF4" w:rsidRPr="00136621" w:rsidRDefault="007D1BF4" w:rsidP="00F84843">
            <w:pPr>
              <w:pStyle w:val="07-Legenda"/>
              <w:keepNext/>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6B2F84A1"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36621">
              <w:rPr>
                <w:rFonts w:cs="Arial"/>
                <w:szCs w:val="14"/>
              </w:rPr>
              <w:t>81</w:t>
            </w:r>
          </w:p>
        </w:tc>
        <w:tc>
          <w:tcPr>
            <w:tcW w:w="0" w:type="dxa"/>
            <w:tcBorders>
              <w:top w:val="nil"/>
              <w:bottom w:val="nil"/>
            </w:tcBorders>
            <w:shd w:val="clear" w:color="auto" w:fill="auto"/>
            <w:vAlign w:val="center"/>
          </w:tcPr>
          <w:p w14:paraId="19000F99" w14:textId="77777777" w:rsidR="007D1BF4" w:rsidRPr="00136621" w:rsidRDefault="007D1BF4" w:rsidP="00F84843">
            <w:pPr>
              <w:pStyle w:val="08-Tabelageral"/>
              <w:cnfStyle w:val="000000000000" w:firstRow="0" w:lastRow="0" w:firstColumn="0" w:lastColumn="0" w:oddVBand="0" w:evenVBand="0" w:oddHBand="0" w:evenHBand="0" w:firstRowFirstColumn="0" w:firstRowLastColumn="0" w:lastRowFirstColumn="0" w:lastRowLastColumn="0"/>
              <w:rPr>
                <w:rFonts w:cs="Arial"/>
                <w:bCs/>
                <w:szCs w:val="14"/>
              </w:rPr>
            </w:pPr>
            <w:r w:rsidRPr="00136621">
              <w:rPr>
                <w:rFonts w:cs="Arial"/>
                <w:color w:val="000000"/>
                <w:szCs w:val="14"/>
              </w:rPr>
              <w:t>--</w:t>
            </w:r>
          </w:p>
        </w:tc>
      </w:tr>
      <w:tr w:rsidR="007D1BF4" w:rsidRPr="001D6BE8" w14:paraId="52C71C92" w14:textId="77777777" w:rsidTr="0025765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single" w:sz="2" w:space="0" w:color="1F4E79" w:themeColor="accent1" w:themeShade="80"/>
            </w:tcBorders>
            <w:shd w:val="clear" w:color="auto" w:fill="auto"/>
            <w:vAlign w:val="center"/>
          </w:tcPr>
          <w:p w14:paraId="20893828" w14:textId="77777777" w:rsidR="007D1BF4" w:rsidRPr="003E1E6E" w:rsidRDefault="007D1BF4" w:rsidP="003E1E6E">
            <w:pPr>
              <w:pStyle w:val="08-Tabelageral"/>
              <w:jc w:val="left"/>
              <w:rPr>
                <w:rFonts w:cs="Arial"/>
                <w:b w:val="0"/>
                <w:szCs w:val="14"/>
              </w:rPr>
            </w:pPr>
            <w:r w:rsidRPr="003E1E6E">
              <w:rPr>
                <w:rFonts w:cs="Arial"/>
                <w:b w:val="0"/>
                <w:szCs w:val="14"/>
              </w:rPr>
              <w:t>Outros passivos</w:t>
            </w:r>
          </w:p>
        </w:tc>
        <w:tc>
          <w:tcPr>
            <w:tcW w:w="0" w:type="dxa"/>
            <w:tcBorders>
              <w:top w:val="nil"/>
              <w:bottom w:val="single" w:sz="2" w:space="0" w:color="1F4E79" w:themeColor="accent1" w:themeShade="80"/>
            </w:tcBorders>
            <w:shd w:val="clear" w:color="auto" w:fill="auto"/>
            <w:vAlign w:val="center"/>
          </w:tcPr>
          <w:p w14:paraId="4B3C0729" w14:textId="77777777" w:rsidR="007D1BF4" w:rsidRPr="00AF048C" w:rsidRDefault="007D1BF4" w:rsidP="009A48A9">
            <w:pPr>
              <w:pStyle w:val="07-Legenda"/>
              <w:keepNext/>
              <w:jc w:val="center"/>
              <w:cnfStyle w:val="000000100000" w:firstRow="0" w:lastRow="0" w:firstColumn="0" w:lastColumn="0" w:oddVBand="0" w:evenVBand="0" w:oddHBand="1" w:evenHBand="0" w:firstRowFirstColumn="0" w:firstRowLastColumn="0" w:lastRowFirstColumn="0" w:lastRowLastColumn="0"/>
              <w:rPr>
                <w:szCs w:val="14"/>
                <w:lang w:val="en-US"/>
              </w:rPr>
            </w:pPr>
            <w:r w:rsidRPr="00AF048C">
              <w:rPr>
                <w:szCs w:val="14"/>
                <w:lang w:val="en-US"/>
              </w:rPr>
              <w:t>[</w:t>
            </w:r>
            <w:r>
              <w:rPr>
                <w:szCs w:val="14"/>
                <w:lang w:val="en-US"/>
              </w:rPr>
              <w:t>24</w:t>
            </w:r>
            <w:r w:rsidRPr="00AF048C">
              <w:rPr>
                <w:szCs w:val="14"/>
                <w:lang w:val="en-US"/>
              </w:rPr>
              <w:t>]</w:t>
            </w:r>
          </w:p>
        </w:tc>
        <w:tc>
          <w:tcPr>
            <w:tcW w:w="0" w:type="dxa"/>
            <w:tcBorders>
              <w:top w:val="nil"/>
              <w:bottom w:val="single" w:sz="2" w:space="0" w:color="1F4E79" w:themeColor="accent1" w:themeShade="80"/>
            </w:tcBorders>
            <w:shd w:val="clear" w:color="auto" w:fill="auto"/>
            <w:vAlign w:val="center"/>
          </w:tcPr>
          <w:p w14:paraId="58EB8550" w14:textId="77777777" w:rsidR="007D1BF4" w:rsidRPr="00F84843" w:rsidRDefault="007D1BF4" w:rsidP="00F84843">
            <w:pPr>
              <w:keepNext/>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D0C29">
              <w:rPr>
                <w:rFonts w:cs="Arial"/>
                <w:color w:val="000000"/>
                <w:sz w:val="14"/>
                <w:szCs w:val="14"/>
              </w:rPr>
              <w:t>10.839</w:t>
            </w:r>
          </w:p>
        </w:tc>
        <w:tc>
          <w:tcPr>
            <w:tcW w:w="0" w:type="dxa"/>
            <w:tcBorders>
              <w:top w:val="nil"/>
              <w:bottom w:val="single" w:sz="2" w:space="0" w:color="1F4E79" w:themeColor="accent1" w:themeShade="80"/>
            </w:tcBorders>
            <w:shd w:val="clear" w:color="auto" w:fill="auto"/>
            <w:vAlign w:val="center"/>
          </w:tcPr>
          <w:p w14:paraId="5E662A99" w14:textId="77777777" w:rsidR="007D1BF4" w:rsidRPr="00F84843" w:rsidRDefault="007D1BF4" w:rsidP="00F84843">
            <w:pPr>
              <w:keepNext/>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0" w:type="dxa"/>
            <w:tcBorders>
              <w:top w:val="nil"/>
              <w:bottom w:val="single" w:sz="2" w:space="0" w:color="1F4E79" w:themeColor="accent1" w:themeShade="80"/>
            </w:tcBorders>
            <w:shd w:val="clear" w:color="auto" w:fill="auto"/>
            <w:vAlign w:val="center"/>
          </w:tcPr>
          <w:p w14:paraId="107D15F0" w14:textId="77777777" w:rsidR="007D1BF4" w:rsidRPr="00136621" w:rsidRDefault="007D1BF4" w:rsidP="00F84843">
            <w:pPr>
              <w:pStyle w:val="07-Legenda"/>
              <w:keepNext/>
              <w:jc w:val="right"/>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0" w:type="dxa"/>
            <w:tcBorders>
              <w:top w:val="nil"/>
              <w:bottom w:val="single" w:sz="2" w:space="0" w:color="1F4E79" w:themeColor="accent1" w:themeShade="80"/>
            </w:tcBorders>
            <w:shd w:val="clear" w:color="auto" w:fill="auto"/>
            <w:vAlign w:val="center"/>
          </w:tcPr>
          <w:p w14:paraId="29BF504F"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36621">
              <w:rPr>
                <w:rFonts w:cs="Arial"/>
                <w:color w:val="000000"/>
                <w:szCs w:val="14"/>
              </w:rPr>
              <w:t>8.603</w:t>
            </w:r>
          </w:p>
        </w:tc>
        <w:tc>
          <w:tcPr>
            <w:tcW w:w="0" w:type="dxa"/>
            <w:tcBorders>
              <w:top w:val="nil"/>
              <w:bottom w:val="single" w:sz="2" w:space="0" w:color="1F4E79" w:themeColor="accent1" w:themeShade="80"/>
            </w:tcBorders>
            <w:shd w:val="clear" w:color="auto" w:fill="auto"/>
            <w:vAlign w:val="center"/>
          </w:tcPr>
          <w:p w14:paraId="2B78C26A" w14:textId="77777777" w:rsidR="007D1BF4" w:rsidRPr="00136621" w:rsidRDefault="007D1BF4" w:rsidP="00F8484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136621">
              <w:rPr>
                <w:rFonts w:cs="Arial"/>
                <w:color w:val="000000"/>
                <w:szCs w:val="14"/>
              </w:rPr>
              <w:t>--</w:t>
            </w:r>
          </w:p>
        </w:tc>
      </w:tr>
    </w:tbl>
    <w:p w14:paraId="3B9FF27E" w14:textId="77777777" w:rsidR="007D1BF4" w:rsidRDefault="007D1BF4" w:rsidP="009A48A9">
      <w:pPr>
        <w:pStyle w:val="05-Textonormal"/>
      </w:pPr>
    </w:p>
    <w:p w14:paraId="0226A35E" w14:textId="77777777" w:rsidR="007D1BF4" w:rsidRPr="005F2021" w:rsidRDefault="007D1BF4" w:rsidP="007C510A">
      <w:pPr>
        <w:pStyle w:val="06-Rmil"/>
      </w:pPr>
      <w:r w:rsidRPr="005F2021">
        <w:lastRenderedPageBreak/>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7D1BF4" w:rsidRPr="00454A91" w14:paraId="0BC6D097" w14:textId="77777777" w:rsidTr="009A48A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tcPr>
          <w:p w14:paraId="1F560D97" w14:textId="77777777" w:rsidR="007D1BF4" w:rsidRDefault="007D1BF4" w:rsidP="00424AA7">
            <w:pPr>
              <w:keepNext/>
              <w:jc w:val="center"/>
              <w:rPr>
                <w:rFonts w:cs="Arial"/>
                <w:sz w:val="14"/>
                <w:szCs w:val="18"/>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4354156D" w14:textId="77777777" w:rsidR="007D1BF4" w:rsidRPr="00454A91" w:rsidRDefault="007D1BF4" w:rsidP="00424AA7">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Pr>
                <w:rFonts w:cs="Arial"/>
                <w:sz w:val="14"/>
                <w:szCs w:val="18"/>
              </w:rPr>
              <w:t>Consolidado</w:t>
            </w:r>
          </w:p>
        </w:tc>
      </w:tr>
      <w:tr w:rsidR="007D1BF4" w:rsidRPr="00454A91" w14:paraId="38819725" w14:textId="77777777" w:rsidTr="0013314C">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653CEA19" w14:textId="77777777" w:rsidR="007D1BF4" w:rsidRPr="007C510A" w:rsidRDefault="007D1BF4" w:rsidP="00424AA7">
            <w:pPr>
              <w:keepNext/>
              <w:rPr>
                <w:rFonts w:cs="Arial"/>
                <w:sz w:val="14"/>
                <w:szCs w:val="14"/>
              </w:rPr>
            </w:pPr>
            <w:r w:rsidRPr="007C510A">
              <w:rPr>
                <w:rFonts w:cs="Arial"/>
                <w:sz w:val="14"/>
                <w:szCs w:val="14"/>
              </w:rPr>
              <w:t>Risco de Liquidez</w:t>
            </w:r>
          </w:p>
        </w:tc>
        <w:tc>
          <w:tcPr>
            <w:tcW w:w="992" w:type="dxa"/>
            <w:tcBorders>
              <w:top w:val="single" w:sz="2" w:space="0" w:color="1F4E79" w:themeColor="accent1" w:themeShade="80"/>
              <w:bottom w:val="nil"/>
            </w:tcBorders>
            <w:shd w:val="clear" w:color="auto" w:fill="auto"/>
          </w:tcPr>
          <w:p w14:paraId="6CEDB897" w14:textId="77777777" w:rsidR="007D1BF4" w:rsidRPr="007C510A" w:rsidRDefault="007D1BF4" w:rsidP="00424AA7">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4E79" w:themeColor="accent1" w:themeShade="80"/>
              <w:bottom w:val="single" w:sz="2" w:space="0" w:color="1F4E79" w:themeColor="accent1" w:themeShade="80"/>
            </w:tcBorders>
            <w:shd w:val="clear" w:color="auto" w:fill="auto"/>
            <w:vAlign w:val="center"/>
          </w:tcPr>
          <w:p w14:paraId="76CF6E31" w14:textId="77777777" w:rsidR="007D1BF4" w:rsidRPr="007C510A" w:rsidRDefault="007D1BF4" w:rsidP="0013314C">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7C510A">
              <w:rPr>
                <w:rFonts w:cs="Arial"/>
                <w:b/>
                <w:sz w:val="14"/>
                <w:szCs w:val="18"/>
              </w:rPr>
              <w:t>3</w:t>
            </w:r>
            <w:r>
              <w:rPr>
                <w:rFonts w:cs="Arial"/>
                <w:b/>
                <w:sz w:val="14"/>
                <w:szCs w:val="18"/>
              </w:rPr>
              <w:t>1</w:t>
            </w:r>
            <w:r w:rsidRPr="007C510A">
              <w:rPr>
                <w:rFonts w:cs="Arial"/>
                <w:b/>
                <w:sz w:val="14"/>
                <w:szCs w:val="18"/>
              </w:rPr>
              <w:t>.</w:t>
            </w:r>
            <w:r>
              <w:rPr>
                <w:rFonts w:cs="Arial"/>
                <w:b/>
                <w:sz w:val="14"/>
                <w:szCs w:val="18"/>
              </w:rPr>
              <w:t>12</w:t>
            </w:r>
            <w:r w:rsidRPr="007C510A">
              <w:rPr>
                <w:rFonts w:cs="Arial"/>
                <w:b/>
                <w:sz w:val="14"/>
                <w:szCs w:val="18"/>
              </w:rPr>
              <w:t>.20</w:t>
            </w:r>
            <w:r>
              <w:rPr>
                <w:rFonts w:cs="Arial"/>
                <w:b/>
                <w:sz w:val="14"/>
                <w:szCs w:val="18"/>
              </w:rPr>
              <w:t>21</w:t>
            </w:r>
          </w:p>
        </w:tc>
        <w:tc>
          <w:tcPr>
            <w:tcW w:w="312" w:type="dxa"/>
            <w:tcBorders>
              <w:top w:val="single" w:sz="2" w:space="0" w:color="1F4E79" w:themeColor="accent1" w:themeShade="80"/>
              <w:bottom w:val="nil"/>
            </w:tcBorders>
            <w:shd w:val="clear" w:color="auto" w:fill="auto"/>
            <w:vAlign w:val="center"/>
          </w:tcPr>
          <w:p w14:paraId="0EC33907" w14:textId="77777777" w:rsidR="007D1BF4" w:rsidRPr="007C510A" w:rsidRDefault="007D1BF4" w:rsidP="0013314C">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4E79" w:themeColor="accent1" w:themeShade="80"/>
              <w:bottom w:val="single" w:sz="2" w:space="0" w:color="1F4E79" w:themeColor="accent1" w:themeShade="80"/>
            </w:tcBorders>
            <w:shd w:val="clear" w:color="auto" w:fill="auto"/>
            <w:vAlign w:val="center"/>
          </w:tcPr>
          <w:p w14:paraId="726F7252" w14:textId="77777777" w:rsidR="007D1BF4" w:rsidRPr="007C510A" w:rsidRDefault="007D1BF4" w:rsidP="0013314C">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7C510A">
              <w:rPr>
                <w:rFonts w:cs="Arial"/>
                <w:b/>
                <w:sz w:val="14"/>
                <w:szCs w:val="18"/>
              </w:rPr>
              <w:t>3</w:t>
            </w:r>
            <w:r>
              <w:rPr>
                <w:rFonts w:cs="Arial"/>
                <w:b/>
                <w:sz w:val="14"/>
                <w:szCs w:val="18"/>
              </w:rPr>
              <w:t>1</w:t>
            </w:r>
            <w:r w:rsidRPr="007C510A">
              <w:rPr>
                <w:rFonts w:cs="Arial"/>
                <w:b/>
                <w:sz w:val="14"/>
                <w:szCs w:val="18"/>
              </w:rPr>
              <w:t>.</w:t>
            </w:r>
            <w:r>
              <w:rPr>
                <w:rFonts w:cs="Arial"/>
                <w:b/>
                <w:sz w:val="14"/>
                <w:szCs w:val="18"/>
              </w:rPr>
              <w:t>12</w:t>
            </w:r>
            <w:r w:rsidRPr="007C510A">
              <w:rPr>
                <w:rFonts w:cs="Arial"/>
                <w:b/>
                <w:sz w:val="14"/>
                <w:szCs w:val="18"/>
              </w:rPr>
              <w:t>.20</w:t>
            </w:r>
            <w:r>
              <w:rPr>
                <w:rFonts w:cs="Arial"/>
                <w:b/>
                <w:sz w:val="14"/>
                <w:szCs w:val="18"/>
              </w:rPr>
              <w:t>20</w:t>
            </w:r>
          </w:p>
        </w:tc>
      </w:tr>
      <w:tr w:rsidR="007D1BF4" w:rsidRPr="001D6BE8" w14:paraId="2F38C8AB" w14:textId="77777777" w:rsidTr="0013314C">
        <w:trPr>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4E79" w:themeColor="accent1" w:themeShade="80"/>
              <w:bottom w:val="single" w:sz="2" w:space="0" w:color="1F4E79" w:themeColor="accent1" w:themeShade="80"/>
            </w:tcBorders>
            <w:shd w:val="clear" w:color="auto" w:fill="auto"/>
          </w:tcPr>
          <w:p w14:paraId="5E903AE2" w14:textId="77777777" w:rsidR="007D1BF4" w:rsidRPr="001D6BE8" w:rsidRDefault="007D1BF4" w:rsidP="00424AA7">
            <w:pPr>
              <w:pStyle w:val="08-Tabelageral"/>
              <w:keepLines w:val="0"/>
              <w:jc w:val="left"/>
              <w:rPr>
                <w:rFonts w:cs="Arial"/>
                <w:b w:val="0"/>
              </w:rPr>
            </w:pPr>
          </w:p>
        </w:tc>
        <w:tc>
          <w:tcPr>
            <w:tcW w:w="992" w:type="dxa"/>
            <w:tcBorders>
              <w:top w:val="nil"/>
              <w:bottom w:val="single" w:sz="2" w:space="0" w:color="1F4E79" w:themeColor="accent1" w:themeShade="80"/>
            </w:tcBorders>
            <w:shd w:val="clear" w:color="auto" w:fill="auto"/>
            <w:vAlign w:val="center"/>
          </w:tcPr>
          <w:p w14:paraId="5E2FE523" w14:textId="77777777" w:rsidR="007D1BF4" w:rsidRDefault="007D1BF4" w:rsidP="00424AA7">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Pr>
                <w:b/>
              </w:rPr>
              <w:t>Nota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E766546" w14:textId="77777777" w:rsidR="007D1BF4" w:rsidRPr="001D6BE8" w:rsidRDefault="007D1BF4" w:rsidP="00424AA7">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Pr>
                <w:b/>
              </w:rPr>
              <w:t>Até 1 ano</w:t>
            </w:r>
            <w:r>
              <w:rPr>
                <w:rFonts w:cs="Arial"/>
                <w:b/>
              </w:rPr>
              <w:t xml:space="preserve"> </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F182E68" w14:textId="77777777" w:rsidR="007D1BF4" w:rsidRPr="001D6BE8" w:rsidRDefault="007D1BF4" w:rsidP="00125B6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Pr>
                <w:b/>
              </w:rPr>
              <w:t>Mais de 1 ano</w:t>
            </w:r>
          </w:p>
        </w:tc>
        <w:tc>
          <w:tcPr>
            <w:tcW w:w="312" w:type="dxa"/>
            <w:tcBorders>
              <w:top w:val="nil"/>
              <w:bottom w:val="single" w:sz="2" w:space="0" w:color="1F4E79" w:themeColor="accent1" w:themeShade="80"/>
            </w:tcBorders>
            <w:shd w:val="clear" w:color="auto" w:fill="auto"/>
            <w:vAlign w:val="center"/>
          </w:tcPr>
          <w:p w14:paraId="6DB92EE9" w14:textId="77777777" w:rsidR="007D1BF4" w:rsidRPr="001D6BE8" w:rsidRDefault="007D1BF4" w:rsidP="00424AA7">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74498665" w14:textId="77777777" w:rsidR="007D1BF4" w:rsidRPr="001D6BE8" w:rsidRDefault="007D1BF4" w:rsidP="00424AA7">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Pr>
                <w:b/>
              </w:rPr>
              <w:t>Até 1 ano</w:t>
            </w:r>
            <w:r>
              <w:rPr>
                <w:rFonts w:cs="Arial"/>
                <w:b/>
              </w:rPr>
              <w:t xml:space="preserve"> </w:t>
            </w:r>
          </w:p>
        </w:tc>
        <w:tc>
          <w:tcPr>
            <w:tcW w:w="1133" w:type="dxa"/>
            <w:tcBorders>
              <w:top w:val="single" w:sz="2" w:space="0" w:color="1F4E79" w:themeColor="accent1" w:themeShade="80"/>
              <w:bottom w:val="single" w:sz="2" w:space="0" w:color="1F4E79" w:themeColor="accent1" w:themeShade="80"/>
            </w:tcBorders>
            <w:shd w:val="clear" w:color="auto" w:fill="auto"/>
            <w:vAlign w:val="center"/>
          </w:tcPr>
          <w:p w14:paraId="43B5C44E" w14:textId="77777777" w:rsidR="007D1BF4" w:rsidRPr="001D6BE8" w:rsidRDefault="007D1BF4" w:rsidP="00125B6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Pr>
                <w:b/>
              </w:rPr>
              <w:t>Mais de 1 ano</w:t>
            </w:r>
          </w:p>
        </w:tc>
      </w:tr>
      <w:tr w:rsidR="007D1BF4" w:rsidRPr="001D6BE8" w14:paraId="64A3026B" w14:textId="77777777" w:rsidTr="0013314C">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4E79" w:themeColor="accent1" w:themeShade="80"/>
              <w:bottom w:val="nil"/>
            </w:tcBorders>
            <w:shd w:val="clear" w:color="auto" w:fill="auto"/>
          </w:tcPr>
          <w:p w14:paraId="307703EA" w14:textId="77777777" w:rsidR="007D1BF4" w:rsidRPr="003E1E6E" w:rsidRDefault="007D1BF4" w:rsidP="00424AA7">
            <w:pPr>
              <w:pStyle w:val="08-Tabelageral"/>
              <w:keepLines w:val="0"/>
              <w:jc w:val="left"/>
              <w:rPr>
                <w:b w:val="0"/>
              </w:rPr>
            </w:pPr>
            <w:r w:rsidRPr="003E1E6E">
              <w:rPr>
                <w:b w:val="0"/>
              </w:rPr>
              <w:t>ATIVOS</w:t>
            </w:r>
          </w:p>
        </w:tc>
        <w:tc>
          <w:tcPr>
            <w:tcW w:w="992" w:type="dxa"/>
            <w:tcBorders>
              <w:top w:val="single" w:sz="2" w:space="0" w:color="1F4E79" w:themeColor="accent1" w:themeShade="80"/>
              <w:bottom w:val="nil"/>
            </w:tcBorders>
            <w:shd w:val="clear" w:color="auto" w:fill="auto"/>
            <w:vAlign w:val="center"/>
          </w:tcPr>
          <w:p w14:paraId="60DDFFE6" w14:textId="77777777" w:rsidR="007D1BF4" w:rsidRDefault="007D1BF4" w:rsidP="00424AA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4E79" w:themeColor="accent1" w:themeShade="80"/>
              <w:bottom w:val="nil"/>
            </w:tcBorders>
            <w:shd w:val="clear" w:color="auto" w:fill="auto"/>
            <w:vAlign w:val="center"/>
          </w:tcPr>
          <w:p w14:paraId="3FAEF6DE" w14:textId="77777777" w:rsidR="007D1BF4" w:rsidRDefault="007D1BF4" w:rsidP="00424AA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36417419" w14:textId="77777777" w:rsidR="007D1BF4" w:rsidRDefault="007D1BF4" w:rsidP="00424AA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4E79" w:themeColor="accent1" w:themeShade="80"/>
              <w:bottom w:val="nil"/>
            </w:tcBorders>
            <w:shd w:val="clear" w:color="auto" w:fill="auto"/>
            <w:vAlign w:val="center"/>
          </w:tcPr>
          <w:p w14:paraId="080FA792" w14:textId="77777777" w:rsidR="007D1BF4" w:rsidRDefault="007D1BF4" w:rsidP="00424AA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5B9C4043" w14:textId="77777777" w:rsidR="007D1BF4" w:rsidRDefault="007D1BF4" w:rsidP="00424AA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4E79" w:themeColor="accent1" w:themeShade="80"/>
              <w:bottom w:val="nil"/>
            </w:tcBorders>
            <w:shd w:val="clear" w:color="auto" w:fill="auto"/>
            <w:vAlign w:val="center"/>
          </w:tcPr>
          <w:p w14:paraId="145A3B56" w14:textId="77777777" w:rsidR="007D1BF4" w:rsidRDefault="007D1BF4" w:rsidP="00424AA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r>
      <w:tr w:rsidR="007D1BF4" w:rsidRPr="001D6BE8" w14:paraId="5DB16E3D" w14:textId="77777777" w:rsidTr="009A48A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5CA0BB34" w14:textId="77777777" w:rsidR="007D1BF4" w:rsidRPr="003E1E6E" w:rsidRDefault="007D1BF4" w:rsidP="00431447">
            <w:pPr>
              <w:pStyle w:val="08-Tabelageral"/>
              <w:keepLines w:val="0"/>
              <w:jc w:val="left"/>
              <w:rPr>
                <w:b w:val="0"/>
              </w:rPr>
            </w:pPr>
            <w:r w:rsidRPr="003E1E6E">
              <w:rPr>
                <w:b w:val="0"/>
              </w:rPr>
              <w:t>Caixa e Equivalentes de Caixa</w:t>
            </w:r>
          </w:p>
        </w:tc>
        <w:tc>
          <w:tcPr>
            <w:tcW w:w="992" w:type="dxa"/>
            <w:tcBorders>
              <w:top w:val="nil"/>
              <w:bottom w:val="nil"/>
            </w:tcBorders>
            <w:shd w:val="clear" w:color="auto" w:fill="auto"/>
            <w:vAlign w:val="center"/>
          </w:tcPr>
          <w:p w14:paraId="1D3AAF28" w14:textId="77777777" w:rsidR="007D1BF4" w:rsidRDefault="007D1BF4" w:rsidP="0043144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[15]</w:t>
            </w:r>
          </w:p>
        </w:tc>
        <w:tc>
          <w:tcPr>
            <w:tcW w:w="1418" w:type="dxa"/>
            <w:tcBorders>
              <w:top w:val="nil"/>
              <w:bottom w:val="nil"/>
            </w:tcBorders>
            <w:shd w:val="clear" w:color="auto" w:fill="auto"/>
            <w:vAlign w:val="center"/>
          </w:tcPr>
          <w:p w14:paraId="6F5E4F45"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0D0C29">
              <w:rPr>
                <w:rFonts w:cs="Arial"/>
                <w:color w:val="000000"/>
                <w:szCs w:val="14"/>
              </w:rPr>
              <w:t>4.090.561</w:t>
            </w:r>
          </w:p>
        </w:tc>
        <w:tc>
          <w:tcPr>
            <w:tcW w:w="1134" w:type="dxa"/>
            <w:tcBorders>
              <w:top w:val="nil"/>
              <w:bottom w:val="nil"/>
            </w:tcBorders>
            <w:shd w:val="clear" w:color="auto" w:fill="auto"/>
            <w:vAlign w:val="center"/>
          </w:tcPr>
          <w:p w14:paraId="1013FDAF"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312" w:type="dxa"/>
            <w:tcBorders>
              <w:top w:val="nil"/>
              <w:bottom w:val="nil"/>
            </w:tcBorders>
            <w:shd w:val="clear" w:color="auto" w:fill="auto"/>
            <w:vAlign w:val="center"/>
          </w:tcPr>
          <w:p w14:paraId="69F7E08A" w14:textId="77777777" w:rsidR="007D1BF4" w:rsidRPr="00136621" w:rsidRDefault="007D1BF4" w:rsidP="00431447">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656DF049"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2.195.445</w:t>
            </w:r>
          </w:p>
        </w:tc>
        <w:tc>
          <w:tcPr>
            <w:tcW w:w="1133" w:type="dxa"/>
            <w:tcBorders>
              <w:top w:val="nil"/>
              <w:bottom w:val="nil"/>
            </w:tcBorders>
            <w:shd w:val="clear" w:color="auto" w:fill="auto"/>
            <w:vAlign w:val="center"/>
          </w:tcPr>
          <w:p w14:paraId="45A81EC6"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w:t>
            </w:r>
          </w:p>
        </w:tc>
      </w:tr>
      <w:tr w:rsidR="007D1BF4" w:rsidRPr="001D6BE8" w14:paraId="14D0E877" w14:textId="77777777" w:rsidTr="009A48A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7ADF11F8" w14:textId="77777777" w:rsidR="007D1BF4" w:rsidRPr="003E1E6E" w:rsidRDefault="007D1BF4" w:rsidP="00431447">
            <w:pPr>
              <w:pStyle w:val="08-Tabelageral"/>
              <w:keepLines w:val="0"/>
              <w:jc w:val="left"/>
              <w:rPr>
                <w:rFonts w:cs="Arial"/>
                <w:b w:val="0"/>
                <w:szCs w:val="14"/>
              </w:rPr>
            </w:pPr>
            <w:r w:rsidRPr="003E1E6E">
              <w:rPr>
                <w:rFonts w:cs="Arial"/>
                <w:b w:val="0"/>
                <w:szCs w:val="14"/>
              </w:rPr>
              <w:t>Ativos financeiros mensurado ao custo amortizado</w:t>
            </w:r>
          </w:p>
        </w:tc>
        <w:tc>
          <w:tcPr>
            <w:tcW w:w="992" w:type="dxa"/>
            <w:tcBorders>
              <w:top w:val="nil"/>
              <w:bottom w:val="nil"/>
            </w:tcBorders>
            <w:shd w:val="clear" w:color="auto" w:fill="auto"/>
            <w:vAlign w:val="center"/>
          </w:tcPr>
          <w:p w14:paraId="5AC141F1" w14:textId="77777777" w:rsidR="007D1BF4" w:rsidRDefault="007D1BF4" w:rsidP="0043144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[16]</w:t>
            </w:r>
          </w:p>
        </w:tc>
        <w:tc>
          <w:tcPr>
            <w:tcW w:w="1418" w:type="dxa"/>
            <w:tcBorders>
              <w:top w:val="nil"/>
              <w:bottom w:val="nil"/>
            </w:tcBorders>
            <w:shd w:val="clear" w:color="auto" w:fill="auto"/>
          </w:tcPr>
          <w:p w14:paraId="430B954A"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134" w:type="dxa"/>
            <w:tcBorders>
              <w:top w:val="nil"/>
              <w:bottom w:val="nil"/>
            </w:tcBorders>
            <w:shd w:val="clear" w:color="auto" w:fill="auto"/>
            <w:vAlign w:val="center"/>
          </w:tcPr>
          <w:p w14:paraId="2E6B1073"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312" w:type="dxa"/>
            <w:tcBorders>
              <w:top w:val="nil"/>
              <w:bottom w:val="nil"/>
            </w:tcBorders>
            <w:shd w:val="clear" w:color="auto" w:fill="auto"/>
            <w:vAlign w:val="center"/>
          </w:tcPr>
          <w:p w14:paraId="5C62DA13" w14:textId="77777777" w:rsidR="007D1BF4" w:rsidRPr="00136621" w:rsidRDefault="007D1BF4" w:rsidP="0043144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575503FC"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245.101</w:t>
            </w:r>
          </w:p>
        </w:tc>
        <w:tc>
          <w:tcPr>
            <w:tcW w:w="1133" w:type="dxa"/>
            <w:tcBorders>
              <w:top w:val="nil"/>
              <w:bottom w:val="nil"/>
            </w:tcBorders>
            <w:shd w:val="clear" w:color="auto" w:fill="auto"/>
            <w:vAlign w:val="center"/>
          </w:tcPr>
          <w:p w14:paraId="7386C8C3"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204.449</w:t>
            </w:r>
          </w:p>
        </w:tc>
      </w:tr>
      <w:tr w:rsidR="007D1BF4" w:rsidRPr="001D6BE8" w14:paraId="456F3610" w14:textId="77777777" w:rsidTr="009A48A9">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2D72C804" w14:textId="77777777" w:rsidR="007D1BF4" w:rsidRPr="003E1E6E" w:rsidRDefault="007D1BF4" w:rsidP="00431447">
            <w:pPr>
              <w:pStyle w:val="08-Tabelageral"/>
              <w:keepLines w:val="0"/>
              <w:jc w:val="left"/>
              <w:rPr>
                <w:rFonts w:cs="Arial"/>
                <w:b w:val="0"/>
                <w:szCs w:val="14"/>
              </w:rPr>
            </w:pPr>
            <w:r w:rsidRPr="003E1E6E">
              <w:rPr>
                <w:rFonts w:cs="Arial"/>
                <w:b w:val="0"/>
                <w:szCs w:val="14"/>
              </w:rPr>
              <w:t>Ativos financeiros ao valor justo por meio do resultado</w:t>
            </w:r>
          </w:p>
        </w:tc>
        <w:tc>
          <w:tcPr>
            <w:tcW w:w="992" w:type="dxa"/>
            <w:tcBorders>
              <w:top w:val="nil"/>
              <w:bottom w:val="nil"/>
            </w:tcBorders>
            <w:shd w:val="clear" w:color="auto" w:fill="auto"/>
            <w:vAlign w:val="center"/>
          </w:tcPr>
          <w:p w14:paraId="2770106E" w14:textId="77777777" w:rsidR="007D1BF4" w:rsidRDefault="007D1BF4" w:rsidP="0043144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[16]</w:t>
            </w:r>
          </w:p>
        </w:tc>
        <w:tc>
          <w:tcPr>
            <w:tcW w:w="1418" w:type="dxa"/>
            <w:tcBorders>
              <w:top w:val="nil"/>
              <w:bottom w:val="nil"/>
            </w:tcBorders>
            <w:shd w:val="clear" w:color="auto" w:fill="auto"/>
            <w:vAlign w:val="center"/>
          </w:tcPr>
          <w:p w14:paraId="113310AC" w14:textId="77777777" w:rsidR="007D1BF4" w:rsidRPr="00136621" w:rsidRDefault="007D1BF4" w:rsidP="00136621">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134" w:type="dxa"/>
            <w:tcBorders>
              <w:top w:val="nil"/>
              <w:bottom w:val="nil"/>
            </w:tcBorders>
            <w:shd w:val="clear" w:color="auto" w:fill="auto"/>
            <w:vAlign w:val="center"/>
          </w:tcPr>
          <w:p w14:paraId="6F135F9D" w14:textId="77777777" w:rsidR="007D1BF4" w:rsidRPr="00136621" w:rsidRDefault="007D1BF4" w:rsidP="00136621">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0D0C29">
              <w:rPr>
                <w:rFonts w:cs="Arial"/>
                <w:color w:val="000000"/>
                <w:szCs w:val="14"/>
              </w:rPr>
              <w:t>14.011</w:t>
            </w:r>
          </w:p>
        </w:tc>
        <w:tc>
          <w:tcPr>
            <w:tcW w:w="312" w:type="dxa"/>
            <w:tcBorders>
              <w:top w:val="nil"/>
              <w:bottom w:val="nil"/>
            </w:tcBorders>
            <w:shd w:val="clear" w:color="auto" w:fill="auto"/>
            <w:vAlign w:val="center"/>
          </w:tcPr>
          <w:p w14:paraId="5547EEAA" w14:textId="77777777" w:rsidR="007D1BF4" w:rsidRPr="00136621" w:rsidRDefault="007D1BF4" w:rsidP="00431447">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439BC780"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szCs w:val="14"/>
              </w:rPr>
            </w:pPr>
            <w:r w:rsidRPr="00136621">
              <w:rPr>
                <w:rFonts w:cs="Arial"/>
                <w:color w:val="000000"/>
                <w:szCs w:val="14"/>
              </w:rPr>
              <w:t>--</w:t>
            </w:r>
          </w:p>
        </w:tc>
        <w:tc>
          <w:tcPr>
            <w:tcW w:w="1133" w:type="dxa"/>
            <w:tcBorders>
              <w:top w:val="nil"/>
              <w:bottom w:val="nil"/>
            </w:tcBorders>
            <w:shd w:val="clear" w:color="auto" w:fill="auto"/>
            <w:vAlign w:val="center"/>
          </w:tcPr>
          <w:p w14:paraId="4A4147E0"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bCs/>
                <w:szCs w:val="14"/>
              </w:rPr>
            </w:pPr>
            <w:r w:rsidRPr="00136621">
              <w:rPr>
                <w:rFonts w:cs="Arial"/>
                <w:color w:val="000000"/>
                <w:szCs w:val="14"/>
              </w:rPr>
              <w:t>4.986</w:t>
            </w:r>
          </w:p>
        </w:tc>
      </w:tr>
      <w:tr w:rsidR="007D1BF4" w:rsidRPr="001D6BE8" w14:paraId="401F796B" w14:textId="77777777" w:rsidTr="009A48A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5679EDE9" w14:textId="77777777" w:rsidR="007D1BF4" w:rsidRPr="003E1E6E" w:rsidRDefault="007D1BF4" w:rsidP="00431447">
            <w:pPr>
              <w:pStyle w:val="08-Tabelageral"/>
              <w:keepLines w:val="0"/>
              <w:jc w:val="left"/>
              <w:rPr>
                <w:rFonts w:cs="Arial"/>
                <w:b w:val="0"/>
                <w:szCs w:val="14"/>
              </w:rPr>
            </w:pPr>
            <w:r w:rsidRPr="003E1E6E">
              <w:rPr>
                <w:rFonts w:cs="Arial"/>
                <w:b w:val="0"/>
                <w:szCs w:val="14"/>
              </w:rPr>
              <w:t>Comissões a receber</w:t>
            </w:r>
          </w:p>
        </w:tc>
        <w:tc>
          <w:tcPr>
            <w:tcW w:w="992" w:type="dxa"/>
            <w:tcBorders>
              <w:top w:val="nil"/>
              <w:bottom w:val="nil"/>
            </w:tcBorders>
            <w:shd w:val="clear" w:color="auto" w:fill="auto"/>
            <w:vAlign w:val="center"/>
          </w:tcPr>
          <w:p w14:paraId="1EA8E547" w14:textId="77777777" w:rsidR="007D1BF4" w:rsidRDefault="007D1BF4" w:rsidP="0043144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[18]</w:t>
            </w:r>
          </w:p>
        </w:tc>
        <w:tc>
          <w:tcPr>
            <w:tcW w:w="1418" w:type="dxa"/>
            <w:tcBorders>
              <w:top w:val="nil"/>
              <w:bottom w:val="nil"/>
            </w:tcBorders>
            <w:shd w:val="clear" w:color="auto" w:fill="auto"/>
            <w:vAlign w:val="center"/>
          </w:tcPr>
          <w:p w14:paraId="5070A245"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highlight w:val="yellow"/>
              </w:rPr>
            </w:pPr>
            <w:r w:rsidRPr="000D0C29">
              <w:rPr>
                <w:rFonts w:cs="Arial"/>
                <w:color w:val="000000"/>
                <w:szCs w:val="14"/>
              </w:rPr>
              <w:t>1.026.158</w:t>
            </w:r>
          </w:p>
        </w:tc>
        <w:tc>
          <w:tcPr>
            <w:tcW w:w="1134" w:type="dxa"/>
            <w:tcBorders>
              <w:top w:val="nil"/>
              <w:bottom w:val="nil"/>
            </w:tcBorders>
            <w:shd w:val="clear" w:color="auto" w:fill="auto"/>
            <w:vAlign w:val="center"/>
          </w:tcPr>
          <w:p w14:paraId="0C0E03DE"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highlight w:val="yellow"/>
              </w:rPr>
            </w:pPr>
            <w:r w:rsidRPr="000D0C29">
              <w:rPr>
                <w:rFonts w:cs="Arial"/>
                <w:color w:val="000000"/>
                <w:szCs w:val="14"/>
              </w:rPr>
              <w:t>698.435</w:t>
            </w:r>
          </w:p>
        </w:tc>
        <w:tc>
          <w:tcPr>
            <w:tcW w:w="312" w:type="dxa"/>
            <w:tcBorders>
              <w:top w:val="nil"/>
              <w:bottom w:val="nil"/>
            </w:tcBorders>
            <w:shd w:val="clear" w:color="auto" w:fill="auto"/>
            <w:vAlign w:val="center"/>
          </w:tcPr>
          <w:p w14:paraId="10B7041D" w14:textId="77777777" w:rsidR="007D1BF4" w:rsidRPr="00136621" w:rsidRDefault="007D1BF4" w:rsidP="0043144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5825834E"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szCs w:val="14"/>
              </w:rPr>
            </w:pPr>
            <w:r w:rsidRPr="00136621">
              <w:rPr>
                <w:rFonts w:cs="Arial"/>
                <w:color w:val="000000"/>
                <w:szCs w:val="14"/>
              </w:rPr>
              <w:t>1.173.988</w:t>
            </w:r>
          </w:p>
        </w:tc>
        <w:tc>
          <w:tcPr>
            <w:tcW w:w="1133" w:type="dxa"/>
            <w:tcBorders>
              <w:top w:val="nil"/>
              <w:bottom w:val="nil"/>
            </w:tcBorders>
            <w:shd w:val="clear" w:color="auto" w:fill="auto"/>
            <w:vAlign w:val="center"/>
          </w:tcPr>
          <w:p w14:paraId="322B3F13"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643.090</w:t>
            </w:r>
          </w:p>
        </w:tc>
      </w:tr>
      <w:tr w:rsidR="007D1BF4" w:rsidRPr="001D6BE8" w14:paraId="0022F157" w14:textId="77777777" w:rsidTr="009A48A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1281DC95" w14:textId="77777777" w:rsidR="007D1BF4" w:rsidRPr="003E1E6E" w:rsidRDefault="007D1BF4" w:rsidP="00431447">
            <w:pPr>
              <w:pStyle w:val="08-Tabelageral"/>
              <w:keepLines w:val="0"/>
              <w:jc w:val="left"/>
              <w:rPr>
                <w:rFonts w:cs="Arial"/>
                <w:b w:val="0"/>
                <w:szCs w:val="14"/>
              </w:rPr>
            </w:pPr>
            <w:r w:rsidRPr="003E1E6E">
              <w:rPr>
                <w:rFonts w:cs="Arial"/>
                <w:b w:val="0"/>
                <w:szCs w:val="14"/>
              </w:rPr>
              <w:t>Dividendos/JCP a Receber</w:t>
            </w:r>
          </w:p>
        </w:tc>
        <w:tc>
          <w:tcPr>
            <w:tcW w:w="992" w:type="dxa"/>
            <w:tcBorders>
              <w:top w:val="nil"/>
              <w:bottom w:val="nil"/>
            </w:tcBorders>
            <w:shd w:val="clear" w:color="auto" w:fill="auto"/>
            <w:vAlign w:val="center"/>
          </w:tcPr>
          <w:p w14:paraId="1AF80A63" w14:textId="77777777" w:rsidR="007D1BF4" w:rsidRDefault="007D1BF4" w:rsidP="0043144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[17]</w:t>
            </w:r>
          </w:p>
        </w:tc>
        <w:tc>
          <w:tcPr>
            <w:tcW w:w="1418" w:type="dxa"/>
            <w:tcBorders>
              <w:top w:val="nil"/>
              <w:bottom w:val="nil"/>
            </w:tcBorders>
            <w:shd w:val="clear" w:color="auto" w:fill="auto"/>
            <w:vAlign w:val="center"/>
          </w:tcPr>
          <w:p w14:paraId="38B32BAB"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0D0C29">
              <w:rPr>
                <w:rFonts w:cs="Arial"/>
                <w:color w:val="000000"/>
                <w:szCs w:val="14"/>
              </w:rPr>
              <w:t>1.648</w:t>
            </w:r>
          </w:p>
        </w:tc>
        <w:tc>
          <w:tcPr>
            <w:tcW w:w="1134" w:type="dxa"/>
            <w:tcBorders>
              <w:top w:val="nil"/>
              <w:bottom w:val="nil"/>
            </w:tcBorders>
            <w:shd w:val="clear" w:color="auto" w:fill="auto"/>
            <w:vAlign w:val="center"/>
          </w:tcPr>
          <w:p w14:paraId="4C9EFF56"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312" w:type="dxa"/>
            <w:tcBorders>
              <w:top w:val="nil"/>
              <w:bottom w:val="nil"/>
            </w:tcBorders>
            <w:shd w:val="clear" w:color="auto" w:fill="auto"/>
            <w:vAlign w:val="center"/>
          </w:tcPr>
          <w:p w14:paraId="0AB65346" w14:textId="77777777" w:rsidR="007D1BF4" w:rsidRPr="00136621" w:rsidRDefault="007D1BF4" w:rsidP="00431447">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tcPr>
          <w:p w14:paraId="0FA54D6B"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w:t>
            </w:r>
          </w:p>
        </w:tc>
        <w:tc>
          <w:tcPr>
            <w:tcW w:w="1133" w:type="dxa"/>
            <w:tcBorders>
              <w:top w:val="nil"/>
              <w:bottom w:val="nil"/>
            </w:tcBorders>
            <w:shd w:val="clear" w:color="auto" w:fill="auto"/>
          </w:tcPr>
          <w:p w14:paraId="5397C30F" w14:textId="77777777" w:rsidR="007D1BF4" w:rsidRPr="00136621" w:rsidRDefault="007D1BF4" w:rsidP="00431447">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136621">
              <w:rPr>
                <w:rFonts w:cs="Arial"/>
                <w:color w:val="000000"/>
                <w:szCs w:val="14"/>
              </w:rPr>
              <w:t>--</w:t>
            </w:r>
          </w:p>
        </w:tc>
      </w:tr>
      <w:tr w:rsidR="007D1BF4" w:rsidRPr="001D6BE8" w14:paraId="2D87A0DB" w14:textId="77777777" w:rsidTr="009A48A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579156BE" w14:textId="77777777" w:rsidR="007D1BF4" w:rsidRPr="003E1E6E" w:rsidRDefault="007D1BF4" w:rsidP="00973028">
            <w:pPr>
              <w:pStyle w:val="08-Tabelageral"/>
              <w:keepLines w:val="0"/>
              <w:jc w:val="left"/>
              <w:rPr>
                <w:rFonts w:cs="Arial"/>
                <w:b w:val="0"/>
                <w:szCs w:val="14"/>
              </w:rPr>
            </w:pPr>
          </w:p>
        </w:tc>
        <w:tc>
          <w:tcPr>
            <w:tcW w:w="992" w:type="dxa"/>
            <w:tcBorders>
              <w:top w:val="nil"/>
              <w:bottom w:val="nil"/>
            </w:tcBorders>
            <w:shd w:val="clear" w:color="auto" w:fill="auto"/>
            <w:vAlign w:val="center"/>
          </w:tcPr>
          <w:p w14:paraId="7DB9A371" w14:textId="77777777" w:rsidR="007D1BF4" w:rsidRDefault="007D1BF4" w:rsidP="00973028">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418" w:type="dxa"/>
            <w:tcBorders>
              <w:top w:val="nil"/>
              <w:bottom w:val="nil"/>
            </w:tcBorders>
            <w:shd w:val="clear" w:color="auto" w:fill="auto"/>
            <w:vAlign w:val="center"/>
          </w:tcPr>
          <w:p w14:paraId="55C02E45" w14:textId="77777777" w:rsidR="007D1BF4" w:rsidRPr="00136621" w:rsidRDefault="007D1BF4" w:rsidP="00973028">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134" w:type="dxa"/>
            <w:tcBorders>
              <w:top w:val="nil"/>
              <w:bottom w:val="nil"/>
            </w:tcBorders>
            <w:shd w:val="clear" w:color="auto" w:fill="auto"/>
            <w:vAlign w:val="center"/>
          </w:tcPr>
          <w:p w14:paraId="48BBEF99" w14:textId="77777777" w:rsidR="007D1BF4" w:rsidRPr="00136621" w:rsidRDefault="007D1BF4" w:rsidP="00973028">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312" w:type="dxa"/>
            <w:tcBorders>
              <w:top w:val="nil"/>
              <w:bottom w:val="nil"/>
            </w:tcBorders>
            <w:shd w:val="clear" w:color="auto" w:fill="auto"/>
            <w:vAlign w:val="center"/>
          </w:tcPr>
          <w:p w14:paraId="6CE394F3" w14:textId="77777777" w:rsidR="007D1BF4" w:rsidRPr="00136621" w:rsidRDefault="007D1BF4" w:rsidP="00973028">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71D61C58" w14:textId="77777777" w:rsidR="007D1BF4" w:rsidRPr="00136621" w:rsidRDefault="007D1BF4" w:rsidP="00973028">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33" w:type="dxa"/>
            <w:tcBorders>
              <w:top w:val="nil"/>
              <w:bottom w:val="nil"/>
            </w:tcBorders>
            <w:shd w:val="clear" w:color="auto" w:fill="auto"/>
            <w:vAlign w:val="center"/>
          </w:tcPr>
          <w:p w14:paraId="3E0A55BA" w14:textId="77777777" w:rsidR="007D1BF4" w:rsidRPr="00136621" w:rsidRDefault="007D1BF4" w:rsidP="00973028">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p>
        </w:tc>
      </w:tr>
      <w:tr w:rsidR="007D1BF4" w:rsidRPr="001D6BE8" w14:paraId="0E2613E8" w14:textId="77777777" w:rsidTr="009A48A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4732B4B2" w14:textId="77777777" w:rsidR="007D1BF4" w:rsidRPr="003E1E6E" w:rsidRDefault="007D1BF4" w:rsidP="00973028">
            <w:pPr>
              <w:pStyle w:val="08-Tabelageral"/>
              <w:keepLines w:val="0"/>
              <w:jc w:val="left"/>
              <w:rPr>
                <w:rFonts w:cs="Arial"/>
                <w:b w:val="0"/>
                <w:szCs w:val="14"/>
              </w:rPr>
            </w:pPr>
            <w:r w:rsidRPr="003E1E6E">
              <w:rPr>
                <w:rFonts w:cs="Arial"/>
                <w:b w:val="0"/>
                <w:szCs w:val="14"/>
              </w:rPr>
              <w:t>PASSIVOS</w:t>
            </w:r>
          </w:p>
        </w:tc>
        <w:tc>
          <w:tcPr>
            <w:tcW w:w="992" w:type="dxa"/>
            <w:tcBorders>
              <w:top w:val="nil"/>
              <w:bottom w:val="nil"/>
            </w:tcBorders>
            <w:shd w:val="clear" w:color="auto" w:fill="auto"/>
            <w:vAlign w:val="center"/>
          </w:tcPr>
          <w:p w14:paraId="7F4AE0E9" w14:textId="77777777" w:rsidR="007D1BF4" w:rsidRDefault="007D1BF4" w:rsidP="00973028">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p>
        </w:tc>
        <w:tc>
          <w:tcPr>
            <w:tcW w:w="1418" w:type="dxa"/>
            <w:tcBorders>
              <w:top w:val="nil"/>
              <w:bottom w:val="nil"/>
            </w:tcBorders>
            <w:shd w:val="clear" w:color="auto" w:fill="auto"/>
            <w:vAlign w:val="center"/>
          </w:tcPr>
          <w:p w14:paraId="76A33916" w14:textId="77777777" w:rsidR="007D1BF4" w:rsidRPr="00136621" w:rsidRDefault="007D1BF4" w:rsidP="00973028">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p>
        </w:tc>
        <w:tc>
          <w:tcPr>
            <w:tcW w:w="1134" w:type="dxa"/>
            <w:tcBorders>
              <w:top w:val="nil"/>
              <w:bottom w:val="nil"/>
            </w:tcBorders>
            <w:shd w:val="clear" w:color="auto" w:fill="auto"/>
            <w:vAlign w:val="center"/>
          </w:tcPr>
          <w:p w14:paraId="6ED1F74D" w14:textId="77777777" w:rsidR="007D1BF4" w:rsidRPr="00136621" w:rsidRDefault="007D1BF4" w:rsidP="00973028">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p>
        </w:tc>
        <w:tc>
          <w:tcPr>
            <w:tcW w:w="312" w:type="dxa"/>
            <w:tcBorders>
              <w:top w:val="nil"/>
              <w:bottom w:val="nil"/>
            </w:tcBorders>
            <w:shd w:val="clear" w:color="auto" w:fill="auto"/>
            <w:vAlign w:val="center"/>
          </w:tcPr>
          <w:p w14:paraId="08093DFC" w14:textId="77777777" w:rsidR="007D1BF4" w:rsidRPr="00136621" w:rsidRDefault="007D1BF4" w:rsidP="00973028">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659BAD82" w14:textId="77777777" w:rsidR="007D1BF4" w:rsidRPr="00136621" w:rsidRDefault="007D1BF4" w:rsidP="00973028">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szCs w:val="14"/>
              </w:rPr>
            </w:pPr>
          </w:p>
        </w:tc>
        <w:tc>
          <w:tcPr>
            <w:tcW w:w="1133" w:type="dxa"/>
            <w:tcBorders>
              <w:top w:val="nil"/>
              <w:bottom w:val="nil"/>
            </w:tcBorders>
            <w:shd w:val="clear" w:color="auto" w:fill="auto"/>
            <w:vAlign w:val="center"/>
          </w:tcPr>
          <w:p w14:paraId="205C4093" w14:textId="77777777" w:rsidR="007D1BF4" w:rsidRPr="00136621" w:rsidRDefault="007D1BF4" w:rsidP="00973028">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bCs/>
                <w:szCs w:val="14"/>
              </w:rPr>
            </w:pPr>
          </w:p>
        </w:tc>
      </w:tr>
      <w:tr w:rsidR="007D1BF4" w:rsidRPr="001D6BE8" w14:paraId="09D996DF" w14:textId="77777777" w:rsidTr="009A48A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tcPr>
          <w:p w14:paraId="65D67037" w14:textId="77777777" w:rsidR="007D1BF4" w:rsidRPr="003E1E6E" w:rsidRDefault="007D1BF4" w:rsidP="00431447">
            <w:pPr>
              <w:pStyle w:val="08-Tabelageral"/>
              <w:keepLines w:val="0"/>
              <w:jc w:val="left"/>
              <w:rPr>
                <w:rFonts w:cs="Arial"/>
                <w:b w:val="0"/>
                <w:szCs w:val="14"/>
              </w:rPr>
            </w:pPr>
            <w:r w:rsidRPr="003E1E6E">
              <w:rPr>
                <w:rFonts w:cs="Arial"/>
                <w:b w:val="0"/>
                <w:szCs w:val="14"/>
              </w:rPr>
              <w:t>Obrigações Societárias e Estatutárias</w:t>
            </w:r>
          </w:p>
        </w:tc>
        <w:tc>
          <w:tcPr>
            <w:tcW w:w="992" w:type="dxa"/>
            <w:tcBorders>
              <w:top w:val="nil"/>
              <w:bottom w:val="nil"/>
            </w:tcBorders>
            <w:shd w:val="clear" w:color="auto" w:fill="auto"/>
            <w:vAlign w:val="center"/>
          </w:tcPr>
          <w:p w14:paraId="6E9BCC03" w14:textId="77777777" w:rsidR="007D1BF4" w:rsidRDefault="007D1BF4" w:rsidP="0043144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[21]</w:t>
            </w:r>
          </w:p>
        </w:tc>
        <w:tc>
          <w:tcPr>
            <w:tcW w:w="1418" w:type="dxa"/>
            <w:tcBorders>
              <w:top w:val="nil"/>
              <w:bottom w:val="nil"/>
            </w:tcBorders>
            <w:shd w:val="clear" w:color="auto" w:fill="auto"/>
            <w:vAlign w:val="center"/>
          </w:tcPr>
          <w:p w14:paraId="69EE8DB7"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0C29">
              <w:rPr>
                <w:rFonts w:cs="Arial"/>
                <w:color w:val="000000"/>
                <w:szCs w:val="14"/>
              </w:rPr>
              <w:t>1.831.691</w:t>
            </w:r>
          </w:p>
        </w:tc>
        <w:tc>
          <w:tcPr>
            <w:tcW w:w="1134" w:type="dxa"/>
            <w:tcBorders>
              <w:top w:val="nil"/>
              <w:bottom w:val="nil"/>
            </w:tcBorders>
            <w:shd w:val="clear" w:color="auto" w:fill="auto"/>
          </w:tcPr>
          <w:p w14:paraId="7FBFA4C8"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312" w:type="dxa"/>
            <w:tcBorders>
              <w:top w:val="nil"/>
              <w:bottom w:val="nil"/>
            </w:tcBorders>
            <w:shd w:val="clear" w:color="auto" w:fill="auto"/>
            <w:vAlign w:val="center"/>
          </w:tcPr>
          <w:p w14:paraId="76217DCC" w14:textId="77777777" w:rsidR="007D1BF4" w:rsidRPr="00136621" w:rsidRDefault="007D1BF4" w:rsidP="0043144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105" w:type="dxa"/>
            <w:tcBorders>
              <w:top w:val="nil"/>
              <w:bottom w:val="nil"/>
            </w:tcBorders>
            <w:shd w:val="clear" w:color="auto" w:fill="auto"/>
            <w:vAlign w:val="center"/>
          </w:tcPr>
          <w:p w14:paraId="7DE3DFBC"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szCs w:val="14"/>
              </w:rPr>
            </w:pPr>
            <w:r w:rsidRPr="00136621">
              <w:rPr>
                <w:rFonts w:cs="Arial"/>
                <w:color w:val="000000"/>
                <w:szCs w:val="14"/>
              </w:rPr>
              <w:t>948.493</w:t>
            </w:r>
          </w:p>
        </w:tc>
        <w:tc>
          <w:tcPr>
            <w:tcW w:w="1133" w:type="dxa"/>
            <w:tcBorders>
              <w:top w:val="nil"/>
              <w:bottom w:val="nil"/>
            </w:tcBorders>
            <w:shd w:val="clear" w:color="auto" w:fill="auto"/>
            <w:vAlign w:val="center"/>
          </w:tcPr>
          <w:p w14:paraId="2A0B2D67" w14:textId="77777777" w:rsidR="007D1BF4" w:rsidRPr="00136621" w:rsidRDefault="007D1BF4" w:rsidP="00431447">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w:t>
            </w:r>
          </w:p>
        </w:tc>
      </w:tr>
      <w:tr w:rsidR="007D1BF4" w:rsidRPr="001D6BE8" w14:paraId="79015191"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tcPr>
          <w:p w14:paraId="7B7DA34D" w14:textId="77777777" w:rsidR="007D1BF4" w:rsidRPr="003E1E6E" w:rsidRDefault="007D1BF4" w:rsidP="000D0C29">
            <w:pPr>
              <w:pStyle w:val="08-Tabelageral"/>
              <w:keepLines w:val="0"/>
              <w:jc w:val="left"/>
              <w:rPr>
                <w:rFonts w:cs="Arial"/>
                <w:b w:val="0"/>
                <w:szCs w:val="14"/>
              </w:rPr>
            </w:pPr>
            <w:r w:rsidRPr="003E1E6E">
              <w:rPr>
                <w:rFonts w:cs="Arial"/>
                <w:b w:val="0"/>
                <w:szCs w:val="14"/>
              </w:rPr>
              <w:t>Passivos por impostos correntes</w:t>
            </w:r>
          </w:p>
        </w:tc>
        <w:tc>
          <w:tcPr>
            <w:tcW w:w="0" w:type="dxa"/>
            <w:tcBorders>
              <w:top w:val="nil"/>
              <w:bottom w:val="nil"/>
            </w:tcBorders>
            <w:shd w:val="clear" w:color="auto" w:fill="auto"/>
            <w:vAlign w:val="center"/>
          </w:tcPr>
          <w:p w14:paraId="1DEECD51" w14:textId="77777777" w:rsidR="007D1BF4" w:rsidRDefault="007D1BF4" w:rsidP="000D0C29">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[12]</w:t>
            </w:r>
          </w:p>
        </w:tc>
        <w:tc>
          <w:tcPr>
            <w:tcW w:w="0" w:type="dxa"/>
            <w:tcBorders>
              <w:top w:val="nil"/>
              <w:bottom w:val="nil"/>
            </w:tcBorders>
            <w:shd w:val="clear" w:color="auto" w:fill="auto"/>
          </w:tcPr>
          <w:p w14:paraId="6D475824"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04173F">
              <w:t>762.519</w:t>
            </w:r>
          </w:p>
        </w:tc>
        <w:tc>
          <w:tcPr>
            <w:tcW w:w="0" w:type="dxa"/>
            <w:tcBorders>
              <w:top w:val="nil"/>
              <w:bottom w:val="nil"/>
            </w:tcBorders>
            <w:shd w:val="clear" w:color="auto" w:fill="auto"/>
          </w:tcPr>
          <w:p w14:paraId="650D545D"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t>--</w:t>
            </w:r>
          </w:p>
        </w:tc>
        <w:tc>
          <w:tcPr>
            <w:tcW w:w="0" w:type="dxa"/>
            <w:tcBorders>
              <w:top w:val="nil"/>
              <w:bottom w:val="nil"/>
            </w:tcBorders>
            <w:shd w:val="clear" w:color="auto" w:fill="auto"/>
            <w:vAlign w:val="center"/>
          </w:tcPr>
          <w:p w14:paraId="4B6A5438" w14:textId="77777777" w:rsidR="007D1BF4" w:rsidRPr="00136621" w:rsidRDefault="007D1BF4" w:rsidP="000D0C29">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492DB96A"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szCs w:val="14"/>
              </w:rPr>
            </w:pPr>
            <w:r w:rsidRPr="00136621">
              <w:rPr>
                <w:rFonts w:cs="Arial"/>
                <w:color w:val="000000"/>
                <w:szCs w:val="14"/>
              </w:rPr>
              <w:t>682.950</w:t>
            </w:r>
          </w:p>
        </w:tc>
        <w:tc>
          <w:tcPr>
            <w:tcW w:w="0" w:type="dxa"/>
            <w:tcBorders>
              <w:top w:val="nil"/>
              <w:bottom w:val="nil"/>
            </w:tcBorders>
            <w:shd w:val="clear" w:color="auto" w:fill="auto"/>
            <w:vAlign w:val="center"/>
          </w:tcPr>
          <w:p w14:paraId="7A2F05E0"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bCs/>
                <w:szCs w:val="14"/>
              </w:rPr>
            </w:pPr>
            <w:r w:rsidRPr="00136621">
              <w:rPr>
                <w:rFonts w:cs="Arial"/>
                <w:color w:val="000000"/>
                <w:szCs w:val="14"/>
              </w:rPr>
              <w:t>--</w:t>
            </w:r>
          </w:p>
        </w:tc>
      </w:tr>
      <w:tr w:rsidR="007D1BF4" w:rsidRPr="001D6BE8" w14:paraId="6D005D31" w14:textId="77777777" w:rsidTr="0025765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shd w:val="clear" w:color="auto" w:fill="auto"/>
          </w:tcPr>
          <w:p w14:paraId="42A316CB" w14:textId="77777777" w:rsidR="007D1BF4" w:rsidRPr="003E1E6E" w:rsidRDefault="007D1BF4" w:rsidP="000D0C29">
            <w:pPr>
              <w:pStyle w:val="08-Tabelageral"/>
              <w:keepLines w:val="0"/>
              <w:jc w:val="left"/>
              <w:rPr>
                <w:rFonts w:cs="Arial"/>
                <w:b w:val="0"/>
                <w:szCs w:val="14"/>
              </w:rPr>
            </w:pPr>
            <w:r w:rsidRPr="003E1E6E">
              <w:rPr>
                <w:rFonts w:cs="Arial"/>
                <w:b w:val="0"/>
                <w:szCs w:val="14"/>
              </w:rPr>
              <w:t>Comissões a apropriar</w:t>
            </w:r>
          </w:p>
        </w:tc>
        <w:tc>
          <w:tcPr>
            <w:tcW w:w="0" w:type="dxa"/>
            <w:tcBorders>
              <w:top w:val="nil"/>
              <w:bottom w:val="nil"/>
            </w:tcBorders>
            <w:shd w:val="clear" w:color="auto" w:fill="auto"/>
            <w:vAlign w:val="center"/>
          </w:tcPr>
          <w:p w14:paraId="05AE51FA" w14:textId="77777777" w:rsidR="007D1BF4" w:rsidRDefault="007D1BF4" w:rsidP="000D0C29">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[23]</w:t>
            </w:r>
          </w:p>
        </w:tc>
        <w:tc>
          <w:tcPr>
            <w:tcW w:w="0" w:type="dxa"/>
            <w:tcBorders>
              <w:top w:val="nil"/>
              <w:bottom w:val="nil"/>
            </w:tcBorders>
            <w:shd w:val="clear" w:color="auto" w:fill="auto"/>
          </w:tcPr>
          <w:p w14:paraId="0B8B8A56" w14:textId="77777777" w:rsidR="007D1BF4" w:rsidRPr="00136621" w:rsidRDefault="007D1BF4" w:rsidP="000D0C29">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21576">
              <w:t>1.172.483</w:t>
            </w:r>
          </w:p>
        </w:tc>
        <w:tc>
          <w:tcPr>
            <w:tcW w:w="0" w:type="dxa"/>
            <w:tcBorders>
              <w:top w:val="nil"/>
              <w:bottom w:val="nil"/>
            </w:tcBorders>
            <w:shd w:val="clear" w:color="auto" w:fill="auto"/>
          </w:tcPr>
          <w:p w14:paraId="0346C6A9" w14:textId="77777777" w:rsidR="007D1BF4" w:rsidRPr="00136621" w:rsidRDefault="007D1BF4" w:rsidP="000D0C29">
            <w:pPr>
              <w:pStyle w:val="08-Tabelageral"/>
              <w:keepLines w:val="0"/>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21576">
              <w:t>1.794.544</w:t>
            </w:r>
          </w:p>
        </w:tc>
        <w:tc>
          <w:tcPr>
            <w:tcW w:w="0" w:type="dxa"/>
            <w:tcBorders>
              <w:top w:val="nil"/>
              <w:bottom w:val="nil"/>
            </w:tcBorders>
            <w:shd w:val="clear" w:color="auto" w:fill="auto"/>
            <w:vAlign w:val="center"/>
          </w:tcPr>
          <w:p w14:paraId="4D3FE476" w14:textId="77777777" w:rsidR="007D1BF4" w:rsidRPr="00136621" w:rsidRDefault="007D1BF4" w:rsidP="000D0C29">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0" w:type="dxa"/>
            <w:tcBorders>
              <w:top w:val="nil"/>
              <w:bottom w:val="nil"/>
            </w:tcBorders>
            <w:shd w:val="clear" w:color="auto" w:fill="auto"/>
            <w:vAlign w:val="center"/>
          </w:tcPr>
          <w:p w14:paraId="272C5D03" w14:textId="77777777" w:rsidR="007D1BF4" w:rsidRPr="00136621" w:rsidRDefault="007D1BF4" w:rsidP="000D0C29">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szCs w:val="14"/>
              </w:rPr>
            </w:pPr>
            <w:r w:rsidRPr="00A21576">
              <w:rPr>
                <w:rFonts w:cs="Arial"/>
                <w:color w:val="000000"/>
                <w:szCs w:val="14"/>
              </w:rPr>
              <w:t>1.127.358</w:t>
            </w:r>
          </w:p>
          <w:p w14:paraId="6BF8F3E9" w14:textId="77777777" w:rsidR="007D1BF4" w:rsidRDefault="007D1BF4" w:rsidP="00A21576">
            <w:pPr>
              <w:pStyle w:val="08-Tabelageral"/>
              <w:cnfStyle w:val="000000100000" w:firstRow="0" w:lastRow="0" w:firstColumn="0" w:lastColumn="0" w:oddVBand="0" w:evenVBand="0" w:oddHBand="1" w:evenHBand="0" w:firstRowFirstColumn="0" w:firstRowLastColumn="0" w:lastRowFirstColumn="0" w:lastRowLastColumn="0"/>
              <w:rPr>
                <w:b/>
                <w:bCs/>
              </w:rPr>
            </w:pPr>
            <w:r>
              <w:rPr>
                <w:lang w:eastAsia="en-US"/>
              </w:rPr>
              <w:t>1.127.358</w:t>
            </w:r>
          </w:p>
          <w:p w14:paraId="48B217D9" w14:textId="77777777" w:rsidR="007D1BF4" w:rsidRPr="00136621" w:rsidRDefault="007D1BF4" w:rsidP="000D0C29">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szCs w:val="14"/>
              </w:rPr>
            </w:pPr>
          </w:p>
        </w:tc>
        <w:tc>
          <w:tcPr>
            <w:tcW w:w="0" w:type="dxa"/>
            <w:tcBorders>
              <w:top w:val="nil"/>
              <w:bottom w:val="nil"/>
            </w:tcBorders>
            <w:shd w:val="clear" w:color="auto" w:fill="auto"/>
            <w:vAlign w:val="center"/>
          </w:tcPr>
          <w:p w14:paraId="7349B061" w14:textId="77777777" w:rsidR="007D1BF4" w:rsidRPr="00136621" w:rsidRDefault="007D1BF4" w:rsidP="000D0C29">
            <w:pPr>
              <w:pStyle w:val="08-Tabelageral"/>
              <w:keepLines w:val="0"/>
              <w:cnfStyle w:val="000000100000" w:firstRow="0" w:lastRow="0" w:firstColumn="0" w:lastColumn="0" w:oddVBand="0" w:evenVBand="0" w:oddHBand="1" w:evenHBand="0" w:firstRowFirstColumn="0" w:firstRowLastColumn="0" w:lastRowFirstColumn="0" w:lastRowLastColumn="0"/>
              <w:rPr>
                <w:rFonts w:cs="Arial"/>
                <w:b/>
                <w:bCs/>
                <w:szCs w:val="14"/>
              </w:rPr>
            </w:pPr>
            <w:r w:rsidRPr="00136621">
              <w:rPr>
                <w:rFonts w:cs="Arial"/>
                <w:color w:val="000000"/>
                <w:szCs w:val="14"/>
              </w:rPr>
              <w:t>1.417.250</w:t>
            </w:r>
          </w:p>
        </w:tc>
      </w:tr>
      <w:tr w:rsidR="007D1BF4" w:rsidRPr="001D6BE8" w14:paraId="797D2CB5" w14:textId="77777777" w:rsidTr="0025765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single" w:sz="2" w:space="0" w:color="1F4E79" w:themeColor="accent1" w:themeShade="80"/>
            </w:tcBorders>
            <w:shd w:val="clear" w:color="auto" w:fill="auto"/>
          </w:tcPr>
          <w:p w14:paraId="420406A1" w14:textId="77777777" w:rsidR="007D1BF4" w:rsidRPr="003E1E6E" w:rsidRDefault="007D1BF4" w:rsidP="000D0C29">
            <w:pPr>
              <w:pStyle w:val="08-Tabelageral"/>
              <w:keepLines w:val="0"/>
              <w:jc w:val="left"/>
              <w:rPr>
                <w:rFonts w:cs="Arial"/>
                <w:b w:val="0"/>
                <w:szCs w:val="14"/>
              </w:rPr>
            </w:pPr>
            <w:r w:rsidRPr="003E1E6E">
              <w:rPr>
                <w:rFonts w:cs="Arial"/>
                <w:b w:val="0"/>
                <w:szCs w:val="14"/>
              </w:rPr>
              <w:t>Outros passivos</w:t>
            </w:r>
          </w:p>
        </w:tc>
        <w:tc>
          <w:tcPr>
            <w:tcW w:w="0" w:type="dxa"/>
            <w:tcBorders>
              <w:top w:val="nil"/>
              <w:bottom w:val="single" w:sz="2" w:space="0" w:color="1F4E79" w:themeColor="accent1" w:themeShade="80"/>
            </w:tcBorders>
            <w:shd w:val="clear" w:color="auto" w:fill="auto"/>
            <w:vAlign w:val="center"/>
          </w:tcPr>
          <w:p w14:paraId="2F7F22A2" w14:textId="77777777" w:rsidR="007D1BF4" w:rsidRPr="00AF048C" w:rsidRDefault="007D1BF4" w:rsidP="000D0C29">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szCs w:val="14"/>
                <w:lang w:val="en-US"/>
              </w:rPr>
            </w:pPr>
            <w:r w:rsidRPr="00AF048C">
              <w:rPr>
                <w:szCs w:val="14"/>
                <w:lang w:val="en-US"/>
              </w:rPr>
              <w:t>[</w:t>
            </w:r>
            <w:r>
              <w:rPr>
                <w:szCs w:val="14"/>
                <w:lang w:val="en-US"/>
              </w:rPr>
              <w:t>24</w:t>
            </w:r>
            <w:r w:rsidRPr="00AF048C">
              <w:rPr>
                <w:szCs w:val="14"/>
                <w:lang w:val="en-US"/>
              </w:rPr>
              <w:t>]</w:t>
            </w:r>
          </w:p>
        </w:tc>
        <w:tc>
          <w:tcPr>
            <w:tcW w:w="0" w:type="dxa"/>
            <w:tcBorders>
              <w:top w:val="nil"/>
              <w:bottom w:val="single" w:sz="2" w:space="0" w:color="1F4E79" w:themeColor="accent1" w:themeShade="80"/>
            </w:tcBorders>
            <w:shd w:val="clear" w:color="auto" w:fill="auto"/>
          </w:tcPr>
          <w:p w14:paraId="3B607A04"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04173F">
              <w:t>227.588</w:t>
            </w:r>
          </w:p>
        </w:tc>
        <w:tc>
          <w:tcPr>
            <w:tcW w:w="0" w:type="dxa"/>
            <w:tcBorders>
              <w:top w:val="nil"/>
              <w:bottom w:val="single" w:sz="2" w:space="0" w:color="1F4E79" w:themeColor="accent1" w:themeShade="80"/>
            </w:tcBorders>
            <w:shd w:val="clear" w:color="auto" w:fill="auto"/>
          </w:tcPr>
          <w:p w14:paraId="7F35CB22"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color w:val="000000"/>
                <w:szCs w:val="14"/>
              </w:rPr>
            </w:pPr>
            <w:r>
              <w:t>--</w:t>
            </w:r>
          </w:p>
        </w:tc>
        <w:tc>
          <w:tcPr>
            <w:tcW w:w="0" w:type="dxa"/>
            <w:tcBorders>
              <w:top w:val="nil"/>
              <w:bottom w:val="single" w:sz="2" w:space="0" w:color="1F4E79" w:themeColor="accent1" w:themeShade="80"/>
            </w:tcBorders>
            <w:shd w:val="clear" w:color="auto" w:fill="auto"/>
            <w:vAlign w:val="center"/>
          </w:tcPr>
          <w:p w14:paraId="4DBED5D4" w14:textId="77777777" w:rsidR="007D1BF4" w:rsidRPr="00136621" w:rsidRDefault="007D1BF4" w:rsidP="000D0C29">
            <w:pPr>
              <w:pStyle w:val="07-Legenda"/>
              <w:keepNext/>
              <w:keepLines w:val="0"/>
              <w:jc w:val="right"/>
              <w:cnfStyle w:val="000000000000" w:firstRow="0" w:lastRow="0" w:firstColumn="0" w:lastColumn="0" w:oddVBand="0" w:evenVBand="0" w:oddHBand="0" w:evenHBand="0" w:firstRowFirstColumn="0" w:firstRowLastColumn="0" w:lastRowFirstColumn="0" w:lastRowLastColumn="0"/>
              <w:rPr>
                <w:rFonts w:cs="Arial"/>
                <w:b/>
                <w:szCs w:val="14"/>
                <w:lang w:val="en-US"/>
              </w:rPr>
            </w:pPr>
          </w:p>
        </w:tc>
        <w:tc>
          <w:tcPr>
            <w:tcW w:w="0" w:type="dxa"/>
            <w:tcBorders>
              <w:top w:val="nil"/>
              <w:bottom w:val="single" w:sz="2" w:space="0" w:color="1F4E79" w:themeColor="accent1" w:themeShade="80"/>
            </w:tcBorders>
            <w:shd w:val="clear" w:color="auto" w:fill="auto"/>
            <w:vAlign w:val="center"/>
          </w:tcPr>
          <w:p w14:paraId="2D1E173C"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szCs w:val="14"/>
              </w:rPr>
            </w:pPr>
            <w:r w:rsidRPr="00136621">
              <w:rPr>
                <w:rFonts w:cs="Arial"/>
                <w:color w:val="000000"/>
                <w:szCs w:val="14"/>
              </w:rPr>
              <w:t>88.091</w:t>
            </w:r>
          </w:p>
        </w:tc>
        <w:tc>
          <w:tcPr>
            <w:tcW w:w="0" w:type="dxa"/>
            <w:tcBorders>
              <w:top w:val="nil"/>
              <w:bottom w:val="single" w:sz="2" w:space="0" w:color="1F4E79" w:themeColor="accent1" w:themeShade="80"/>
            </w:tcBorders>
            <w:shd w:val="clear" w:color="auto" w:fill="auto"/>
            <w:vAlign w:val="center"/>
          </w:tcPr>
          <w:p w14:paraId="766E1DE1" w14:textId="77777777" w:rsidR="007D1BF4" w:rsidRPr="00136621" w:rsidRDefault="007D1BF4" w:rsidP="000D0C29">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bCs/>
                <w:szCs w:val="14"/>
              </w:rPr>
            </w:pPr>
            <w:r w:rsidRPr="00136621">
              <w:rPr>
                <w:rFonts w:cs="Arial"/>
                <w:color w:val="000000"/>
                <w:szCs w:val="14"/>
              </w:rPr>
              <w:t>--</w:t>
            </w:r>
          </w:p>
        </w:tc>
      </w:tr>
    </w:tbl>
    <w:p w14:paraId="52291237" w14:textId="77777777" w:rsidR="007D1BF4" w:rsidRDefault="007D1BF4" w:rsidP="00540A63">
      <w:pPr>
        <w:pStyle w:val="05-Textonormal"/>
        <w:rPr>
          <w:b/>
          <w:color w:val="1F4E79" w:themeColor="accent1" w:themeShade="80"/>
        </w:rPr>
      </w:pPr>
    </w:p>
    <w:p w14:paraId="0CACA891" w14:textId="77777777" w:rsidR="007D1BF4" w:rsidRPr="00540A63" w:rsidRDefault="007D1BF4" w:rsidP="00540A63">
      <w:pPr>
        <w:pStyle w:val="05-Textonormal"/>
        <w:rPr>
          <w:b/>
          <w:color w:val="1F4E79" w:themeColor="accent1" w:themeShade="80"/>
        </w:rPr>
      </w:pPr>
      <w:r w:rsidRPr="00540A63">
        <w:rPr>
          <w:b/>
          <w:color w:val="1F4E79" w:themeColor="accent1" w:themeShade="80"/>
        </w:rPr>
        <w:t>b) Governança de riscos aplicada às sociedades investidas</w:t>
      </w:r>
    </w:p>
    <w:p w14:paraId="56CB7B52" w14:textId="77777777" w:rsidR="007D1BF4" w:rsidRDefault="007D1BF4" w:rsidP="001C0E99">
      <w:pPr>
        <w:pStyle w:val="05-Textonormal"/>
      </w:pPr>
      <w:r>
        <w:t>As</w:t>
      </w:r>
      <w:r w:rsidRPr="005F2021">
        <w:t xml:space="preserve"> sociedades </w:t>
      </w:r>
      <w:r>
        <w:t>investi</w:t>
      </w:r>
      <w:r w:rsidRPr="005F2021">
        <w:t xml:space="preserve">das da </w:t>
      </w:r>
      <w:r>
        <w:t>BB Seguridade</w:t>
      </w:r>
      <w:r w:rsidRPr="005F2021">
        <w:t xml:space="preserve"> possuem</w:t>
      </w:r>
      <w:r>
        <w:t xml:space="preserve"> estruturas próprias de gerenciamento de riscos compatíveis com a natureza e complexidade de seus negócios, sendo que as reguladas pela Superintendência de Seguros Privados (Susep) atendem aos requisitos</w:t>
      </w:r>
      <w:r w:rsidRPr="00B57CA4">
        <w:t xml:space="preserve"> </w:t>
      </w:r>
      <w:r>
        <w:t>definidos pelo regulador, estabelecidos na Circular Susep n°517/2015 e alterações posteriores</w:t>
      </w:r>
      <w:r w:rsidRPr="005F2021">
        <w:t xml:space="preserve">. </w:t>
      </w:r>
      <w:r>
        <w:t>A partir do</w:t>
      </w:r>
      <w:r w:rsidRPr="005F2021">
        <w:t>s resultados dos trabalhos execut</w:t>
      </w:r>
      <w:r>
        <w:t xml:space="preserve">ados pelas investidas, a BB Seguridade </w:t>
      </w:r>
      <w:r w:rsidRPr="005F2021">
        <w:t>monitora e avalia</w:t>
      </w:r>
      <w:r>
        <w:t>,</w:t>
      </w:r>
      <w:r w:rsidRPr="005F2021">
        <w:t xml:space="preserve"> cont</w:t>
      </w:r>
      <w:r>
        <w:t>i</w:t>
      </w:r>
      <w:r w:rsidRPr="005F2021">
        <w:t>nu</w:t>
      </w:r>
      <w:r>
        <w:t>amente, os níveis de exposição a</w:t>
      </w:r>
      <w:r w:rsidRPr="005F2021">
        <w:t xml:space="preserve"> riscos</w:t>
      </w:r>
      <w:r>
        <w:t xml:space="preserve"> atuando, via </w:t>
      </w:r>
      <w:r w:rsidRPr="005F2021">
        <w:t xml:space="preserve">governança, </w:t>
      </w:r>
      <w:r>
        <w:t xml:space="preserve">para garantir </w:t>
      </w:r>
      <w:r w:rsidRPr="005F2021">
        <w:t>a adoção das melhores práticas de gestão de riscos</w:t>
      </w:r>
      <w:r>
        <w:t xml:space="preserve"> em suas investidas</w:t>
      </w:r>
      <w:r w:rsidRPr="005F2021">
        <w:t xml:space="preserve">. </w:t>
      </w:r>
    </w:p>
    <w:p w14:paraId="5746DEEA" w14:textId="77777777" w:rsidR="007D1BF4" w:rsidRPr="00540A63" w:rsidRDefault="007D1BF4" w:rsidP="00540A63">
      <w:pPr>
        <w:pStyle w:val="05-Textonormal"/>
        <w:rPr>
          <w:b/>
          <w:color w:val="1F4E79" w:themeColor="accent1" w:themeShade="80"/>
        </w:rPr>
      </w:pPr>
      <w:r w:rsidRPr="00540A63">
        <w:rPr>
          <w:b/>
          <w:color w:val="1F4E79" w:themeColor="accent1" w:themeShade="80"/>
        </w:rPr>
        <w:t>b.1) Liquidez, solvência e gestão do capital</w:t>
      </w:r>
    </w:p>
    <w:p w14:paraId="54E2A6F3" w14:textId="77777777" w:rsidR="007D1BF4" w:rsidRDefault="007D1BF4" w:rsidP="001C0E99">
      <w:pPr>
        <w:pStyle w:val="05-Textonormal"/>
        <w:rPr>
          <w:rFonts w:cs="Arial"/>
        </w:rPr>
      </w:pPr>
      <w:bookmarkStart w:id="46" w:name="_Hlk46330189"/>
      <w:r>
        <w:rPr>
          <w:rFonts w:cs="Arial"/>
        </w:rPr>
        <w:t xml:space="preserve">Na </w:t>
      </w:r>
      <w:r w:rsidRPr="005F2021">
        <w:rPr>
          <w:rFonts w:cs="Arial"/>
        </w:rPr>
        <w:t xml:space="preserve">gestão de capital das </w:t>
      </w:r>
      <w:r>
        <w:rPr>
          <w:rFonts w:cs="Arial"/>
        </w:rPr>
        <w:t>sociedades investidas</w:t>
      </w:r>
      <w:r w:rsidRPr="005F2021">
        <w:rPr>
          <w:rFonts w:cs="Arial"/>
        </w:rPr>
        <w:t xml:space="preserve"> supervisionadas pela Susep, o principal indicador utilizado é o</w:t>
      </w:r>
      <w:r>
        <w:rPr>
          <w:rFonts w:cs="Arial"/>
        </w:rPr>
        <w:t xml:space="preserve"> Capital Mínimo Requerido</w:t>
      </w:r>
      <w:r w:rsidRPr="005F2021">
        <w:rPr>
          <w:rFonts w:cs="Arial"/>
        </w:rPr>
        <w:t xml:space="preserve"> </w:t>
      </w:r>
      <w:r>
        <w:rPr>
          <w:rFonts w:cs="Arial"/>
        </w:rPr>
        <w:t>(</w:t>
      </w:r>
      <w:r w:rsidRPr="005F2021">
        <w:rPr>
          <w:rFonts w:cs="Arial"/>
        </w:rPr>
        <w:t>CMR</w:t>
      </w:r>
      <w:r>
        <w:rPr>
          <w:rFonts w:cs="Arial"/>
        </w:rPr>
        <w:t>)</w:t>
      </w:r>
      <w:r w:rsidRPr="005F2021">
        <w:rPr>
          <w:rFonts w:cs="Arial"/>
        </w:rPr>
        <w:t>, que representa o capital total que uma companhia deve manter, a qualquer tempo, para operar, e visa garantir os riscos inerentes às suas operações</w:t>
      </w:r>
      <w:r>
        <w:rPr>
          <w:rFonts w:cs="Arial"/>
        </w:rPr>
        <w:t xml:space="preserve">, conforme regulamentado pela </w:t>
      </w:r>
      <w:r w:rsidRPr="005F2021">
        <w:rPr>
          <w:rFonts w:cs="Arial"/>
        </w:rPr>
        <w:t>Resolução CNSP n° 321/2015</w:t>
      </w:r>
      <w:r>
        <w:rPr>
          <w:rFonts w:cs="Arial"/>
        </w:rPr>
        <w:t xml:space="preserve"> e alterações posteriores.</w:t>
      </w:r>
    </w:p>
    <w:p w14:paraId="162BA05B" w14:textId="77777777" w:rsidR="007D1BF4" w:rsidRDefault="007D1BF4" w:rsidP="001C0E99">
      <w:pPr>
        <w:pStyle w:val="05-Textonormal"/>
        <w:rPr>
          <w:rFonts w:cs="Arial"/>
        </w:rPr>
      </w:pPr>
      <w:r w:rsidRPr="005F2021">
        <w:rPr>
          <w:rFonts w:cs="Arial"/>
        </w:rPr>
        <w:t>O CMR é composto por parcelas referentes aos riscos de subscrição, crédito, operacional e mercado</w:t>
      </w:r>
      <w:r>
        <w:rPr>
          <w:rFonts w:cs="Arial"/>
        </w:rPr>
        <w:t xml:space="preserve"> e a </w:t>
      </w:r>
      <w:r w:rsidRPr="005F2021">
        <w:rPr>
          <w:rFonts w:cs="Arial"/>
        </w:rPr>
        <w:t>suficiência de capital é medida utilizando-se o Patrimônio Líquido Ajustado</w:t>
      </w:r>
      <w:r>
        <w:rPr>
          <w:rFonts w:cs="Arial"/>
        </w:rPr>
        <w:t xml:space="preserve"> (PLA)</w:t>
      </w:r>
      <w:r w:rsidRPr="005F2021">
        <w:rPr>
          <w:rFonts w:cs="Arial"/>
        </w:rPr>
        <w:t xml:space="preserve"> da </w:t>
      </w:r>
      <w:r>
        <w:rPr>
          <w:rFonts w:cs="Arial"/>
        </w:rPr>
        <w:t>companhia</w:t>
      </w:r>
      <w:r w:rsidRPr="005F2021">
        <w:rPr>
          <w:rFonts w:cs="Arial"/>
        </w:rPr>
        <w:t>,</w:t>
      </w:r>
      <w:r>
        <w:rPr>
          <w:rFonts w:cs="Arial"/>
        </w:rPr>
        <w:t xml:space="preserve"> </w:t>
      </w:r>
      <w:r w:rsidRPr="005F2021">
        <w:rPr>
          <w:rFonts w:cs="Arial"/>
        </w:rPr>
        <w:t>que deve ser igual ou superior ao CMR calculado.</w:t>
      </w:r>
    </w:p>
    <w:p w14:paraId="22B38200" w14:textId="77777777" w:rsidR="007D1BF4" w:rsidRPr="00841C7E" w:rsidRDefault="007D1BF4" w:rsidP="001C0E99">
      <w:pPr>
        <w:pStyle w:val="05-Textonormal"/>
        <w:rPr>
          <w:rFonts w:cs="Arial"/>
        </w:rPr>
      </w:pPr>
      <w:r w:rsidRPr="00841C7E">
        <w:rPr>
          <w:rFonts w:cs="Arial"/>
        </w:rPr>
        <w:t>A Resolução CNSP n° 321/2015</w:t>
      </w:r>
      <w:r>
        <w:rPr>
          <w:rFonts w:cs="Arial"/>
        </w:rPr>
        <w:t xml:space="preserve"> </w:t>
      </w:r>
      <w:r w:rsidRPr="00841C7E">
        <w:rPr>
          <w:rFonts w:cs="Arial"/>
        </w:rPr>
        <w:t xml:space="preserve">e alterações posteriores estabelece, também, modelos para cálculo de provisões técnicas além de exigir ativos líquidos adicionais </w:t>
      </w:r>
      <w:r>
        <w:rPr>
          <w:rFonts w:cs="Arial"/>
        </w:rPr>
        <w:t>para manutenção da liquidez da c</w:t>
      </w:r>
      <w:r w:rsidRPr="00841C7E">
        <w:rPr>
          <w:rFonts w:cs="Arial"/>
        </w:rPr>
        <w:t>ompanhia.</w:t>
      </w:r>
    </w:p>
    <w:p w14:paraId="5B8F03A7" w14:textId="77777777" w:rsidR="007D1BF4" w:rsidRPr="00841C7E" w:rsidRDefault="007D1BF4" w:rsidP="00436A29">
      <w:pPr>
        <w:pStyle w:val="05-Textonormal"/>
      </w:pPr>
      <w:bookmarkStart w:id="47" w:name="_Hlk91233861"/>
      <w:bookmarkStart w:id="48" w:name="_Hlk94020221"/>
      <w:bookmarkStart w:id="49" w:name="_Hlk60747359"/>
      <w:bookmarkEnd w:id="46"/>
      <w:r>
        <w:t xml:space="preserve">Para companhias reguladas pela Agência Nacional de Saúde Suplementar (ANS) existem regras para constituição de provisões técnicas e critérios de manutenção de PLA e Margem de Solvência (MS) de acordo com a Resolução Normativa 451/2020 e </w:t>
      </w:r>
      <w:r w:rsidRPr="2BE5836A">
        <w:rPr>
          <w:rFonts w:cs="Arial"/>
        </w:rPr>
        <w:t>alterações posteriores</w:t>
      </w:r>
      <w:r>
        <w:t>.</w:t>
      </w:r>
    </w:p>
    <w:p w14:paraId="188C0CB7" w14:textId="77777777" w:rsidR="007D1BF4" w:rsidRDefault="007D1BF4" w:rsidP="00FC4DB9">
      <w:pPr>
        <w:pStyle w:val="05-Textonormal"/>
      </w:pPr>
      <w:r w:rsidRPr="00257655">
        <w:rPr>
          <w:color w:val="000000" w:themeColor="text1"/>
        </w:rPr>
        <w:t>Em 31 de dezembro de 2021, considerando os dados fornecidos por cada investida, todas as empresas nas quais a BB Seguridade detém participação e que estão sujeitas a exigência de capital regulatório, apresentavam suficiência de capital, solvência e liquidez, em conformidade com a legislação vigente aplicável.</w:t>
      </w:r>
      <w:bookmarkEnd w:id="47"/>
      <w:bookmarkEnd w:id="48"/>
    </w:p>
    <w:p w14:paraId="4FD0834C" w14:textId="77777777" w:rsidR="007D1BF4" w:rsidRPr="00841C7E" w:rsidRDefault="007D1BF4" w:rsidP="006832A9">
      <w:pPr>
        <w:pStyle w:val="05-Textonormal"/>
        <w:spacing w:before="0" w:after="0"/>
      </w:pPr>
    </w:p>
    <w:p w14:paraId="0D49EB01" w14:textId="77777777" w:rsidR="007D1BF4" w:rsidRPr="00841C7E" w:rsidRDefault="007D1BF4" w:rsidP="006832A9">
      <w:pPr>
        <w:pStyle w:val="05-Textonormal"/>
        <w:spacing w:before="0" w:after="0"/>
        <w:rPr>
          <w:b/>
          <w:color w:val="1F4E79" w:themeColor="accent1" w:themeShade="80"/>
        </w:rPr>
      </w:pPr>
      <w:bookmarkStart w:id="50" w:name="_Hlk38298119"/>
      <w:bookmarkStart w:id="51" w:name="_Hlk38297593"/>
      <w:bookmarkEnd w:id="49"/>
      <w:r w:rsidRPr="00841C7E">
        <w:rPr>
          <w:b/>
          <w:color w:val="1F4E79" w:themeColor="accent1" w:themeShade="80"/>
        </w:rPr>
        <w:t>c) Impacto da Covid-19 na Companhia e suas investidas</w:t>
      </w:r>
    </w:p>
    <w:p w14:paraId="34199272" w14:textId="77777777" w:rsidR="00247039" w:rsidRDefault="00247039" w:rsidP="006832A9">
      <w:pPr>
        <w:pStyle w:val="05-Textonormal"/>
        <w:spacing w:before="0" w:after="0"/>
        <w:rPr>
          <w:b/>
          <w:color w:val="1F4E79" w:themeColor="accent1" w:themeShade="80"/>
        </w:rPr>
      </w:pPr>
    </w:p>
    <w:p w14:paraId="303CC342" w14:textId="29EE3FFD" w:rsidR="007D1BF4" w:rsidRPr="00841C7E" w:rsidRDefault="007D1BF4" w:rsidP="006832A9">
      <w:pPr>
        <w:pStyle w:val="05-Textonormal"/>
        <w:spacing w:before="0" w:after="0"/>
        <w:rPr>
          <w:b/>
          <w:color w:val="1F4E79" w:themeColor="accent1" w:themeShade="80"/>
        </w:rPr>
      </w:pPr>
      <w:r w:rsidRPr="00841C7E">
        <w:rPr>
          <w:b/>
          <w:color w:val="1F4E79" w:themeColor="accent1" w:themeShade="80"/>
        </w:rPr>
        <w:t>c.1) Impactos na continuidade de negócios</w:t>
      </w:r>
    </w:p>
    <w:p w14:paraId="261B86E1" w14:textId="77777777" w:rsidR="007D1BF4" w:rsidRDefault="007D1BF4" w:rsidP="00257655">
      <w:pPr>
        <w:pStyle w:val="05-Textonormal"/>
      </w:pPr>
      <w:bookmarkStart w:id="52" w:name="_Hlk94020244"/>
      <w:bookmarkStart w:id="53" w:name="_Hlk94019751"/>
      <w:r>
        <w:t>No final de 2021, foi criado o Comitê de Gestão de Continuidade e Crises (CGCC), que visa o assessoramento à Diretoria em assuntos relacionados ao risco de descontinuidade e crises. Além disso, a BB Seguridade continua contando com o Grupo Coordenador de Continuidade (GCC), que se reúne periodicamente buscando alternativas aos mais diversos cenários e impactos advindos desses, assegurando a continuidade dos processos, em especial no que se refere à disponibilidade de sistemas, ferramentas e conectividade, reportando potenciais situações de crise ao CGCC.</w:t>
      </w:r>
      <w:r w:rsidDel="00A33062">
        <w:t xml:space="preserve"> </w:t>
      </w:r>
      <w:bookmarkEnd w:id="52"/>
    </w:p>
    <w:p w14:paraId="09123FA8" w14:textId="77777777" w:rsidR="007D1BF4" w:rsidRDefault="007D1BF4" w:rsidP="002662AF">
      <w:pPr>
        <w:pStyle w:val="05-Textonormal"/>
      </w:pPr>
      <w:bookmarkStart w:id="54" w:name="_Hlk94020338"/>
      <w:r>
        <w:t xml:space="preserve">Em dezembro de 2021, a BB Seguridade finalizou o plano de retorno ao trabalho presencial. Os escritórios de Brasília e São Paulo foram adequados para essa reocupação e sinalizados com as orientações acerca das regras de distanciamento social, higiene e demais determinações das autoridades competentes. Considerando as incertezas associadas ao contexto de pandemia, foram revisitados os planos de continuidade de forma a garantir a efetividade das ações de contingência e rápido acionamento do trabalho remoto em caso de necessidade.  </w:t>
      </w:r>
    </w:p>
    <w:p w14:paraId="1C20C250" w14:textId="77777777" w:rsidR="007D1BF4" w:rsidRDefault="007D1BF4">
      <w:pPr>
        <w:pStyle w:val="05-Textonormal"/>
      </w:pPr>
      <w:r w:rsidRPr="00841C7E">
        <w:lastRenderedPageBreak/>
        <w:t>Em relação aos serviços contratados pela BB Seguridade, conforme monitoramento, não foi detectada nenhuma descontinuidade associada a contratos vigentes que possa impactar os negócios da Companhia.</w:t>
      </w:r>
      <w:bookmarkStart w:id="55" w:name="_Hlk54269715"/>
      <w:bookmarkEnd w:id="53"/>
      <w:bookmarkEnd w:id="54"/>
    </w:p>
    <w:p w14:paraId="2FCB25F8" w14:textId="77777777" w:rsidR="007D1BF4" w:rsidRPr="00841C7E" w:rsidRDefault="007D1BF4">
      <w:pPr>
        <w:pStyle w:val="05-Textonormal"/>
      </w:pPr>
    </w:p>
    <w:bookmarkEnd w:id="55"/>
    <w:p w14:paraId="1F7C69B2" w14:textId="77777777" w:rsidR="007D1BF4" w:rsidRPr="00841C7E" w:rsidRDefault="007D1BF4" w:rsidP="00540A63">
      <w:pPr>
        <w:pStyle w:val="05-Textonormal"/>
        <w:rPr>
          <w:b/>
          <w:color w:val="1F4E79" w:themeColor="accent1" w:themeShade="80"/>
        </w:rPr>
      </w:pPr>
      <w:r w:rsidRPr="00841C7E">
        <w:rPr>
          <w:b/>
          <w:color w:val="1F4E79" w:themeColor="accent1" w:themeShade="80"/>
        </w:rPr>
        <w:t>c.2) Impactos nas demonstrações contábeis</w:t>
      </w:r>
    </w:p>
    <w:p w14:paraId="02EF99E6" w14:textId="77777777" w:rsidR="007D1BF4" w:rsidRPr="00841C7E" w:rsidRDefault="007D1BF4">
      <w:pPr>
        <w:pStyle w:val="05-Textonormal"/>
      </w:pPr>
      <w:bookmarkStart w:id="56" w:name="_Hlk94019880"/>
      <w:r w:rsidRPr="00841C7E">
        <w:t xml:space="preserve">A capacidade da Administração para a realização do processo de elaboração das Demonstrações Contábeis das empresas do Grupo BB Seguridade (BB Seguridade, BB Seguros e BB Corretora) não foi afetada. </w:t>
      </w:r>
    </w:p>
    <w:p w14:paraId="3CEFC3ED" w14:textId="77777777" w:rsidR="007D1BF4" w:rsidRPr="00841C7E" w:rsidRDefault="007D1BF4" w:rsidP="0057411F">
      <w:pPr>
        <w:pStyle w:val="05-Textonormal"/>
      </w:pPr>
      <w:r w:rsidRPr="00841C7E">
        <w:t>Ressalte-se que os processos, especificamente da Superintendência de Contabilidade, estão contemplados em planos de Gestão da Continuidade de Negócios e Crises, sendo grande parte deles considerados críticos, e que, portanto, são testados periodicamente para o enfrentamento de crises.</w:t>
      </w:r>
    </w:p>
    <w:p w14:paraId="553C3DDB" w14:textId="77777777" w:rsidR="007D1BF4" w:rsidRPr="00841C7E" w:rsidRDefault="007D1BF4" w:rsidP="005C44AA">
      <w:pPr>
        <w:pStyle w:val="05-Textonormal"/>
      </w:pPr>
      <w:r w:rsidRPr="00841C7E">
        <w:t>Portanto, considerando as informações aqui expostas e considerando ainda a experiência bem-sucedida da divulgação dos resultados de</w:t>
      </w:r>
      <w:r>
        <w:t>sde o primeiro trimestre de</w:t>
      </w:r>
      <w:r w:rsidRPr="00841C7E">
        <w:t xml:space="preserve"> 2020, não há indícios, até o momento, de que ocorrerão problemas com as demonstrações contábeis</w:t>
      </w:r>
      <w:r>
        <w:t xml:space="preserve"> </w:t>
      </w:r>
      <w:r w:rsidRPr="00841C7E">
        <w:t xml:space="preserve">até o final da crise </w:t>
      </w:r>
      <w:r>
        <w:t>gerada</w:t>
      </w:r>
      <w:r w:rsidRPr="00841C7E">
        <w:t xml:space="preserve"> pela pandemia.</w:t>
      </w:r>
    </w:p>
    <w:p w14:paraId="031DD47A" w14:textId="77777777" w:rsidR="007D1BF4" w:rsidRPr="00841C7E" w:rsidRDefault="007D1BF4" w:rsidP="0057411F">
      <w:pPr>
        <w:pStyle w:val="05-Textonormal"/>
      </w:pPr>
      <w:bookmarkStart w:id="57" w:name="_Hlk54269395"/>
      <w:bookmarkEnd w:id="56"/>
    </w:p>
    <w:bookmarkEnd w:id="57"/>
    <w:p w14:paraId="2A6CFE99" w14:textId="77777777" w:rsidR="007D1BF4" w:rsidRPr="00841C7E" w:rsidRDefault="007D1BF4" w:rsidP="00540A63">
      <w:pPr>
        <w:pStyle w:val="05-Textonormal"/>
        <w:rPr>
          <w:b/>
          <w:color w:val="1F4E79" w:themeColor="accent1" w:themeShade="80"/>
        </w:rPr>
      </w:pPr>
      <w:r w:rsidRPr="00841C7E">
        <w:rPr>
          <w:b/>
          <w:color w:val="1F4E79" w:themeColor="accent1" w:themeShade="80"/>
        </w:rPr>
        <w:t>c.</w:t>
      </w:r>
      <w:r>
        <w:rPr>
          <w:b/>
          <w:color w:val="1F4E79" w:themeColor="accent1" w:themeShade="80"/>
        </w:rPr>
        <w:t>3</w:t>
      </w:r>
      <w:r w:rsidRPr="00841C7E">
        <w:rPr>
          <w:b/>
          <w:color w:val="1F4E79" w:themeColor="accent1" w:themeShade="80"/>
        </w:rPr>
        <w:t>) Impactos em capital regulatório</w:t>
      </w:r>
    </w:p>
    <w:p w14:paraId="327008DB" w14:textId="77777777" w:rsidR="007D1BF4" w:rsidRDefault="007D1BF4" w:rsidP="00BF0647">
      <w:pPr>
        <w:pStyle w:val="05-Textonormal"/>
        <w:rPr>
          <w:rFonts w:eastAsiaTheme="minorHAnsi"/>
        </w:rPr>
      </w:pPr>
      <w:r w:rsidRPr="00431447">
        <w:rPr>
          <w:rFonts w:eastAsiaTheme="minorHAnsi"/>
        </w:rPr>
        <w:t>Para a BB Seguridade, BB Seguros e BB Corretora não há impacto atual nem indícios de impacto potencial em seus investimentos financeiros, que se resumem a operações compromissadas, lastreadas em títulos públicos federa</w:t>
      </w:r>
      <w:r>
        <w:rPr>
          <w:rFonts w:eastAsiaTheme="minorHAnsi"/>
        </w:rPr>
        <w:t>is</w:t>
      </w:r>
      <w:r w:rsidRPr="00431447">
        <w:rPr>
          <w:rFonts w:eastAsiaTheme="minorHAnsi"/>
        </w:rPr>
        <w:t xml:space="preserve"> com liquidez diária. </w:t>
      </w:r>
      <w:r>
        <w:rPr>
          <w:rFonts w:eastAsiaTheme="minorHAnsi"/>
        </w:rPr>
        <w:t>Não há</w:t>
      </w:r>
      <w:r w:rsidRPr="00431447">
        <w:rPr>
          <w:rFonts w:eastAsiaTheme="minorHAnsi"/>
        </w:rPr>
        <w:t xml:space="preserve"> exigência mínima de capital definida por órgãos reguladores específicos para estas empresas,</w:t>
      </w:r>
      <w:r>
        <w:rPr>
          <w:rFonts w:eastAsiaTheme="minorHAnsi"/>
        </w:rPr>
        <w:t xml:space="preserve"> bem como as mesmas </w:t>
      </w:r>
      <w:r w:rsidRPr="00431447">
        <w:rPr>
          <w:rFonts w:eastAsiaTheme="minorHAnsi"/>
        </w:rPr>
        <w:t>não possuem dívidas, operando apenas com capital próprio</w:t>
      </w:r>
      <w:r>
        <w:rPr>
          <w:rFonts w:eastAsiaTheme="minorHAnsi"/>
        </w:rPr>
        <w:t>. Ademais,</w:t>
      </w:r>
      <w:r w:rsidRPr="00431447">
        <w:rPr>
          <w:rFonts w:eastAsiaTheme="minorHAnsi"/>
        </w:rPr>
        <w:t xml:space="preserve"> o cenário vivenciado não apresentou comprometimento da capacidade des</w:t>
      </w:r>
      <w:r>
        <w:rPr>
          <w:rFonts w:eastAsiaTheme="minorHAnsi"/>
        </w:rPr>
        <w:t>t</w:t>
      </w:r>
      <w:r w:rsidRPr="00431447">
        <w:rPr>
          <w:rFonts w:eastAsiaTheme="minorHAnsi"/>
        </w:rPr>
        <w:t xml:space="preserve">as empresas honrarem suas obrigações atuais e futuras. Conforme indicado mais à frente, o risco de mercado afetou as investidas da BB Seguros, cujo impacto poderá vir na forma de redução no volume de dividendos recebidos. Neste sentido, </w:t>
      </w:r>
      <w:r>
        <w:rPr>
          <w:rFonts w:eastAsiaTheme="minorHAnsi"/>
        </w:rPr>
        <w:t xml:space="preserve">o Grupo vem </w:t>
      </w:r>
      <w:r w:rsidRPr="00431447">
        <w:rPr>
          <w:rFonts w:eastAsiaTheme="minorHAnsi"/>
        </w:rPr>
        <w:t>atualizando mensalmente suas projeções de fluxo de caixa com vistas a antecipar situações advers</w:t>
      </w:r>
      <w:r>
        <w:rPr>
          <w:rFonts w:eastAsiaTheme="minorHAnsi"/>
        </w:rPr>
        <w:t xml:space="preserve">as. </w:t>
      </w:r>
    </w:p>
    <w:p w14:paraId="0F1078CD" w14:textId="77777777" w:rsidR="007D1BF4" w:rsidRPr="00841C7E" w:rsidRDefault="007D1BF4" w:rsidP="00BF0647">
      <w:pPr>
        <w:pStyle w:val="05-Textonormal"/>
        <w:rPr>
          <w:rFonts w:eastAsiaTheme="minorHAnsi"/>
        </w:rPr>
      </w:pPr>
      <w:bookmarkStart w:id="58" w:name="_Hlk94020448"/>
      <w:r>
        <w:rPr>
          <w:rFonts w:eastAsiaTheme="minorHAnsi"/>
        </w:rPr>
        <w:t>P</w:t>
      </w:r>
      <w:r w:rsidRPr="00841C7E">
        <w:rPr>
          <w:rFonts w:eastAsiaTheme="minorHAnsi"/>
        </w:rPr>
        <w:t>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05F70FA4" w14:textId="77777777" w:rsidR="007D1BF4" w:rsidRPr="00841C7E" w:rsidRDefault="007D1BF4" w:rsidP="00BF0647">
      <w:pPr>
        <w:pStyle w:val="05-Textonormal"/>
        <w:rPr>
          <w:rFonts w:eastAsiaTheme="minorHAnsi"/>
        </w:rPr>
      </w:pPr>
      <w:r w:rsidRPr="00841C7E">
        <w:rPr>
          <w:rFonts w:eastAsiaTheme="minorHAnsi"/>
        </w:rPr>
        <w:t xml:space="preserve">A </w:t>
      </w:r>
      <w:r w:rsidRPr="00841C7E">
        <w:rPr>
          <w:rFonts w:cs="Arial"/>
        </w:rPr>
        <w:t>Resolução CNSP n° 321/2015</w:t>
      </w:r>
      <w:r>
        <w:rPr>
          <w:rFonts w:cs="Arial"/>
        </w:rPr>
        <w:t xml:space="preserve"> </w:t>
      </w:r>
      <w:r w:rsidRPr="00841C7E">
        <w:rPr>
          <w:rFonts w:eastAsiaTheme="minorHAnsi"/>
        </w:rPr>
        <w:t xml:space="preserve">e alterações posteriores estabelecem critérios para a elaboração de planos de regularização de solvência e liquidez em casos de desenquadramentos regulatórios. Importante destacar que as empresas investidas, conforme diretrizes definidas pelo Grupo, não têm apetite ao risco de desenquadramento de </w:t>
      </w:r>
      <w:r>
        <w:rPr>
          <w:rFonts w:eastAsiaTheme="minorHAnsi"/>
        </w:rPr>
        <w:t>solvência</w:t>
      </w:r>
      <w:r w:rsidRPr="00841C7E">
        <w:rPr>
          <w:rFonts w:eastAsiaTheme="minorHAnsi"/>
        </w:rPr>
        <w:t xml:space="preserve"> regulatóri</w:t>
      </w:r>
      <w:r>
        <w:rPr>
          <w:rFonts w:eastAsiaTheme="minorHAnsi"/>
        </w:rPr>
        <w:t>a</w:t>
      </w:r>
      <w:r w:rsidRPr="00841C7E">
        <w:rPr>
          <w:rFonts w:eastAsiaTheme="minorHAnsi"/>
        </w:rPr>
        <w:t xml:space="preserve">. </w:t>
      </w:r>
    </w:p>
    <w:p w14:paraId="721FBEC6" w14:textId="77777777" w:rsidR="007D1BF4" w:rsidRPr="00841C7E" w:rsidRDefault="007D1BF4" w:rsidP="005C44AA">
      <w:pPr>
        <w:pStyle w:val="05-Textonormal"/>
        <w:rPr>
          <w:rFonts w:eastAsiaTheme="minorHAnsi"/>
        </w:rPr>
      </w:pPr>
      <w:r w:rsidRPr="00841C7E">
        <w:rPr>
          <w:rFonts w:eastAsiaTheme="minorHAnsi"/>
        </w:rPr>
        <w:t xml:space="preserve">A volatilidade das curvas de juros futuros gerada pelas incertezas em relação ao cenário macroeconômico, que </w:t>
      </w:r>
      <w:r>
        <w:rPr>
          <w:rFonts w:eastAsiaTheme="minorHAnsi"/>
        </w:rPr>
        <w:t>emergiram parte em decorrência da pandemia</w:t>
      </w:r>
      <w:r w:rsidRPr="00841C7E">
        <w:rPr>
          <w:rFonts w:eastAsiaTheme="minorHAnsi"/>
        </w:rPr>
        <w:t>, promove volatilidade também no capital regulatório das companhias, pois os valores de mercado dos ativos influenciam o PLA, independente</w:t>
      </w:r>
      <w:r>
        <w:rPr>
          <w:rFonts w:eastAsiaTheme="minorHAnsi"/>
        </w:rPr>
        <w:t>mente</w:t>
      </w:r>
      <w:r w:rsidRPr="00841C7E">
        <w:rPr>
          <w:rFonts w:eastAsiaTheme="minorHAnsi"/>
        </w:rPr>
        <w:t xml:space="preserve"> da classificação contábil dos títulos mantidos em carteira, bem como influenciam os valores dos passivos atrelados a índices de mercado específicos.</w:t>
      </w:r>
    </w:p>
    <w:p w14:paraId="46E6949C" w14:textId="77777777" w:rsidR="007D1BF4" w:rsidRPr="005517A5" w:rsidRDefault="007D1BF4" w:rsidP="005C44AA">
      <w:pPr>
        <w:pStyle w:val="05-Textonormal"/>
        <w:rPr>
          <w:rFonts w:eastAsiaTheme="minorHAnsi"/>
        </w:rPr>
      </w:pPr>
      <w:bookmarkStart w:id="59" w:name="_Hlk91233975"/>
      <w:r w:rsidRPr="00841C7E">
        <w:rPr>
          <w:rFonts w:eastAsiaTheme="minorHAnsi"/>
        </w:rPr>
        <w:t xml:space="preserve">A Brasilprev estruturou mecanismos </w:t>
      </w:r>
      <w:r>
        <w:rPr>
          <w:rFonts w:eastAsiaTheme="minorHAnsi"/>
        </w:rPr>
        <w:t>para</w:t>
      </w:r>
      <w:r w:rsidRPr="00841C7E">
        <w:rPr>
          <w:rFonts w:eastAsiaTheme="minorHAnsi"/>
        </w:rPr>
        <w:t xml:space="preserve"> projeções de mercado e seus impactos na necessidade de capital regulatório e projeção de PLA</w:t>
      </w:r>
      <w:r>
        <w:rPr>
          <w:rFonts w:eastAsiaTheme="minorHAnsi"/>
        </w:rPr>
        <w:t>. No quarto trimestre, o Plano de Contingência de Capital continuou ativo, com instrumentos específicos para antever situações críticas e contorná-las rapidamente. Cenários utilizados nos</w:t>
      </w:r>
      <w:r w:rsidRPr="00841C7E">
        <w:rPr>
          <w:rFonts w:eastAsiaTheme="minorHAnsi"/>
        </w:rPr>
        <w:t xml:space="preserve"> cálculos de projeç</w:t>
      </w:r>
      <w:r>
        <w:rPr>
          <w:rFonts w:eastAsiaTheme="minorHAnsi"/>
        </w:rPr>
        <w:t xml:space="preserve">ão indicam redução da </w:t>
      </w:r>
      <w:r w:rsidRPr="005517A5">
        <w:rPr>
          <w:rFonts w:eastAsiaTheme="minorHAnsi"/>
        </w:rPr>
        <w:t>probabilidade de reforço do patrimônio líquido no futuro, para cobertura da exigência de capital regulatório.</w:t>
      </w:r>
    </w:p>
    <w:p w14:paraId="16E0070E" w14:textId="03FFD568" w:rsidR="007D1BF4" w:rsidRDefault="007D1BF4" w:rsidP="3476C26C">
      <w:pPr>
        <w:pStyle w:val="05-Textonormal"/>
        <w:rPr>
          <w:rFonts w:eastAsiaTheme="minorEastAsia"/>
        </w:rPr>
      </w:pPr>
      <w:r>
        <w:rPr>
          <w:rFonts w:eastAsiaTheme="minorEastAsia"/>
        </w:rPr>
        <w:t>Em relação à</w:t>
      </w:r>
      <w:r w:rsidRPr="5D117D1F">
        <w:rPr>
          <w:rFonts w:eastAsiaTheme="minorEastAsia"/>
        </w:rPr>
        <w:t xml:space="preserve"> Brasilcap, a</w:t>
      </w:r>
      <w:r>
        <w:t xml:space="preserve"> </w:t>
      </w:r>
      <w:r w:rsidRPr="5D117D1F">
        <w:rPr>
          <w:rFonts w:eastAsiaTheme="minorEastAsia"/>
        </w:rPr>
        <w:t>Resoluç</w:t>
      </w:r>
      <w:r>
        <w:rPr>
          <w:rFonts w:eastAsiaTheme="minorEastAsia"/>
        </w:rPr>
        <w:t>ão</w:t>
      </w:r>
      <w:r w:rsidRPr="5D117D1F">
        <w:rPr>
          <w:rFonts w:eastAsiaTheme="minorEastAsia"/>
        </w:rPr>
        <w:t xml:space="preserve"> CNSP </w:t>
      </w:r>
      <w:r>
        <w:t>nº 432/2021 trouxe impactos negativos para a investida, pois dentre outras alterações passou a limitar um dos ajustes econômicos do PLA ao efeito no CMR da parcela de risco de subscrição (anteriormente limitado ao efeito do risco de mercado), que dentre outros aspectos que penalizaram o PLA em dezembro de 2021.</w:t>
      </w:r>
    </w:p>
    <w:p w14:paraId="2B7B6A85" w14:textId="77777777" w:rsidR="007D1BF4" w:rsidRDefault="007D1BF4" w:rsidP="3476C26C">
      <w:pPr>
        <w:pStyle w:val="05-Textonormal"/>
        <w:rPr>
          <w:rFonts w:eastAsiaTheme="minorEastAsia"/>
        </w:rPr>
      </w:pPr>
      <w:r w:rsidRPr="5D117D1F">
        <w:rPr>
          <w:rFonts w:eastAsiaTheme="minorEastAsia"/>
        </w:rPr>
        <w:t xml:space="preserve"> A abertura da curva de juros ao longo do terceiro e quarto trimestres também trouxe impactos relevantes e impulsionou a  adoção de ações para reconfiguração da composição da carteira de ativos mediante encurtamento da </w:t>
      </w:r>
      <w:r w:rsidRPr="00257655">
        <w:rPr>
          <w:rFonts w:eastAsiaTheme="minorEastAsia"/>
          <w:i/>
          <w:iCs/>
        </w:rPr>
        <w:t>duration</w:t>
      </w:r>
      <w:r>
        <w:rPr>
          <w:rFonts w:eastAsiaTheme="minorEastAsia"/>
        </w:rPr>
        <w:t xml:space="preserve"> da carteira</w:t>
      </w:r>
      <w:r w:rsidRPr="5D117D1F">
        <w:rPr>
          <w:rFonts w:eastAsiaTheme="minorEastAsia"/>
        </w:rPr>
        <w:t xml:space="preserve">, a redução do </w:t>
      </w:r>
      <w:r w:rsidRPr="00257655">
        <w:rPr>
          <w:rFonts w:eastAsiaTheme="minorEastAsia"/>
          <w:i/>
          <w:iCs/>
        </w:rPr>
        <w:t xml:space="preserve">payout </w:t>
      </w:r>
      <w:r w:rsidRPr="5D117D1F">
        <w:rPr>
          <w:rFonts w:eastAsiaTheme="minorEastAsia"/>
        </w:rPr>
        <w:t>para o exercício de 2021, a tomada de crédito</w:t>
      </w:r>
      <w:r>
        <w:rPr>
          <w:rFonts w:eastAsiaTheme="minorEastAsia"/>
        </w:rPr>
        <w:t xml:space="preserve"> no valor de R$ 200 milhões</w:t>
      </w:r>
      <w:r w:rsidRPr="5D117D1F">
        <w:rPr>
          <w:rFonts w:eastAsiaTheme="minorEastAsia"/>
        </w:rPr>
        <w:t xml:space="preserve"> para </w:t>
      </w:r>
      <w:r>
        <w:rPr>
          <w:rFonts w:eastAsiaTheme="minorEastAsia"/>
        </w:rPr>
        <w:t>garantir a</w:t>
      </w:r>
      <w:r w:rsidRPr="5D117D1F">
        <w:rPr>
          <w:rFonts w:eastAsiaTheme="minorEastAsia"/>
        </w:rPr>
        <w:t xml:space="preserve"> suficiência de liquidez regulatória</w:t>
      </w:r>
      <w:r>
        <w:rPr>
          <w:rFonts w:eastAsiaTheme="minorEastAsia"/>
        </w:rPr>
        <w:t xml:space="preserve"> </w:t>
      </w:r>
      <w:r w:rsidRPr="5D117D1F">
        <w:rPr>
          <w:rFonts w:eastAsiaTheme="minorEastAsia"/>
        </w:rPr>
        <w:t>e aporte de capital pelos acionistas no valor total de R$ 100 milhões</w:t>
      </w:r>
      <w:r>
        <w:rPr>
          <w:rFonts w:eastAsiaTheme="minorEastAsia"/>
        </w:rPr>
        <w:t>,</w:t>
      </w:r>
      <w:r w:rsidRPr="5D117D1F">
        <w:rPr>
          <w:rFonts w:eastAsiaTheme="minorEastAsia"/>
        </w:rPr>
        <w:t xml:space="preserve"> para manutenção da suficiência de capital regulatório.</w:t>
      </w:r>
    </w:p>
    <w:p w14:paraId="38B24044" w14:textId="77777777" w:rsidR="007D1BF4" w:rsidRPr="00841C7E" w:rsidRDefault="007D1BF4" w:rsidP="00125B60">
      <w:pPr>
        <w:pStyle w:val="05-Textonormal"/>
        <w:rPr>
          <w:rFonts w:eastAsiaTheme="minorHAnsi"/>
        </w:rPr>
      </w:pPr>
      <w:bookmarkStart w:id="60" w:name="_Hlk91233963"/>
      <w:bookmarkEnd w:id="59"/>
      <w:r w:rsidRPr="00D23837">
        <w:rPr>
          <w:rFonts w:eastAsiaTheme="minorHAnsi"/>
        </w:rPr>
        <w:t>A Brasilseg, que dentre as empresas investidas é a que possui maior necessidade de capital para risco de subscrição, será impactada positivamente pela</w:t>
      </w:r>
      <w:r>
        <w:rPr>
          <w:rFonts w:eastAsiaTheme="minorHAnsi"/>
        </w:rPr>
        <w:t>s</w:t>
      </w:r>
      <w:r w:rsidRPr="00D23837">
        <w:rPr>
          <w:rFonts w:eastAsiaTheme="minorHAnsi"/>
        </w:rPr>
        <w:t xml:space="preserve"> Resoluç</w:t>
      </w:r>
      <w:r>
        <w:rPr>
          <w:rFonts w:eastAsiaTheme="minorHAnsi"/>
        </w:rPr>
        <w:t>ões</w:t>
      </w:r>
      <w:r w:rsidRPr="00D23837">
        <w:rPr>
          <w:rFonts w:eastAsiaTheme="minorHAnsi"/>
        </w:rPr>
        <w:t xml:space="preserve"> </w:t>
      </w:r>
      <w:r w:rsidRPr="5D117D1F">
        <w:rPr>
          <w:rFonts w:eastAsiaTheme="minorEastAsia"/>
        </w:rPr>
        <w:t xml:space="preserve">CNSP </w:t>
      </w:r>
      <w:r>
        <w:t>nº 412/2021 e CNSP nº 432/2021</w:t>
      </w:r>
      <w:r w:rsidRPr="00D23837">
        <w:rPr>
          <w:rFonts w:eastAsiaTheme="minorHAnsi"/>
        </w:rPr>
        <w:t xml:space="preserve">. </w:t>
      </w:r>
      <w:r>
        <w:rPr>
          <w:rFonts w:eastAsiaTheme="minorHAnsi"/>
        </w:rPr>
        <w:t>Com r</w:t>
      </w:r>
      <w:r w:rsidRPr="00D23837">
        <w:rPr>
          <w:rFonts w:eastAsiaTheme="minorHAnsi"/>
        </w:rPr>
        <w:t>eferên</w:t>
      </w:r>
      <w:r>
        <w:rPr>
          <w:rFonts w:eastAsiaTheme="minorHAnsi"/>
        </w:rPr>
        <w:t>cia</w:t>
      </w:r>
      <w:r w:rsidRPr="00D23837">
        <w:rPr>
          <w:rFonts w:eastAsiaTheme="minorHAnsi"/>
        </w:rPr>
        <w:t xml:space="preserve"> aos impactos da Covid-19, o </w:t>
      </w:r>
      <w:r>
        <w:rPr>
          <w:rFonts w:eastAsiaTheme="minorHAnsi"/>
        </w:rPr>
        <w:t>quarto</w:t>
      </w:r>
      <w:r w:rsidRPr="00D23837">
        <w:rPr>
          <w:rFonts w:eastAsiaTheme="minorHAnsi"/>
        </w:rPr>
        <w:t xml:space="preserve"> trimestre</w:t>
      </w:r>
      <w:r>
        <w:rPr>
          <w:rFonts w:eastAsiaTheme="minorHAnsi"/>
        </w:rPr>
        <w:t>, tal como o terceiro,</w:t>
      </w:r>
      <w:r w:rsidRPr="00D23837">
        <w:rPr>
          <w:rFonts w:eastAsiaTheme="minorHAnsi"/>
        </w:rPr>
        <w:t xml:space="preserve"> </w:t>
      </w:r>
      <w:r>
        <w:rPr>
          <w:rFonts w:eastAsiaTheme="minorHAnsi"/>
        </w:rPr>
        <w:t xml:space="preserve">manteve a </w:t>
      </w:r>
      <w:r w:rsidRPr="00D23837">
        <w:rPr>
          <w:rFonts w:eastAsiaTheme="minorHAnsi"/>
        </w:rPr>
        <w:t>reversão da tendência de alta na sinistralidade registrada ao longo do primeiro semestre</w:t>
      </w:r>
      <w:r>
        <w:rPr>
          <w:rFonts w:eastAsiaTheme="minorHAnsi"/>
        </w:rPr>
        <w:t xml:space="preserve">. </w:t>
      </w:r>
      <w:r w:rsidRPr="00187708">
        <w:rPr>
          <w:rFonts w:eastAsiaTheme="minorHAnsi"/>
        </w:rPr>
        <w:t>Houve redução de 14,1 p.p. no índice de sinistralidade em relação ao 3T21. No ano, conforme dados gerenciais da Brasilseg de 18/01/2022, foram registrados 11,4 mil sinistros relacionados à Covid-19, totalizando R$</w:t>
      </w:r>
      <w:r w:rsidRPr="00187708">
        <w:t xml:space="preserve"> </w:t>
      </w:r>
      <w:r w:rsidRPr="00187708">
        <w:rPr>
          <w:rFonts w:eastAsiaTheme="minorHAnsi"/>
        </w:rPr>
        <w:t>864 milhões em indenizações</w:t>
      </w:r>
      <w:r w:rsidRPr="00D23837">
        <w:rPr>
          <w:rFonts w:eastAsiaTheme="minorHAnsi"/>
        </w:rPr>
        <w:t>.</w:t>
      </w:r>
    </w:p>
    <w:bookmarkEnd w:id="58"/>
    <w:bookmarkEnd w:id="60"/>
    <w:p w14:paraId="29584347" w14:textId="77777777" w:rsidR="007D1BF4" w:rsidRDefault="007D1BF4" w:rsidP="005C44AA">
      <w:pPr>
        <w:pStyle w:val="05-Textonormal"/>
        <w:rPr>
          <w:rFonts w:eastAsiaTheme="minorHAnsi"/>
        </w:rPr>
      </w:pPr>
      <w:r w:rsidRPr="00841C7E">
        <w:rPr>
          <w:rFonts w:eastAsiaTheme="minorHAnsi"/>
        </w:rPr>
        <w:lastRenderedPageBreak/>
        <w:t>Considerando as incertezas que persistem num contexto de pandemia, as sociedades investidas estão constantemente revisando seus modelos de projeção de capital e testes de estresse, para realizar a melhor gestão em busca da manutenção de níveis adequados de cobertura da exigência de capital regulatório.</w:t>
      </w:r>
    </w:p>
    <w:p w14:paraId="3A19B4B7" w14:textId="77777777" w:rsidR="007D1BF4" w:rsidRDefault="007D1BF4" w:rsidP="005C44AA">
      <w:pPr>
        <w:pStyle w:val="05-Textonormal"/>
        <w:rPr>
          <w:rFonts w:eastAsiaTheme="minorHAnsi"/>
        </w:rPr>
      </w:pPr>
    </w:p>
    <w:p w14:paraId="0736939F" w14:textId="77777777" w:rsidR="007D1BF4" w:rsidRPr="00841C7E" w:rsidRDefault="007D1BF4" w:rsidP="00540A63">
      <w:pPr>
        <w:pStyle w:val="05-Textonormal"/>
        <w:rPr>
          <w:b/>
          <w:color w:val="1F4E79" w:themeColor="accent1" w:themeShade="80"/>
        </w:rPr>
      </w:pPr>
      <w:r w:rsidRPr="00841C7E">
        <w:rPr>
          <w:b/>
          <w:color w:val="1F4E79" w:themeColor="accent1" w:themeShade="80"/>
        </w:rPr>
        <w:t>c.</w:t>
      </w:r>
      <w:r>
        <w:rPr>
          <w:b/>
          <w:color w:val="1F4E79" w:themeColor="accent1" w:themeShade="80"/>
        </w:rPr>
        <w:t>4</w:t>
      </w:r>
      <w:r w:rsidRPr="00841C7E">
        <w:rPr>
          <w:b/>
          <w:color w:val="1F4E79" w:themeColor="accent1" w:themeShade="80"/>
        </w:rPr>
        <w:t>) Expectativa de impactos futuros</w:t>
      </w:r>
    </w:p>
    <w:p w14:paraId="53C9E4A5" w14:textId="77777777" w:rsidR="007D1BF4" w:rsidRPr="00E44F6D" w:rsidRDefault="007D1BF4" w:rsidP="005C44AA">
      <w:pPr>
        <w:pStyle w:val="05-Textonormal"/>
        <w:rPr>
          <w:rFonts w:eastAsiaTheme="minorHAnsi"/>
        </w:rPr>
      </w:pPr>
      <w:r w:rsidRPr="00841C7E">
        <w:rPr>
          <w:rFonts w:eastAsiaTheme="minorHAnsi"/>
        </w:rPr>
        <w:t>Ainda que com todas as incertezas, a característica da formação de resultado da BB Seguridade, baseada principalmente em receitas diferidas e rentabilidade sobre as reservas, contribui para a redução na volatilidade do lucro líquido da Companhia</w:t>
      </w:r>
      <w:r w:rsidRPr="00FC66E0">
        <w:rPr>
          <w:rFonts w:eastAsiaTheme="minorHAnsi"/>
          <w:color w:val="000000" w:themeColor="text1"/>
        </w:rPr>
        <w:t xml:space="preserve">. </w:t>
      </w:r>
      <w:r w:rsidRPr="008248DE">
        <w:rPr>
          <w:rFonts w:eastAsiaTheme="minorHAnsi"/>
          <w:color w:val="000000" w:themeColor="text1"/>
        </w:rPr>
        <w:t>Conforme verificado durante do exercício de 2021, apesar de não ser imune aos efeitos da crise, as receitas de linhas importantes, como: Vida, Rural e Previdência cresceram em relação a 2020.</w:t>
      </w:r>
    </w:p>
    <w:p w14:paraId="03557C64" w14:textId="77777777" w:rsidR="007D1BF4" w:rsidRDefault="007D1BF4" w:rsidP="005C44AA">
      <w:pPr>
        <w:pStyle w:val="05-Textonormal"/>
      </w:pPr>
      <w:bookmarkStart w:id="61" w:name="_Hlk54269559"/>
      <w:bookmarkEnd w:id="50"/>
      <w:bookmarkEnd w:id="51"/>
      <w:r>
        <w:t>F</w:t>
      </w:r>
      <w:r w:rsidRPr="00841C7E">
        <w:t>atores positivos das características</w:t>
      </w:r>
      <w:r w:rsidRPr="00291271">
        <w:t xml:space="preserve"> da operação do Grupo como: a </w:t>
      </w:r>
      <w:r>
        <w:t xml:space="preserve">baixa </w:t>
      </w:r>
      <w:r w:rsidRPr="00FC66E0">
        <w:t>sensibilidade dos seguros rurais aos efeitos causados pela pandemia, a estabilidade do saldo das reservas de previdência e capitalização</w:t>
      </w:r>
      <w:r>
        <w:t xml:space="preserve"> e</w:t>
      </w:r>
      <w:r w:rsidRPr="00FC66E0">
        <w:t xml:space="preserve"> o conservadorismo adotado na alocação dos ativos financeiros das empresas do conglomerado colaboram para que os impactos da pandemia nos negócios não sejam tão severos como em outras indústrias</w:t>
      </w:r>
      <w:r>
        <w:t>.</w:t>
      </w:r>
      <w:bookmarkEnd w:id="61"/>
    </w:p>
    <w:p w14:paraId="0191B1C5" w14:textId="77777777" w:rsidR="007D1BF4" w:rsidRDefault="007D1BF4" w:rsidP="005C44AA">
      <w:pPr>
        <w:pStyle w:val="05-Textonormal"/>
      </w:pPr>
      <w:bookmarkStart w:id="62" w:name="_Hlk94020503"/>
      <w:r>
        <w:t>Em relação ao</w:t>
      </w:r>
      <w:r w:rsidRPr="00415AE5">
        <w:t xml:space="preserve"> 4T21</w:t>
      </w:r>
      <w:r>
        <w:t>,</w:t>
      </w:r>
      <w:r w:rsidRPr="00415AE5">
        <w:t xml:space="preserve"> </w:t>
      </w:r>
      <w:r>
        <w:t xml:space="preserve">verifica-se </w:t>
      </w:r>
      <w:r w:rsidRPr="00415AE5">
        <w:t xml:space="preserve">uma redução relevante dos efeitos adversos da pandemia comparados aos nove primeiros meses do ano, como menores níveis de sinistralidade relacionados às coberturas de vida e inflação medida pelo IGP-M. Não foram identificados indícios de novos fatores relacionados à pandemia e seus efeitos adversos que comprometam a estrutura de capital, nem a necessidade de interrupção do pagamento de dividendos por parte da BB Seguridade. </w:t>
      </w:r>
    </w:p>
    <w:bookmarkEnd w:id="62"/>
    <w:p w14:paraId="4D5D70D6" w14:textId="77777777" w:rsidR="007D1BF4" w:rsidRDefault="007D1BF4" w:rsidP="00B945F5">
      <w:pPr>
        <w:pStyle w:val="05-Textonormal"/>
      </w:pPr>
      <w:r>
        <w:t xml:space="preserve">A BB Seguridade e as demais companhias investidas mantêm o compromisso de eficiência na gestão do seu capital, o que significa que, na ausência de investimentos estratégicos ou financeiros com retorno acima do custo de capital, a retenção de resultados se dará apenas na proporção necessária para manter níveis adequados de liquidez que suportem suas operações e garantam patamares de solvência adequados sob o aspecto regulatório e de apetite a risco de cada companhia. </w:t>
      </w:r>
      <w:r w:rsidRPr="00884A27">
        <w:t>Não há necessidade de revisão da política de dividendos, bem como não há expectativa de alteração relevante nas práticas de distribuição de resultados adotadas atualmente.</w:t>
      </w:r>
    </w:p>
    <w:p w14:paraId="14BEAA45" w14:textId="77777777" w:rsidR="007D1BF4" w:rsidRDefault="007D1BF4" w:rsidP="005C44AA">
      <w:pPr>
        <w:pStyle w:val="05-Textonormal"/>
      </w:pPr>
      <w:r>
        <w:t>C</w:t>
      </w:r>
      <w:r w:rsidRPr="00125B60">
        <w:t>onsiderando a natureza atípica do contexto de pandemia de 2020 e 2021, a retenção de capital pode se dar em patamares superiores aos níveis históricos, com tendência de volta aos patamares históricos a partir da normalização da situação.</w:t>
      </w:r>
    </w:p>
    <w:p w14:paraId="61CF811C" w14:textId="357A9366" w:rsidR="00247039" w:rsidRDefault="00247039" w:rsidP="00247039">
      <w:pPr>
        <w:pStyle w:val="02-TtulodeNota"/>
      </w:pPr>
    </w:p>
    <w:p w14:paraId="5A7EFE44" w14:textId="3E1E8FAC" w:rsidR="00725333" w:rsidRPr="00DA74D7" w:rsidRDefault="00725333" w:rsidP="00247039">
      <w:pPr>
        <w:pStyle w:val="02-TtulodeNota"/>
        <w:rPr>
          <w:rFonts w:cs="Arial"/>
          <w:bCs/>
          <w:color w:val="1F4E79" w:themeColor="accent1" w:themeShade="80"/>
        </w:rPr>
      </w:pPr>
      <w:bookmarkStart w:id="63" w:name="OLE_LINK7"/>
      <w:bookmarkStart w:id="64" w:name="_Toc94194762"/>
      <w:bookmarkStart w:id="65" w:name="_Toc94861064"/>
      <w:r>
        <w:rPr>
          <w:color w:val="1F4E79" w:themeColor="accent1" w:themeShade="80"/>
        </w:rPr>
        <w:t xml:space="preserve">6 </w:t>
      </w:r>
      <w:r w:rsidRPr="009A5326">
        <w:rPr>
          <w:color w:val="1F4E79" w:themeColor="accent1" w:themeShade="80"/>
        </w:rPr>
        <w:t xml:space="preserve">– </w:t>
      </w:r>
      <w:r>
        <w:rPr>
          <w:color w:val="1F4E79" w:themeColor="accent1" w:themeShade="80"/>
        </w:rPr>
        <w:t>INFORMAÇÕES POR SEGMENTO</w:t>
      </w:r>
      <w:bookmarkEnd w:id="64"/>
      <w:bookmarkEnd w:id="65"/>
    </w:p>
    <w:p w14:paraId="54ED6080" w14:textId="77777777" w:rsidR="00725333" w:rsidRDefault="00725333" w:rsidP="00424A03">
      <w:pPr>
        <w:pStyle w:val="05-Textonormal"/>
      </w:pPr>
      <w: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319BFA9F" w14:textId="77777777" w:rsidR="00725333" w:rsidRDefault="00725333" w:rsidP="00424A03">
      <w:pPr>
        <w:pStyle w:val="05-Textonormal"/>
      </w:pPr>
      <w:r>
        <w:t>As operações do Grupo BB Seguridade estão divididas basicamente em dois segmentos: i) seguridade (negócios de risco e acumulação), que contempla operações de seguros, previdência aberta, capitalização e assistência odontológica; e ii) corretagem (negócios de distribuição).</w:t>
      </w:r>
    </w:p>
    <w:p w14:paraId="47EA83B9" w14:textId="77777777" w:rsidR="00725333" w:rsidRPr="003E794F" w:rsidRDefault="00725333" w:rsidP="00424A03">
      <w:pPr>
        <w:pStyle w:val="01-TtulodeNota"/>
        <w:rPr>
          <w:color w:val="1F4E79" w:themeColor="accent1" w:themeShade="80"/>
          <w:sz w:val="18"/>
        </w:rPr>
      </w:pPr>
      <w:r w:rsidRPr="003E794F">
        <w:rPr>
          <w:color w:val="1F4E79" w:themeColor="accent1" w:themeShade="80"/>
          <w:sz w:val="18"/>
        </w:rPr>
        <w:t>a) Segmento Seguridade</w:t>
      </w:r>
    </w:p>
    <w:p w14:paraId="0ACC2182" w14:textId="77777777" w:rsidR="00725333" w:rsidRDefault="00725333" w:rsidP="00424A03">
      <w:pPr>
        <w:pStyle w:val="05-Textonormal"/>
      </w:pPr>
      <w:r>
        <w:t>Nesse segmento são registrados os resultados oriundos da oferta de produtos e serviços relacionados a seguros de vida, patrimonial, rural, riscos especiais e financeiros, transportes, cascos, habitacional e pessoas, planos de previdência complementar, planos odontológicos e planos de capitalização.</w:t>
      </w:r>
    </w:p>
    <w:p w14:paraId="542E2EC6" w14:textId="77777777" w:rsidR="00725333" w:rsidRDefault="00725333" w:rsidP="00424A03">
      <w:pPr>
        <w:pStyle w:val="05-Textonormal"/>
      </w:pPr>
      <w: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0AC544C4" w14:textId="77777777" w:rsidR="00725333" w:rsidRDefault="00725333" w:rsidP="00424A03">
      <w:pPr>
        <w:pStyle w:val="05-Textonormal"/>
      </w:pPr>
      <w:r>
        <w:t>O registro contábil desses resultados é efetuado por meio de equivalência patrimonial dos investimentos em participações societárias. Na nota explicativa 7 – Investimento em Participações Societárias consta a descrição</w:t>
      </w:r>
      <w:r w:rsidRPr="00CF48B6">
        <w:t xml:space="preserve"> dos Investimentos em Participações Societárias, por Segmento </w:t>
      </w:r>
      <w:r>
        <w:t>e</w:t>
      </w:r>
      <w:r w:rsidRPr="00CF48B6">
        <w:t xml:space="preserve"> Ramo de Atuação</w:t>
      </w:r>
      <w:r>
        <w:t>.</w:t>
      </w:r>
    </w:p>
    <w:p w14:paraId="4CEBB6B8" w14:textId="77777777" w:rsidR="00725333" w:rsidRPr="003E794F" w:rsidRDefault="00725333" w:rsidP="00424A03">
      <w:pPr>
        <w:pStyle w:val="01-TtulodeNota"/>
        <w:rPr>
          <w:color w:val="1F4E79" w:themeColor="accent1" w:themeShade="80"/>
          <w:sz w:val="18"/>
        </w:rPr>
      </w:pPr>
      <w:r w:rsidRPr="003E794F">
        <w:rPr>
          <w:color w:val="1F4E79" w:themeColor="accent1" w:themeShade="80"/>
          <w:sz w:val="18"/>
        </w:rPr>
        <w:t>b) Segmento Corretagem</w:t>
      </w:r>
    </w:p>
    <w:p w14:paraId="09CD8E6F" w14:textId="77777777" w:rsidR="00725333" w:rsidRDefault="00725333" w:rsidP="00424A03">
      <w:pPr>
        <w:pStyle w:val="05-Textonormal"/>
      </w:pPr>
      <w:r>
        <w:t xml:space="preserve">Nesse segmento são registrados os resultados oriundos das receitas com corretagem e a administração, realização, promoção e viabilização de negócios de seguros dos ramos elementares, vida e capitalização, planos de previdência aberta, planos odontológicos e </w:t>
      </w:r>
      <w:r w:rsidRPr="00CF48B6">
        <w:t>seguro saúde.</w:t>
      </w:r>
      <w:r>
        <w:t xml:space="preserve"> Compreende os valores da BB Corretora e sua investida Ciclic.</w:t>
      </w:r>
    </w:p>
    <w:p w14:paraId="2DDDE6C8" w14:textId="77777777" w:rsidR="00725333" w:rsidRPr="003E794F" w:rsidRDefault="00725333" w:rsidP="00247039">
      <w:pPr>
        <w:pStyle w:val="01-TtulodeNota"/>
        <w:keepNext/>
        <w:keepLines/>
        <w:pageBreakBefore/>
        <w:rPr>
          <w:color w:val="1F4E79" w:themeColor="accent1" w:themeShade="80"/>
          <w:sz w:val="18"/>
        </w:rPr>
      </w:pPr>
      <w:r w:rsidRPr="003E794F">
        <w:rPr>
          <w:color w:val="1F4E79" w:themeColor="accent1" w:themeShade="80"/>
          <w:sz w:val="18"/>
        </w:rPr>
        <w:lastRenderedPageBreak/>
        <w:t>c) Demonstração do Resultado por Segmento</w:t>
      </w:r>
    </w:p>
    <w:p w14:paraId="34EB51CF" w14:textId="77777777" w:rsidR="00725333" w:rsidRPr="008D3175" w:rsidRDefault="00725333" w:rsidP="00E45E8E">
      <w:pPr>
        <w:spacing w:after="0"/>
        <w:jc w:val="right"/>
        <w:rPr>
          <w:rFonts w:cs="Arial"/>
          <w:b/>
          <w:sz w:val="14"/>
          <w:szCs w:val="18"/>
        </w:rPr>
      </w:pPr>
      <w:bookmarkStart w:id="66" w:name="OLE_LINK3"/>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725333" w:rsidRPr="00A24524" w14:paraId="3868EE57" w14:textId="77777777" w:rsidTr="004D4157">
        <w:trPr>
          <w:trHeight w:hRule="exact" w:val="283"/>
          <w:jc w:val="center"/>
        </w:trPr>
        <w:tc>
          <w:tcPr>
            <w:tcW w:w="4324" w:type="dxa"/>
            <w:tcBorders>
              <w:top w:val="single" w:sz="2" w:space="0" w:color="1F4E79" w:themeColor="accent1" w:themeShade="80"/>
            </w:tcBorders>
            <w:shd w:val="clear" w:color="auto" w:fill="auto"/>
          </w:tcPr>
          <w:p w14:paraId="42AE5328" w14:textId="77777777" w:rsidR="00725333" w:rsidRPr="00A24524" w:rsidRDefault="00725333" w:rsidP="0014166F">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34B90105" w14:textId="77777777" w:rsidR="00725333" w:rsidRPr="00A24524" w:rsidRDefault="00725333" w:rsidP="004D4157">
            <w:pPr>
              <w:spacing w:after="0"/>
              <w:jc w:val="center"/>
              <w:rPr>
                <w:rFonts w:cs="Arial"/>
                <w:b/>
                <w:szCs w:val="18"/>
              </w:rPr>
            </w:pPr>
            <w:r>
              <w:rPr>
                <w:rFonts w:cs="Arial"/>
                <w:b/>
                <w:sz w:val="14"/>
                <w:szCs w:val="18"/>
              </w:rPr>
              <w:t>Exercício 2021</w:t>
            </w:r>
          </w:p>
        </w:tc>
      </w:tr>
      <w:tr w:rsidR="00725333" w:rsidRPr="001D6BE8" w14:paraId="1DC44D96" w14:textId="77777777" w:rsidTr="004D4157">
        <w:trPr>
          <w:trHeight w:hRule="exact" w:val="436"/>
          <w:jc w:val="center"/>
        </w:trPr>
        <w:tc>
          <w:tcPr>
            <w:tcW w:w="4324" w:type="dxa"/>
            <w:tcBorders>
              <w:bottom w:val="single" w:sz="2" w:space="0" w:color="1F4E79" w:themeColor="accent1" w:themeShade="80"/>
            </w:tcBorders>
            <w:shd w:val="clear" w:color="auto" w:fill="auto"/>
          </w:tcPr>
          <w:p w14:paraId="2C8C4B0F" w14:textId="77777777" w:rsidR="00725333" w:rsidRPr="001D6BE8" w:rsidRDefault="00725333" w:rsidP="0014166F">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1D2854EB" w14:textId="77777777" w:rsidR="00725333" w:rsidRPr="00A24524" w:rsidRDefault="00725333" w:rsidP="004D4157">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2F4E8660" w14:textId="77777777" w:rsidR="00725333" w:rsidRPr="00A24524" w:rsidRDefault="00725333" w:rsidP="004D4157">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7285E3E5" w14:textId="77777777" w:rsidR="00725333" w:rsidRPr="00A24524" w:rsidRDefault="00725333" w:rsidP="004D4157">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1584ABED" w14:textId="77777777" w:rsidR="00725333" w:rsidRPr="00A24524" w:rsidRDefault="00725333" w:rsidP="004D4157">
            <w:pPr>
              <w:pStyle w:val="08-Tabelageral"/>
              <w:jc w:val="center"/>
              <w:rPr>
                <w:rFonts w:cs="Arial"/>
                <w:b/>
              </w:rPr>
            </w:pPr>
            <w:r w:rsidRPr="00A24524">
              <w:rPr>
                <w:rFonts w:cs="Arial"/>
                <w:b/>
              </w:rPr>
              <w:t>Total</w:t>
            </w:r>
          </w:p>
        </w:tc>
      </w:tr>
      <w:tr w:rsidR="00725333" w:rsidRPr="00C97D95" w14:paraId="06FBF113" w14:textId="77777777" w:rsidTr="004D4157">
        <w:trPr>
          <w:trHeight w:val="238"/>
          <w:jc w:val="center"/>
        </w:trPr>
        <w:tc>
          <w:tcPr>
            <w:tcW w:w="4324" w:type="dxa"/>
            <w:tcBorders>
              <w:top w:val="single" w:sz="2" w:space="0" w:color="1F4E79" w:themeColor="accent1" w:themeShade="80"/>
            </w:tcBorders>
            <w:shd w:val="clear" w:color="auto" w:fill="auto"/>
          </w:tcPr>
          <w:p w14:paraId="0EE12699" w14:textId="77777777" w:rsidR="00725333" w:rsidRPr="00C97D95" w:rsidRDefault="00725333" w:rsidP="00426139">
            <w:pPr>
              <w:pStyle w:val="08-Tabelageral"/>
              <w:jc w:val="left"/>
              <w:rPr>
                <w:rFonts w:cs="Arial"/>
                <w:b/>
                <w:szCs w:val="14"/>
              </w:rPr>
            </w:pPr>
            <w:r w:rsidRPr="00C97D95">
              <w:rPr>
                <w:rFonts w:cs="Arial"/>
                <w:b/>
                <w:szCs w:val="14"/>
              </w:rPr>
              <w:t>Receitas Operacionais</w:t>
            </w:r>
          </w:p>
        </w:tc>
        <w:tc>
          <w:tcPr>
            <w:tcW w:w="1328" w:type="dxa"/>
            <w:tcBorders>
              <w:top w:val="single" w:sz="2" w:space="0" w:color="1F4E79" w:themeColor="accent1" w:themeShade="80"/>
            </w:tcBorders>
            <w:shd w:val="clear" w:color="auto" w:fill="auto"/>
          </w:tcPr>
          <w:p w14:paraId="6E926A69" w14:textId="77777777" w:rsidR="00725333" w:rsidRPr="00426139" w:rsidRDefault="00725333" w:rsidP="00426139">
            <w:pPr>
              <w:pStyle w:val="08-Tabelageral"/>
              <w:rPr>
                <w:b/>
                <w:bCs/>
              </w:rPr>
            </w:pPr>
            <w:r w:rsidRPr="00426139">
              <w:rPr>
                <w:b/>
                <w:bCs/>
              </w:rPr>
              <w:t>5.766.581</w:t>
            </w:r>
          </w:p>
        </w:tc>
        <w:tc>
          <w:tcPr>
            <w:tcW w:w="1329" w:type="dxa"/>
            <w:tcBorders>
              <w:top w:val="single" w:sz="2" w:space="0" w:color="1F4E79" w:themeColor="accent1" w:themeShade="80"/>
            </w:tcBorders>
            <w:shd w:val="clear" w:color="auto" w:fill="auto"/>
          </w:tcPr>
          <w:p w14:paraId="02092C25" w14:textId="77777777" w:rsidR="00725333" w:rsidRPr="00426139" w:rsidRDefault="00725333" w:rsidP="00426139">
            <w:pPr>
              <w:pStyle w:val="08-Tabelageral"/>
              <w:rPr>
                <w:b/>
                <w:bCs/>
              </w:rPr>
            </w:pPr>
            <w:r w:rsidRPr="00426139">
              <w:rPr>
                <w:b/>
                <w:bCs/>
              </w:rPr>
              <w:t>3.482.953</w:t>
            </w:r>
          </w:p>
        </w:tc>
        <w:tc>
          <w:tcPr>
            <w:tcW w:w="1329" w:type="dxa"/>
            <w:tcBorders>
              <w:top w:val="single" w:sz="2" w:space="0" w:color="1F4E79" w:themeColor="accent1" w:themeShade="80"/>
            </w:tcBorders>
            <w:shd w:val="clear" w:color="auto" w:fill="auto"/>
          </w:tcPr>
          <w:p w14:paraId="34EF2D6E" w14:textId="77777777" w:rsidR="00725333" w:rsidRPr="00426139" w:rsidRDefault="00725333" w:rsidP="00426139">
            <w:pPr>
              <w:pStyle w:val="08-Tabelageral"/>
              <w:rPr>
                <w:b/>
                <w:bCs/>
              </w:rPr>
            </w:pPr>
            <w:r w:rsidRPr="00426139">
              <w:rPr>
                <w:b/>
                <w:bCs/>
              </w:rPr>
              <w:t>(3.923.593)</w:t>
            </w:r>
          </w:p>
        </w:tc>
        <w:tc>
          <w:tcPr>
            <w:tcW w:w="1329" w:type="dxa"/>
            <w:tcBorders>
              <w:top w:val="single" w:sz="2" w:space="0" w:color="1F4E79" w:themeColor="accent1" w:themeShade="80"/>
            </w:tcBorders>
            <w:shd w:val="clear" w:color="auto" w:fill="auto"/>
          </w:tcPr>
          <w:p w14:paraId="56AEB253" w14:textId="77777777" w:rsidR="00725333" w:rsidRPr="00426139" w:rsidRDefault="00725333" w:rsidP="00426139">
            <w:pPr>
              <w:pStyle w:val="08-Tabelageral"/>
              <w:rPr>
                <w:b/>
                <w:bCs/>
              </w:rPr>
            </w:pPr>
            <w:r w:rsidRPr="00426139">
              <w:rPr>
                <w:b/>
                <w:bCs/>
              </w:rPr>
              <w:t>5.325.941</w:t>
            </w:r>
          </w:p>
        </w:tc>
      </w:tr>
      <w:tr w:rsidR="00725333" w:rsidRPr="001D6BE8" w14:paraId="7B78F619" w14:textId="77777777" w:rsidTr="004D4157">
        <w:trPr>
          <w:trHeight w:val="238"/>
          <w:jc w:val="center"/>
        </w:trPr>
        <w:tc>
          <w:tcPr>
            <w:tcW w:w="4324" w:type="dxa"/>
            <w:shd w:val="clear" w:color="auto" w:fill="auto"/>
          </w:tcPr>
          <w:p w14:paraId="0A5C0DFE" w14:textId="77777777" w:rsidR="00725333" w:rsidRPr="00C806B0" w:rsidRDefault="00725333" w:rsidP="00426139">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tcPr>
          <w:p w14:paraId="08918392" w14:textId="77777777" w:rsidR="00725333" w:rsidRPr="00651800" w:rsidRDefault="00725333" w:rsidP="00426139">
            <w:pPr>
              <w:pStyle w:val="08-Tabelageral"/>
            </w:pPr>
            <w:r w:rsidRPr="00EB1CA0">
              <w:t>5.766.581</w:t>
            </w:r>
          </w:p>
        </w:tc>
        <w:tc>
          <w:tcPr>
            <w:tcW w:w="1329" w:type="dxa"/>
            <w:shd w:val="clear" w:color="auto" w:fill="auto"/>
          </w:tcPr>
          <w:p w14:paraId="517137A7" w14:textId="77777777" w:rsidR="00725333" w:rsidRPr="00651800" w:rsidRDefault="00725333" w:rsidP="00426139">
            <w:pPr>
              <w:pStyle w:val="08-Tabelageral"/>
            </w:pPr>
            <w:r w:rsidRPr="00C166D7">
              <w:t>(12.633)</w:t>
            </w:r>
          </w:p>
        </w:tc>
        <w:tc>
          <w:tcPr>
            <w:tcW w:w="1329" w:type="dxa"/>
            <w:shd w:val="clear" w:color="auto" w:fill="auto"/>
          </w:tcPr>
          <w:p w14:paraId="7F70E3AC" w14:textId="77777777" w:rsidR="00725333" w:rsidRPr="00651800" w:rsidRDefault="00725333" w:rsidP="00426139">
            <w:pPr>
              <w:pStyle w:val="08-Tabelageral"/>
            </w:pPr>
            <w:r w:rsidRPr="00F72C73">
              <w:t>(3.923.593)</w:t>
            </w:r>
          </w:p>
        </w:tc>
        <w:tc>
          <w:tcPr>
            <w:tcW w:w="1329" w:type="dxa"/>
            <w:shd w:val="clear" w:color="auto" w:fill="auto"/>
          </w:tcPr>
          <w:p w14:paraId="28DB2DCE" w14:textId="77777777" w:rsidR="00725333" w:rsidRPr="00651800" w:rsidRDefault="00725333" w:rsidP="00426139">
            <w:pPr>
              <w:pStyle w:val="08-Tabelageral"/>
            </w:pPr>
            <w:r w:rsidRPr="003C1107">
              <w:t>1.830.355</w:t>
            </w:r>
          </w:p>
        </w:tc>
      </w:tr>
      <w:tr w:rsidR="00725333" w:rsidRPr="001D6BE8" w14:paraId="4350C80A" w14:textId="77777777" w:rsidTr="004D4157">
        <w:trPr>
          <w:trHeight w:val="238"/>
          <w:jc w:val="center"/>
        </w:trPr>
        <w:tc>
          <w:tcPr>
            <w:tcW w:w="4324" w:type="dxa"/>
            <w:shd w:val="clear" w:color="auto" w:fill="auto"/>
          </w:tcPr>
          <w:p w14:paraId="6A861B1C" w14:textId="77777777" w:rsidR="00725333" w:rsidRPr="00C806B0" w:rsidRDefault="00725333" w:rsidP="00426139">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tcPr>
          <w:p w14:paraId="35CAEF18" w14:textId="77777777" w:rsidR="00725333" w:rsidRPr="00651800" w:rsidRDefault="00725333" w:rsidP="00426139">
            <w:pPr>
              <w:pStyle w:val="08-Tabelageral"/>
            </w:pPr>
            <w:r w:rsidRPr="00EB1CA0">
              <w:t>--</w:t>
            </w:r>
          </w:p>
        </w:tc>
        <w:tc>
          <w:tcPr>
            <w:tcW w:w="1329" w:type="dxa"/>
            <w:shd w:val="clear" w:color="auto" w:fill="auto"/>
          </w:tcPr>
          <w:p w14:paraId="4543311A" w14:textId="77777777" w:rsidR="00725333" w:rsidRPr="00651800" w:rsidRDefault="00725333" w:rsidP="00426139">
            <w:pPr>
              <w:pStyle w:val="08-Tabelageral"/>
            </w:pPr>
            <w:r w:rsidRPr="00C166D7">
              <w:t>3.495.586</w:t>
            </w:r>
          </w:p>
        </w:tc>
        <w:tc>
          <w:tcPr>
            <w:tcW w:w="1329" w:type="dxa"/>
            <w:shd w:val="clear" w:color="auto" w:fill="auto"/>
          </w:tcPr>
          <w:p w14:paraId="3DBF93ED" w14:textId="77777777" w:rsidR="00725333" w:rsidRPr="00651800" w:rsidRDefault="00725333" w:rsidP="00426139">
            <w:pPr>
              <w:pStyle w:val="08-Tabelageral"/>
            </w:pPr>
            <w:r w:rsidRPr="00F72C73">
              <w:t>--</w:t>
            </w:r>
          </w:p>
        </w:tc>
        <w:tc>
          <w:tcPr>
            <w:tcW w:w="1329" w:type="dxa"/>
            <w:shd w:val="clear" w:color="auto" w:fill="auto"/>
          </w:tcPr>
          <w:p w14:paraId="799AD0FF" w14:textId="77777777" w:rsidR="00725333" w:rsidRPr="00651800" w:rsidRDefault="00725333" w:rsidP="00426139">
            <w:pPr>
              <w:pStyle w:val="08-Tabelageral"/>
            </w:pPr>
            <w:r w:rsidRPr="003C1107">
              <w:t>3.495.586</w:t>
            </w:r>
          </w:p>
        </w:tc>
      </w:tr>
      <w:tr w:rsidR="00725333" w:rsidRPr="00C97D95" w14:paraId="7BAA68B1" w14:textId="77777777" w:rsidTr="004D4157">
        <w:trPr>
          <w:trHeight w:val="238"/>
          <w:jc w:val="center"/>
        </w:trPr>
        <w:tc>
          <w:tcPr>
            <w:tcW w:w="4324" w:type="dxa"/>
            <w:shd w:val="clear" w:color="auto" w:fill="auto"/>
          </w:tcPr>
          <w:p w14:paraId="0D16F5C9" w14:textId="77777777" w:rsidR="00725333" w:rsidRPr="00C97D95" w:rsidRDefault="00725333" w:rsidP="00426139">
            <w:pPr>
              <w:pStyle w:val="08-Tabelageral"/>
              <w:jc w:val="left"/>
              <w:rPr>
                <w:rFonts w:cs="Arial"/>
                <w:b/>
                <w:szCs w:val="14"/>
              </w:rPr>
            </w:pPr>
            <w:r w:rsidRPr="00C97D95">
              <w:rPr>
                <w:rFonts w:cs="Arial"/>
                <w:b/>
                <w:szCs w:val="14"/>
              </w:rPr>
              <w:t>Custo dos Serviços Prestados</w:t>
            </w:r>
          </w:p>
        </w:tc>
        <w:tc>
          <w:tcPr>
            <w:tcW w:w="1328" w:type="dxa"/>
            <w:shd w:val="clear" w:color="auto" w:fill="auto"/>
          </w:tcPr>
          <w:p w14:paraId="44DFE4CE" w14:textId="77777777" w:rsidR="00725333" w:rsidRPr="00426139" w:rsidRDefault="00725333" w:rsidP="00426139">
            <w:pPr>
              <w:pStyle w:val="08-Tabelageral"/>
              <w:rPr>
                <w:b/>
                <w:bCs/>
              </w:rPr>
            </w:pPr>
            <w:r w:rsidRPr="00426139">
              <w:rPr>
                <w:b/>
                <w:bCs/>
              </w:rPr>
              <w:t>--</w:t>
            </w:r>
          </w:p>
        </w:tc>
        <w:tc>
          <w:tcPr>
            <w:tcW w:w="1329" w:type="dxa"/>
            <w:shd w:val="clear" w:color="auto" w:fill="auto"/>
          </w:tcPr>
          <w:p w14:paraId="5C5982EF" w14:textId="77777777" w:rsidR="00725333" w:rsidRPr="00426139" w:rsidRDefault="00725333" w:rsidP="00426139">
            <w:pPr>
              <w:pStyle w:val="08-Tabelageral"/>
              <w:rPr>
                <w:b/>
                <w:bCs/>
              </w:rPr>
            </w:pPr>
            <w:r w:rsidRPr="00426139">
              <w:rPr>
                <w:b/>
                <w:bCs/>
              </w:rPr>
              <w:t>(193.830)</w:t>
            </w:r>
          </w:p>
        </w:tc>
        <w:tc>
          <w:tcPr>
            <w:tcW w:w="1329" w:type="dxa"/>
            <w:shd w:val="clear" w:color="auto" w:fill="auto"/>
          </w:tcPr>
          <w:p w14:paraId="7100EB54" w14:textId="77777777" w:rsidR="00725333" w:rsidRPr="00426139" w:rsidRDefault="00725333" w:rsidP="00426139">
            <w:pPr>
              <w:pStyle w:val="08-Tabelageral"/>
              <w:rPr>
                <w:b/>
                <w:bCs/>
              </w:rPr>
            </w:pPr>
            <w:r w:rsidRPr="00426139">
              <w:rPr>
                <w:b/>
                <w:bCs/>
              </w:rPr>
              <w:t>--</w:t>
            </w:r>
          </w:p>
        </w:tc>
        <w:tc>
          <w:tcPr>
            <w:tcW w:w="1329" w:type="dxa"/>
            <w:shd w:val="clear" w:color="auto" w:fill="auto"/>
          </w:tcPr>
          <w:p w14:paraId="4B50F3EB" w14:textId="77777777" w:rsidR="00725333" w:rsidRPr="00426139" w:rsidRDefault="00725333" w:rsidP="00426139">
            <w:pPr>
              <w:pStyle w:val="08-Tabelageral"/>
              <w:rPr>
                <w:b/>
                <w:bCs/>
              </w:rPr>
            </w:pPr>
            <w:r w:rsidRPr="00426139">
              <w:rPr>
                <w:b/>
                <w:bCs/>
              </w:rPr>
              <w:t>(193.830)</w:t>
            </w:r>
          </w:p>
        </w:tc>
      </w:tr>
      <w:tr w:rsidR="00725333" w:rsidRPr="00C97D95" w14:paraId="5646563D" w14:textId="77777777" w:rsidTr="004D4157">
        <w:trPr>
          <w:trHeight w:val="238"/>
          <w:jc w:val="center"/>
        </w:trPr>
        <w:tc>
          <w:tcPr>
            <w:tcW w:w="4324" w:type="dxa"/>
            <w:shd w:val="clear" w:color="auto" w:fill="auto"/>
          </w:tcPr>
          <w:p w14:paraId="537F44D6" w14:textId="77777777" w:rsidR="00725333" w:rsidRPr="00C97D95" w:rsidRDefault="00725333" w:rsidP="00426139">
            <w:pPr>
              <w:pStyle w:val="08-Tabelageral"/>
              <w:jc w:val="left"/>
              <w:rPr>
                <w:rFonts w:cs="Arial"/>
                <w:b/>
                <w:szCs w:val="14"/>
              </w:rPr>
            </w:pPr>
            <w:r w:rsidRPr="00C97D95">
              <w:rPr>
                <w:rFonts w:cs="Arial"/>
                <w:b/>
                <w:szCs w:val="14"/>
              </w:rPr>
              <w:t>Resultado Bruto</w:t>
            </w:r>
          </w:p>
        </w:tc>
        <w:tc>
          <w:tcPr>
            <w:tcW w:w="1328" w:type="dxa"/>
            <w:shd w:val="clear" w:color="auto" w:fill="auto"/>
          </w:tcPr>
          <w:p w14:paraId="5480AD5E" w14:textId="77777777" w:rsidR="00725333" w:rsidRPr="00426139" w:rsidRDefault="00725333" w:rsidP="00426139">
            <w:pPr>
              <w:pStyle w:val="08-Tabelageral"/>
              <w:rPr>
                <w:b/>
                <w:bCs/>
              </w:rPr>
            </w:pPr>
            <w:r w:rsidRPr="00426139">
              <w:rPr>
                <w:b/>
                <w:bCs/>
              </w:rPr>
              <w:t>5.766.581</w:t>
            </w:r>
          </w:p>
        </w:tc>
        <w:tc>
          <w:tcPr>
            <w:tcW w:w="1329" w:type="dxa"/>
            <w:shd w:val="clear" w:color="auto" w:fill="auto"/>
          </w:tcPr>
          <w:p w14:paraId="6787D101" w14:textId="77777777" w:rsidR="00725333" w:rsidRPr="00426139" w:rsidRDefault="00725333" w:rsidP="00426139">
            <w:pPr>
              <w:pStyle w:val="08-Tabelageral"/>
              <w:rPr>
                <w:b/>
                <w:bCs/>
              </w:rPr>
            </w:pPr>
            <w:r w:rsidRPr="00426139">
              <w:rPr>
                <w:b/>
                <w:bCs/>
              </w:rPr>
              <w:t>3.289.123</w:t>
            </w:r>
          </w:p>
        </w:tc>
        <w:tc>
          <w:tcPr>
            <w:tcW w:w="1329" w:type="dxa"/>
            <w:shd w:val="clear" w:color="auto" w:fill="auto"/>
          </w:tcPr>
          <w:p w14:paraId="6069F5BE" w14:textId="77777777" w:rsidR="00725333" w:rsidRPr="00426139" w:rsidRDefault="00725333" w:rsidP="00426139">
            <w:pPr>
              <w:pStyle w:val="08-Tabelageral"/>
              <w:rPr>
                <w:b/>
                <w:bCs/>
              </w:rPr>
            </w:pPr>
            <w:r w:rsidRPr="00426139">
              <w:rPr>
                <w:b/>
                <w:bCs/>
              </w:rPr>
              <w:t>(3.923.593)</w:t>
            </w:r>
          </w:p>
        </w:tc>
        <w:tc>
          <w:tcPr>
            <w:tcW w:w="1329" w:type="dxa"/>
            <w:shd w:val="clear" w:color="auto" w:fill="auto"/>
          </w:tcPr>
          <w:p w14:paraId="5C0566D1" w14:textId="77777777" w:rsidR="00725333" w:rsidRPr="00426139" w:rsidRDefault="00725333" w:rsidP="00426139">
            <w:pPr>
              <w:pStyle w:val="08-Tabelageral"/>
              <w:rPr>
                <w:b/>
                <w:bCs/>
              </w:rPr>
            </w:pPr>
            <w:r w:rsidRPr="00426139">
              <w:rPr>
                <w:b/>
                <w:bCs/>
              </w:rPr>
              <w:t>5.132.111</w:t>
            </w:r>
          </w:p>
        </w:tc>
      </w:tr>
      <w:tr w:rsidR="00725333" w:rsidRPr="00C97D95" w14:paraId="0D3F2715" w14:textId="77777777" w:rsidTr="004D4157">
        <w:trPr>
          <w:trHeight w:val="238"/>
          <w:jc w:val="center"/>
        </w:trPr>
        <w:tc>
          <w:tcPr>
            <w:tcW w:w="4324" w:type="dxa"/>
            <w:shd w:val="clear" w:color="auto" w:fill="auto"/>
          </w:tcPr>
          <w:p w14:paraId="636734BB" w14:textId="77777777" w:rsidR="00725333" w:rsidRPr="00C97D95" w:rsidRDefault="00725333" w:rsidP="00426139">
            <w:pPr>
              <w:pStyle w:val="08-Tabelageral"/>
              <w:jc w:val="left"/>
              <w:rPr>
                <w:rFonts w:cs="Arial"/>
                <w:b/>
                <w:szCs w:val="14"/>
              </w:rPr>
            </w:pPr>
            <w:r w:rsidRPr="00C97D95">
              <w:rPr>
                <w:rFonts w:cs="Arial"/>
                <w:b/>
                <w:szCs w:val="14"/>
              </w:rPr>
              <w:t>Outras Receitas e Despesas</w:t>
            </w:r>
          </w:p>
        </w:tc>
        <w:tc>
          <w:tcPr>
            <w:tcW w:w="1328" w:type="dxa"/>
            <w:shd w:val="clear" w:color="auto" w:fill="auto"/>
          </w:tcPr>
          <w:p w14:paraId="095ECA38" w14:textId="77777777" w:rsidR="00725333" w:rsidRPr="00426139" w:rsidRDefault="00725333" w:rsidP="00426139">
            <w:pPr>
              <w:pStyle w:val="08-Tabelageral"/>
              <w:rPr>
                <w:b/>
                <w:bCs/>
              </w:rPr>
            </w:pPr>
            <w:r w:rsidRPr="00426139">
              <w:rPr>
                <w:b/>
                <w:bCs/>
              </w:rPr>
              <w:t>(61.507)</w:t>
            </w:r>
          </w:p>
        </w:tc>
        <w:tc>
          <w:tcPr>
            <w:tcW w:w="1329" w:type="dxa"/>
            <w:shd w:val="clear" w:color="auto" w:fill="auto"/>
          </w:tcPr>
          <w:p w14:paraId="1480897C" w14:textId="77777777" w:rsidR="00725333" w:rsidRPr="00426139" w:rsidRDefault="00725333" w:rsidP="00426139">
            <w:pPr>
              <w:pStyle w:val="08-Tabelageral"/>
              <w:rPr>
                <w:b/>
                <w:bCs/>
              </w:rPr>
            </w:pPr>
            <w:r w:rsidRPr="00426139">
              <w:rPr>
                <w:b/>
                <w:bCs/>
              </w:rPr>
              <w:t>(138.404)</w:t>
            </w:r>
          </w:p>
        </w:tc>
        <w:tc>
          <w:tcPr>
            <w:tcW w:w="1329" w:type="dxa"/>
            <w:shd w:val="clear" w:color="auto" w:fill="auto"/>
          </w:tcPr>
          <w:p w14:paraId="222703EF" w14:textId="77777777" w:rsidR="00725333" w:rsidRPr="00426139" w:rsidRDefault="00725333" w:rsidP="00426139">
            <w:pPr>
              <w:pStyle w:val="08-Tabelageral"/>
              <w:rPr>
                <w:b/>
                <w:bCs/>
              </w:rPr>
            </w:pPr>
            <w:r w:rsidRPr="00426139">
              <w:rPr>
                <w:b/>
                <w:bCs/>
              </w:rPr>
              <w:t>--</w:t>
            </w:r>
          </w:p>
        </w:tc>
        <w:tc>
          <w:tcPr>
            <w:tcW w:w="1329" w:type="dxa"/>
            <w:shd w:val="clear" w:color="auto" w:fill="auto"/>
          </w:tcPr>
          <w:p w14:paraId="4DCEAFE8" w14:textId="77777777" w:rsidR="00725333" w:rsidRPr="00426139" w:rsidRDefault="00725333" w:rsidP="00426139">
            <w:pPr>
              <w:pStyle w:val="08-Tabelageral"/>
              <w:rPr>
                <w:b/>
                <w:bCs/>
              </w:rPr>
            </w:pPr>
            <w:r w:rsidRPr="00426139">
              <w:rPr>
                <w:b/>
                <w:bCs/>
              </w:rPr>
              <w:t>(199.911)</w:t>
            </w:r>
          </w:p>
        </w:tc>
      </w:tr>
      <w:tr w:rsidR="00725333" w:rsidRPr="001D6BE8" w14:paraId="77B3435B" w14:textId="77777777" w:rsidTr="004D4157">
        <w:trPr>
          <w:trHeight w:val="238"/>
          <w:jc w:val="center"/>
        </w:trPr>
        <w:tc>
          <w:tcPr>
            <w:tcW w:w="4324" w:type="dxa"/>
            <w:shd w:val="clear" w:color="auto" w:fill="auto"/>
          </w:tcPr>
          <w:p w14:paraId="4ACB1543" w14:textId="77777777" w:rsidR="00725333" w:rsidRPr="00C806B0" w:rsidRDefault="00725333" w:rsidP="00426139">
            <w:pPr>
              <w:pStyle w:val="08-Tabelageral"/>
              <w:ind w:left="113"/>
              <w:jc w:val="left"/>
              <w:rPr>
                <w:rFonts w:cs="Arial"/>
                <w:b/>
                <w:szCs w:val="14"/>
              </w:rPr>
            </w:pPr>
            <w:r w:rsidRPr="00C806B0">
              <w:rPr>
                <w:rFonts w:cs="Arial"/>
                <w:szCs w:val="14"/>
              </w:rPr>
              <w:t>Despesas com pessoal</w:t>
            </w:r>
          </w:p>
        </w:tc>
        <w:tc>
          <w:tcPr>
            <w:tcW w:w="1328" w:type="dxa"/>
            <w:shd w:val="clear" w:color="auto" w:fill="auto"/>
          </w:tcPr>
          <w:p w14:paraId="6BFB93DD" w14:textId="77777777" w:rsidR="00725333" w:rsidRPr="00651800" w:rsidRDefault="00725333" w:rsidP="00426139">
            <w:pPr>
              <w:pStyle w:val="08-Tabelageral"/>
            </w:pPr>
            <w:r w:rsidRPr="00EB1CA0">
              <w:t>(20.068)</w:t>
            </w:r>
          </w:p>
        </w:tc>
        <w:tc>
          <w:tcPr>
            <w:tcW w:w="1329" w:type="dxa"/>
            <w:shd w:val="clear" w:color="auto" w:fill="auto"/>
          </w:tcPr>
          <w:p w14:paraId="2D646E09" w14:textId="77777777" w:rsidR="00725333" w:rsidRPr="00651800" w:rsidRDefault="00725333" w:rsidP="00426139">
            <w:pPr>
              <w:pStyle w:val="08-Tabelageral"/>
            </w:pPr>
            <w:r w:rsidRPr="00C166D7">
              <w:t>(43.046)</w:t>
            </w:r>
          </w:p>
        </w:tc>
        <w:tc>
          <w:tcPr>
            <w:tcW w:w="1329" w:type="dxa"/>
            <w:shd w:val="clear" w:color="auto" w:fill="auto"/>
          </w:tcPr>
          <w:p w14:paraId="00DE26B7" w14:textId="77777777" w:rsidR="00725333" w:rsidRPr="00651800" w:rsidRDefault="00725333" w:rsidP="00426139">
            <w:pPr>
              <w:pStyle w:val="08-Tabelageral"/>
            </w:pPr>
            <w:r w:rsidRPr="00F72C73">
              <w:t>--</w:t>
            </w:r>
          </w:p>
        </w:tc>
        <w:tc>
          <w:tcPr>
            <w:tcW w:w="1329" w:type="dxa"/>
            <w:shd w:val="clear" w:color="auto" w:fill="auto"/>
          </w:tcPr>
          <w:p w14:paraId="657FECFB" w14:textId="77777777" w:rsidR="00725333" w:rsidRPr="00651800" w:rsidRDefault="00725333" w:rsidP="00426139">
            <w:pPr>
              <w:pStyle w:val="08-Tabelageral"/>
            </w:pPr>
            <w:r w:rsidRPr="003C1107">
              <w:t>(63.114)</w:t>
            </w:r>
          </w:p>
        </w:tc>
      </w:tr>
      <w:tr w:rsidR="00725333" w:rsidRPr="001D6BE8" w14:paraId="5B5059B5" w14:textId="77777777" w:rsidTr="004D4157">
        <w:trPr>
          <w:trHeight w:val="238"/>
          <w:jc w:val="center"/>
        </w:trPr>
        <w:tc>
          <w:tcPr>
            <w:tcW w:w="4324" w:type="dxa"/>
            <w:shd w:val="clear" w:color="auto" w:fill="auto"/>
          </w:tcPr>
          <w:p w14:paraId="332BEE20" w14:textId="77777777" w:rsidR="00725333" w:rsidRPr="00C806B0" w:rsidRDefault="00725333" w:rsidP="00426139">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tcPr>
          <w:p w14:paraId="375B030A" w14:textId="77777777" w:rsidR="00725333" w:rsidRPr="00651800" w:rsidRDefault="00725333" w:rsidP="00426139">
            <w:pPr>
              <w:pStyle w:val="08-Tabelageral"/>
            </w:pPr>
            <w:r w:rsidRPr="00EB1CA0">
              <w:t>(5.416)</w:t>
            </w:r>
          </w:p>
        </w:tc>
        <w:tc>
          <w:tcPr>
            <w:tcW w:w="1329" w:type="dxa"/>
            <w:shd w:val="clear" w:color="auto" w:fill="auto"/>
          </w:tcPr>
          <w:p w14:paraId="39906010" w14:textId="77777777" w:rsidR="00725333" w:rsidRPr="00651800" w:rsidRDefault="00725333" w:rsidP="00426139">
            <w:pPr>
              <w:pStyle w:val="08-Tabelageral"/>
            </w:pPr>
            <w:r w:rsidRPr="00C166D7">
              <w:t>(32.850)</w:t>
            </w:r>
          </w:p>
        </w:tc>
        <w:tc>
          <w:tcPr>
            <w:tcW w:w="1329" w:type="dxa"/>
            <w:shd w:val="clear" w:color="auto" w:fill="auto"/>
          </w:tcPr>
          <w:p w14:paraId="72C21FF3" w14:textId="77777777" w:rsidR="00725333" w:rsidRPr="00651800" w:rsidRDefault="00725333" w:rsidP="00426139">
            <w:pPr>
              <w:pStyle w:val="08-Tabelageral"/>
            </w:pPr>
            <w:r w:rsidRPr="00F72C73">
              <w:t>--</w:t>
            </w:r>
          </w:p>
        </w:tc>
        <w:tc>
          <w:tcPr>
            <w:tcW w:w="1329" w:type="dxa"/>
            <w:shd w:val="clear" w:color="auto" w:fill="auto"/>
          </w:tcPr>
          <w:p w14:paraId="1C509AD3" w14:textId="77777777" w:rsidR="00725333" w:rsidRPr="00651800" w:rsidRDefault="00725333" w:rsidP="00426139">
            <w:pPr>
              <w:pStyle w:val="08-Tabelageral"/>
            </w:pPr>
            <w:r w:rsidRPr="003C1107">
              <w:t>(38.266)</w:t>
            </w:r>
          </w:p>
        </w:tc>
      </w:tr>
      <w:tr w:rsidR="00725333" w:rsidRPr="001D6BE8" w14:paraId="7681ABF3" w14:textId="77777777" w:rsidTr="004D4157">
        <w:trPr>
          <w:trHeight w:val="238"/>
          <w:jc w:val="center"/>
        </w:trPr>
        <w:tc>
          <w:tcPr>
            <w:tcW w:w="4324" w:type="dxa"/>
            <w:shd w:val="clear" w:color="auto" w:fill="auto"/>
          </w:tcPr>
          <w:p w14:paraId="348E526A" w14:textId="77777777" w:rsidR="00725333" w:rsidRPr="00C806B0" w:rsidRDefault="00725333" w:rsidP="00426139">
            <w:pPr>
              <w:pStyle w:val="08-Tabelageral"/>
              <w:ind w:left="113"/>
              <w:jc w:val="left"/>
              <w:rPr>
                <w:rFonts w:cs="Arial"/>
                <w:b/>
                <w:szCs w:val="14"/>
              </w:rPr>
            </w:pPr>
            <w:r w:rsidRPr="00C806B0">
              <w:rPr>
                <w:rFonts w:cs="Arial"/>
                <w:szCs w:val="14"/>
              </w:rPr>
              <w:t>Despesas tributárias</w:t>
            </w:r>
          </w:p>
        </w:tc>
        <w:tc>
          <w:tcPr>
            <w:tcW w:w="1328" w:type="dxa"/>
            <w:shd w:val="clear" w:color="auto" w:fill="auto"/>
          </w:tcPr>
          <w:p w14:paraId="52FC884B" w14:textId="77777777" w:rsidR="00725333" w:rsidRPr="00651800" w:rsidRDefault="00725333" w:rsidP="00426139">
            <w:pPr>
              <w:pStyle w:val="08-Tabelageral"/>
            </w:pPr>
            <w:r w:rsidRPr="00EB1CA0">
              <w:t>(17.156)</w:t>
            </w:r>
          </w:p>
        </w:tc>
        <w:tc>
          <w:tcPr>
            <w:tcW w:w="1329" w:type="dxa"/>
            <w:shd w:val="clear" w:color="auto" w:fill="auto"/>
          </w:tcPr>
          <w:p w14:paraId="3D0592A4" w14:textId="77777777" w:rsidR="00725333" w:rsidRPr="00651800" w:rsidRDefault="00725333" w:rsidP="00426139">
            <w:pPr>
              <w:pStyle w:val="08-Tabelageral"/>
            </w:pPr>
            <w:r w:rsidRPr="00C166D7">
              <w:t>(5.495)</w:t>
            </w:r>
          </w:p>
        </w:tc>
        <w:tc>
          <w:tcPr>
            <w:tcW w:w="1329" w:type="dxa"/>
            <w:shd w:val="clear" w:color="auto" w:fill="auto"/>
          </w:tcPr>
          <w:p w14:paraId="19D77EEA" w14:textId="77777777" w:rsidR="00725333" w:rsidRPr="00651800" w:rsidRDefault="00725333" w:rsidP="00426139">
            <w:pPr>
              <w:pStyle w:val="08-Tabelageral"/>
            </w:pPr>
            <w:r w:rsidRPr="00F72C73">
              <w:t>--</w:t>
            </w:r>
          </w:p>
        </w:tc>
        <w:tc>
          <w:tcPr>
            <w:tcW w:w="1329" w:type="dxa"/>
            <w:shd w:val="clear" w:color="auto" w:fill="auto"/>
          </w:tcPr>
          <w:p w14:paraId="7B2C889B" w14:textId="77777777" w:rsidR="00725333" w:rsidRPr="00651800" w:rsidRDefault="00725333" w:rsidP="00426139">
            <w:pPr>
              <w:pStyle w:val="08-Tabelageral"/>
            </w:pPr>
            <w:r w:rsidRPr="003C1107">
              <w:t>(22.651)</w:t>
            </w:r>
          </w:p>
        </w:tc>
      </w:tr>
      <w:tr w:rsidR="00725333" w:rsidRPr="001D6BE8" w14:paraId="47D304C7" w14:textId="77777777" w:rsidTr="004D4157">
        <w:trPr>
          <w:trHeight w:val="238"/>
          <w:jc w:val="center"/>
        </w:trPr>
        <w:tc>
          <w:tcPr>
            <w:tcW w:w="4324" w:type="dxa"/>
            <w:shd w:val="clear" w:color="auto" w:fill="auto"/>
          </w:tcPr>
          <w:p w14:paraId="67AE7D0A" w14:textId="77777777" w:rsidR="00725333" w:rsidRPr="00C806B0" w:rsidRDefault="00725333" w:rsidP="00426139">
            <w:pPr>
              <w:pStyle w:val="08-Tabelageral"/>
              <w:ind w:left="113"/>
              <w:jc w:val="left"/>
              <w:rPr>
                <w:rFonts w:cs="Arial"/>
                <w:b/>
                <w:szCs w:val="14"/>
              </w:rPr>
            </w:pPr>
            <w:r w:rsidRPr="00C806B0">
              <w:rPr>
                <w:rFonts w:cs="Arial"/>
                <w:szCs w:val="14"/>
              </w:rPr>
              <w:t xml:space="preserve">Outras </w:t>
            </w:r>
          </w:p>
        </w:tc>
        <w:tc>
          <w:tcPr>
            <w:tcW w:w="1328" w:type="dxa"/>
            <w:shd w:val="clear" w:color="auto" w:fill="auto"/>
          </w:tcPr>
          <w:p w14:paraId="2BFFDAE6" w14:textId="77777777" w:rsidR="00725333" w:rsidRPr="00651800" w:rsidRDefault="00725333" w:rsidP="00426139">
            <w:pPr>
              <w:pStyle w:val="08-Tabelageral"/>
            </w:pPr>
            <w:r w:rsidRPr="00EB1CA0">
              <w:t>(18.867)</w:t>
            </w:r>
          </w:p>
        </w:tc>
        <w:tc>
          <w:tcPr>
            <w:tcW w:w="1329" w:type="dxa"/>
            <w:shd w:val="clear" w:color="auto" w:fill="auto"/>
          </w:tcPr>
          <w:p w14:paraId="117D8379" w14:textId="77777777" w:rsidR="00725333" w:rsidRPr="00651800" w:rsidRDefault="00725333" w:rsidP="00426139">
            <w:pPr>
              <w:pStyle w:val="08-Tabelageral"/>
            </w:pPr>
            <w:r w:rsidRPr="00C166D7">
              <w:t>(57.013)</w:t>
            </w:r>
          </w:p>
        </w:tc>
        <w:tc>
          <w:tcPr>
            <w:tcW w:w="1329" w:type="dxa"/>
            <w:shd w:val="clear" w:color="auto" w:fill="auto"/>
          </w:tcPr>
          <w:p w14:paraId="17296B3D" w14:textId="77777777" w:rsidR="00725333" w:rsidRPr="00651800" w:rsidRDefault="00725333" w:rsidP="00426139">
            <w:pPr>
              <w:pStyle w:val="08-Tabelageral"/>
            </w:pPr>
            <w:r w:rsidRPr="00F72C73">
              <w:t>--</w:t>
            </w:r>
          </w:p>
        </w:tc>
        <w:tc>
          <w:tcPr>
            <w:tcW w:w="1329" w:type="dxa"/>
            <w:shd w:val="clear" w:color="auto" w:fill="auto"/>
          </w:tcPr>
          <w:p w14:paraId="2B03B211" w14:textId="77777777" w:rsidR="00725333" w:rsidRPr="00651800" w:rsidRDefault="00725333" w:rsidP="00426139">
            <w:pPr>
              <w:pStyle w:val="08-Tabelageral"/>
            </w:pPr>
            <w:r w:rsidRPr="003C1107">
              <w:t>(75.880)</w:t>
            </w:r>
          </w:p>
        </w:tc>
      </w:tr>
      <w:tr w:rsidR="00725333" w:rsidRPr="00C97D95" w14:paraId="6CEB153F" w14:textId="77777777" w:rsidTr="004D4157">
        <w:trPr>
          <w:trHeight w:val="238"/>
          <w:jc w:val="center"/>
        </w:trPr>
        <w:tc>
          <w:tcPr>
            <w:tcW w:w="4324" w:type="dxa"/>
            <w:shd w:val="clear" w:color="auto" w:fill="auto"/>
          </w:tcPr>
          <w:p w14:paraId="056B0E87" w14:textId="77777777" w:rsidR="00725333" w:rsidRPr="00C97D95" w:rsidRDefault="00725333" w:rsidP="00426139">
            <w:pPr>
              <w:pStyle w:val="08-Tabelageral"/>
              <w:jc w:val="left"/>
              <w:rPr>
                <w:rFonts w:cs="Arial"/>
                <w:b/>
                <w:szCs w:val="14"/>
              </w:rPr>
            </w:pPr>
            <w:r w:rsidRPr="00C97D95">
              <w:rPr>
                <w:rFonts w:cs="Arial"/>
                <w:b/>
                <w:szCs w:val="14"/>
              </w:rPr>
              <w:t>Resultado Antes das Receitas e Despesas Financeiras</w:t>
            </w:r>
          </w:p>
        </w:tc>
        <w:tc>
          <w:tcPr>
            <w:tcW w:w="1328" w:type="dxa"/>
            <w:shd w:val="clear" w:color="auto" w:fill="auto"/>
          </w:tcPr>
          <w:p w14:paraId="77190869" w14:textId="77777777" w:rsidR="00725333" w:rsidRPr="00426139" w:rsidRDefault="00725333" w:rsidP="00426139">
            <w:pPr>
              <w:pStyle w:val="08-Tabelageral"/>
              <w:rPr>
                <w:b/>
                <w:bCs/>
              </w:rPr>
            </w:pPr>
            <w:r w:rsidRPr="00426139">
              <w:rPr>
                <w:b/>
                <w:bCs/>
              </w:rPr>
              <w:t>5.705.074</w:t>
            </w:r>
          </w:p>
        </w:tc>
        <w:tc>
          <w:tcPr>
            <w:tcW w:w="1329" w:type="dxa"/>
            <w:shd w:val="clear" w:color="auto" w:fill="auto"/>
          </w:tcPr>
          <w:p w14:paraId="1664AD44" w14:textId="77777777" w:rsidR="00725333" w:rsidRPr="00426139" w:rsidRDefault="00725333" w:rsidP="00426139">
            <w:pPr>
              <w:pStyle w:val="08-Tabelageral"/>
              <w:rPr>
                <w:b/>
                <w:bCs/>
              </w:rPr>
            </w:pPr>
            <w:r w:rsidRPr="00426139">
              <w:rPr>
                <w:b/>
                <w:bCs/>
              </w:rPr>
              <w:t>3.150.719</w:t>
            </w:r>
          </w:p>
        </w:tc>
        <w:tc>
          <w:tcPr>
            <w:tcW w:w="1329" w:type="dxa"/>
            <w:shd w:val="clear" w:color="auto" w:fill="auto"/>
          </w:tcPr>
          <w:p w14:paraId="2F57CCC4" w14:textId="77777777" w:rsidR="00725333" w:rsidRPr="00426139" w:rsidRDefault="00725333" w:rsidP="00426139">
            <w:pPr>
              <w:pStyle w:val="08-Tabelageral"/>
              <w:rPr>
                <w:b/>
                <w:bCs/>
              </w:rPr>
            </w:pPr>
            <w:r w:rsidRPr="00426139">
              <w:rPr>
                <w:b/>
                <w:bCs/>
              </w:rPr>
              <w:t>(3.923.593)</w:t>
            </w:r>
          </w:p>
        </w:tc>
        <w:tc>
          <w:tcPr>
            <w:tcW w:w="1329" w:type="dxa"/>
            <w:shd w:val="clear" w:color="auto" w:fill="auto"/>
          </w:tcPr>
          <w:p w14:paraId="5657447B" w14:textId="77777777" w:rsidR="00725333" w:rsidRPr="00426139" w:rsidRDefault="00725333" w:rsidP="00426139">
            <w:pPr>
              <w:pStyle w:val="08-Tabelageral"/>
              <w:rPr>
                <w:b/>
                <w:bCs/>
              </w:rPr>
            </w:pPr>
            <w:r w:rsidRPr="00426139">
              <w:rPr>
                <w:b/>
                <w:bCs/>
              </w:rPr>
              <w:t>4.932.200</w:t>
            </w:r>
          </w:p>
        </w:tc>
      </w:tr>
      <w:tr w:rsidR="00725333" w:rsidRPr="00C97D95" w14:paraId="5E50444D" w14:textId="77777777" w:rsidTr="004D4157">
        <w:trPr>
          <w:trHeight w:val="238"/>
          <w:jc w:val="center"/>
        </w:trPr>
        <w:tc>
          <w:tcPr>
            <w:tcW w:w="4324" w:type="dxa"/>
            <w:shd w:val="clear" w:color="auto" w:fill="auto"/>
          </w:tcPr>
          <w:p w14:paraId="119B07AD" w14:textId="77777777" w:rsidR="00725333" w:rsidRPr="00C97D95" w:rsidRDefault="00725333" w:rsidP="00426139">
            <w:pPr>
              <w:pStyle w:val="08-Tabelageral"/>
              <w:jc w:val="left"/>
              <w:rPr>
                <w:rFonts w:cs="Arial"/>
                <w:b/>
                <w:szCs w:val="14"/>
              </w:rPr>
            </w:pPr>
            <w:r w:rsidRPr="00C97D95">
              <w:rPr>
                <w:rFonts w:cs="Arial"/>
                <w:b/>
                <w:szCs w:val="14"/>
              </w:rPr>
              <w:t>Resultado Financeiro</w:t>
            </w:r>
          </w:p>
        </w:tc>
        <w:tc>
          <w:tcPr>
            <w:tcW w:w="1328" w:type="dxa"/>
            <w:shd w:val="clear" w:color="auto" w:fill="auto"/>
          </w:tcPr>
          <w:p w14:paraId="03824002" w14:textId="77777777" w:rsidR="00725333" w:rsidRPr="00426139" w:rsidRDefault="00725333" w:rsidP="00426139">
            <w:pPr>
              <w:pStyle w:val="08-Tabelageral"/>
              <w:rPr>
                <w:b/>
                <w:bCs/>
              </w:rPr>
            </w:pPr>
            <w:r w:rsidRPr="00426139">
              <w:rPr>
                <w:b/>
                <w:bCs/>
              </w:rPr>
              <w:t>33.772</w:t>
            </w:r>
          </w:p>
        </w:tc>
        <w:tc>
          <w:tcPr>
            <w:tcW w:w="1329" w:type="dxa"/>
            <w:shd w:val="clear" w:color="auto" w:fill="auto"/>
          </w:tcPr>
          <w:p w14:paraId="36DE3D22" w14:textId="77777777" w:rsidR="00725333" w:rsidRPr="00426139" w:rsidRDefault="00725333" w:rsidP="00426139">
            <w:pPr>
              <w:pStyle w:val="08-Tabelageral"/>
              <w:rPr>
                <w:b/>
                <w:bCs/>
              </w:rPr>
            </w:pPr>
            <w:r w:rsidRPr="00426139">
              <w:rPr>
                <w:b/>
                <w:bCs/>
              </w:rPr>
              <w:t>113.452</w:t>
            </w:r>
          </w:p>
        </w:tc>
        <w:tc>
          <w:tcPr>
            <w:tcW w:w="1329" w:type="dxa"/>
            <w:shd w:val="clear" w:color="auto" w:fill="auto"/>
          </w:tcPr>
          <w:p w14:paraId="06DC01DE" w14:textId="77777777" w:rsidR="00725333" w:rsidRPr="00426139" w:rsidRDefault="00725333" w:rsidP="00426139">
            <w:pPr>
              <w:pStyle w:val="08-Tabelageral"/>
              <w:rPr>
                <w:b/>
                <w:bCs/>
              </w:rPr>
            </w:pPr>
            <w:r w:rsidRPr="00426139">
              <w:rPr>
                <w:b/>
                <w:bCs/>
              </w:rPr>
              <w:t>--</w:t>
            </w:r>
          </w:p>
        </w:tc>
        <w:tc>
          <w:tcPr>
            <w:tcW w:w="1329" w:type="dxa"/>
            <w:shd w:val="clear" w:color="auto" w:fill="auto"/>
          </w:tcPr>
          <w:p w14:paraId="4140642F" w14:textId="77777777" w:rsidR="00725333" w:rsidRPr="00426139" w:rsidRDefault="00725333" w:rsidP="00426139">
            <w:pPr>
              <w:pStyle w:val="08-Tabelageral"/>
              <w:rPr>
                <w:b/>
                <w:bCs/>
              </w:rPr>
            </w:pPr>
            <w:r w:rsidRPr="00426139">
              <w:rPr>
                <w:b/>
                <w:bCs/>
              </w:rPr>
              <w:t>147.224</w:t>
            </w:r>
          </w:p>
        </w:tc>
      </w:tr>
      <w:tr w:rsidR="00725333" w:rsidRPr="001D6BE8" w14:paraId="2DCACE93" w14:textId="77777777" w:rsidTr="004D4157">
        <w:trPr>
          <w:trHeight w:val="238"/>
          <w:jc w:val="center"/>
        </w:trPr>
        <w:tc>
          <w:tcPr>
            <w:tcW w:w="4324" w:type="dxa"/>
            <w:shd w:val="clear" w:color="auto" w:fill="auto"/>
          </w:tcPr>
          <w:p w14:paraId="48592706" w14:textId="77777777" w:rsidR="00725333" w:rsidRPr="00C806B0" w:rsidRDefault="00725333" w:rsidP="00426139">
            <w:pPr>
              <w:pStyle w:val="08-Tabelageral"/>
              <w:ind w:left="113"/>
              <w:jc w:val="left"/>
              <w:rPr>
                <w:rFonts w:cs="Arial"/>
                <w:b/>
                <w:szCs w:val="14"/>
              </w:rPr>
            </w:pPr>
            <w:r w:rsidRPr="00C806B0">
              <w:rPr>
                <w:rFonts w:cs="Arial"/>
                <w:szCs w:val="14"/>
              </w:rPr>
              <w:t>Receitas financeiras</w:t>
            </w:r>
          </w:p>
        </w:tc>
        <w:tc>
          <w:tcPr>
            <w:tcW w:w="1328" w:type="dxa"/>
            <w:shd w:val="clear" w:color="auto" w:fill="auto"/>
          </w:tcPr>
          <w:p w14:paraId="1F3ADDFC" w14:textId="77777777" w:rsidR="00725333" w:rsidRPr="00651800" w:rsidRDefault="00725333" w:rsidP="00426139">
            <w:pPr>
              <w:pStyle w:val="08-Tabelageral"/>
            </w:pPr>
            <w:r w:rsidRPr="00EB1CA0">
              <w:t>37.872</w:t>
            </w:r>
          </w:p>
        </w:tc>
        <w:tc>
          <w:tcPr>
            <w:tcW w:w="1329" w:type="dxa"/>
            <w:shd w:val="clear" w:color="auto" w:fill="auto"/>
          </w:tcPr>
          <w:p w14:paraId="3062C6FE" w14:textId="77777777" w:rsidR="00725333" w:rsidRPr="00651800" w:rsidRDefault="00725333" w:rsidP="00426139">
            <w:pPr>
              <w:pStyle w:val="08-Tabelageral"/>
            </w:pPr>
            <w:r w:rsidRPr="00C166D7">
              <w:t>116.801</w:t>
            </w:r>
          </w:p>
        </w:tc>
        <w:tc>
          <w:tcPr>
            <w:tcW w:w="1329" w:type="dxa"/>
            <w:shd w:val="clear" w:color="auto" w:fill="auto"/>
          </w:tcPr>
          <w:p w14:paraId="5878CBD3" w14:textId="77777777" w:rsidR="00725333" w:rsidRPr="00651800" w:rsidRDefault="00725333" w:rsidP="00426139">
            <w:pPr>
              <w:pStyle w:val="08-Tabelageral"/>
            </w:pPr>
            <w:r w:rsidRPr="00F72C73">
              <w:t>(2.934)</w:t>
            </w:r>
          </w:p>
        </w:tc>
        <w:tc>
          <w:tcPr>
            <w:tcW w:w="1329" w:type="dxa"/>
            <w:shd w:val="clear" w:color="auto" w:fill="auto"/>
          </w:tcPr>
          <w:p w14:paraId="2D30376B" w14:textId="77777777" w:rsidR="00725333" w:rsidRPr="00651800" w:rsidRDefault="00725333" w:rsidP="00426139">
            <w:pPr>
              <w:pStyle w:val="08-Tabelageral"/>
            </w:pPr>
            <w:r w:rsidRPr="003C1107">
              <w:t>151.739</w:t>
            </w:r>
          </w:p>
        </w:tc>
      </w:tr>
      <w:tr w:rsidR="00725333" w:rsidRPr="001D6BE8" w14:paraId="11F4EFD2" w14:textId="77777777" w:rsidTr="004D4157">
        <w:trPr>
          <w:trHeight w:val="238"/>
          <w:jc w:val="center"/>
        </w:trPr>
        <w:tc>
          <w:tcPr>
            <w:tcW w:w="4324" w:type="dxa"/>
            <w:shd w:val="clear" w:color="auto" w:fill="auto"/>
          </w:tcPr>
          <w:p w14:paraId="5863BAE9" w14:textId="77777777" w:rsidR="00725333" w:rsidRPr="00C806B0" w:rsidRDefault="00725333" w:rsidP="00426139">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tcPr>
          <w:p w14:paraId="050670DD" w14:textId="77777777" w:rsidR="00725333" w:rsidRPr="00651800" w:rsidRDefault="00725333" w:rsidP="00426139">
            <w:pPr>
              <w:pStyle w:val="08-Tabelageral"/>
            </w:pPr>
            <w:r w:rsidRPr="00EB1CA0">
              <w:t>(4.100)</w:t>
            </w:r>
          </w:p>
        </w:tc>
        <w:tc>
          <w:tcPr>
            <w:tcW w:w="1329" w:type="dxa"/>
            <w:shd w:val="clear" w:color="auto" w:fill="auto"/>
          </w:tcPr>
          <w:p w14:paraId="63247732" w14:textId="77777777" w:rsidR="00725333" w:rsidRPr="00651800" w:rsidRDefault="00725333" w:rsidP="00426139">
            <w:pPr>
              <w:pStyle w:val="08-Tabelageral"/>
            </w:pPr>
            <w:r w:rsidRPr="00C166D7">
              <w:t>(3.349)</w:t>
            </w:r>
          </w:p>
        </w:tc>
        <w:tc>
          <w:tcPr>
            <w:tcW w:w="1329" w:type="dxa"/>
            <w:shd w:val="clear" w:color="auto" w:fill="auto"/>
          </w:tcPr>
          <w:p w14:paraId="08FD99C0" w14:textId="77777777" w:rsidR="00725333" w:rsidRPr="00651800" w:rsidRDefault="00725333" w:rsidP="00426139">
            <w:pPr>
              <w:pStyle w:val="08-Tabelageral"/>
            </w:pPr>
            <w:r w:rsidRPr="00F72C73">
              <w:t>2.934</w:t>
            </w:r>
          </w:p>
        </w:tc>
        <w:tc>
          <w:tcPr>
            <w:tcW w:w="1329" w:type="dxa"/>
            <w:shd w:val="clear" w:color="auto" w:fill="auto"/>
          </w:tcPr>
          <w:p w14:paraId="04001366" w14:textId="77777777" w:rsidR="00725333" w:rsidRPr="00651800" w:rsidRDefault="00725333" w:rsidP="00426139">
            <w:pPr>
              <w:pStyle w:val="08-Tabelageral"/>
            </w:pPr>
            <w:r w:rsidRPr="003C1107">
              <w:t>(4.515)</w:t>
            </w:r>
          </w:p>
        </w:tc>
      </w:tr>
      <w:tr w:rsidR="00725333" w:rsidRPr="00C97D95" w14:paraId="57DB2A0F" w14:textId="77777777" w:rsidTr="004D4157">
        <w:trPr>
          <w:trHeight w:val="238"/>
          <w:jc w:val="center"/>
        </w:trPr>
        <w:tc>
          <w:tcPr>
            <w:tcW w:w="4324" w:type="dxa"/>
            <w:shd w:val="clear" w:color="auto" w:fill="auto"/>
          </w:tcPr>
          <w:p w14:paraId="7CA114DE" w14:textId="77777777" w:rsidR="00725333" w:rsidRPr="00C97D95" w:rsidRDefault="00725333" w:rsidP="00426139">
            <w:pPr>
              <w:pStyle w:val="08-Tabelageral"/>
              <w:jc w:val="left"/>
              <w:rPr>
                <w:rFonts w:cs="Arial"/>
                <w:b/>
                <w:szCs w:val="14"/>
              </w:rPr>
            </w:pPr>
            <w:r w:rsidRPr="00C97D95">
              <w:rPr>
                <w:rFonts w:cs="Arial"/>
                <w:b/>
                <w:szCs w:val="14"/>
              </w:rPr>
              <w:t>Resultado Antes do Imposto de Renda e Contribuição Social</w:t>
            </w:r>
          </w:p>
        </w:tc>
        <w:tc>
          <w:tcPr>
            <w:tcW w:w="1328" w:type="dxa"/>
            <w:shd w:val="clear" w:color="auto" w:fill="auto"/>
          </w:tcPr>
          <w:p w14:paraId="4AAA70B9" w14:textId="77777777" w:rsidR="00725333" w:rsidRPr="00426139" w:rsidRDefault="00725333" w:rsidP="00426139">
            <w:pPr>
              <w:pStyle w:val="08-Tabelageral"/>
              <w:rPr>
                <w:b/>
                <w:bCs/>
              </w:rPr>
            </w:pPr>
            <w:r w:rsidRPr="00426139">
              <w:rPr>
                <w:b/>
                <w:bCs/>
              </w:rPr>
              <w:t>5.738.846</w:t>
            </w:r>
          </w:p>
        </w:tc>
        <w:tc>
          <w:tcPr>
            <w:tcW w:w="1329" w:type="dxa"/>
            <w:shd w:val="clear" w:color="auto" w:fill="auto"/>
          </w:tcPr>
          <w:p w14:paraId="07B34E97" w14:textId="77777777" w:rsidR="00725333" w:rsidRPr="00426139" w:rsidRDefault="00725333" w:rsidP="00426139">
            <w:pPr>
              <w:pStyle w:val="08-Tabelageral"/>
              <w:rPr>
                <w:b/>
                <w:bCs/>
              </w:rPr>
            </w:pPr>
            <w:r w:rsidRPr="00426139">
              <w:rPr>
                <w:b/>
                <w:bCs/>
              </w:rPr>
              <w:t>3.264.171</w:t>
            </w:r>
          </w:p>
        </w:tc>
        <w:tc>
          <w:tcPr>
            <w:tcW w:w="1329" w:type="dxa"/>
            <w:shd w:val="clear" w:color="auto" w:fill="auto"/>
          </w:tcPr>
          <w:p w14:paraId="04DAA11E" w14:textId="77777777" w:rsidR="00725333" w:rsidRPr="00426139" w:rsidRDefault="00725333" w:rsidP="00426139">
            <w:pPr>
              <w:pStyle w:val="08-Tabelageral"/>
              <w:rPr>
                <w:b/>
                <w:bCs/>
              </w:rPr>
            </w:pPr>
            <w:r w:rsidRPr="00426139">
              <w:rPr>
                <w:b/>
                <w:bCs/>
              </w:rPr>
              <w:t>(3.923.593)</w:t>
            </w:r>
          </w:p>
        </w:tc>
        <w:tc>
          <w:tcPr>
            <w:tcW w:w="1329" w:type="dxa"/>
            <w:shd w:val="clear" w:color="auto" w:fill="auto"/>
          </w:tcPr>
          <w:p w14:paraId="5263C075" w14:textId="77777777" w:rsidR="00725333" w:rsidRPr="00426139" w:rsidRDefault="00725333" w:rsidP="00426139">
            <w:pPr>
              <w:pStyle w:val="08-Tabelageral"/>
              <w:rPr>
                <w:b/>
                <w:bCs/>
              </w:rPr>
            </w:pPr>
            <w:r w:rsidRPr="00426139">
              <w:rPr>
                <w:b/>
                <w:bCs/>
              </w:rPr>
              <w:t>5.079.424</w:t>
            </w:r>
          </w:p>
        </w:tc>
      </w:tr>
      <w:tr w:rsidR="00725333" w:rsidRPr="00C2766D" w14:paraId="493249C0" w14:textId="77777777" w:rsidTr="004D4157">
        <w:trPr>
          <w:trHeight w:val="238"/>
          <w:jc w:val="center"/>
        </w:trPr>
        <w:tc>
          <w:tcPr>
            <w:tcW w:w="4324" w:type="dxa"/>
            <w:shd w:val="clear" w:color="auto" w:fill="auto"/>
          </w:tcPr>
          <w:p w14:paraId="0DE96E53" w14:textId="77777777" w:rsidR="00725333" w:rsidRPr="00C2766D" w:rsidRDefault="00725333" w:rsidP="00A869C3">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tcPr>
          <w:p w14:paraId="4F3A16B5" w14:textId="77777777" w:rsidR="00725333" w:rsidRPr="00C2766D" w:rsidRDefault="00725333" w:rsidP="00426139">
            <w:pPr>
              <w:pStyle w:val="08-Tabelageral"/>
              <w:rPr>
                <w:bCs/>
              </w:rPr>
            </w:pPr>
            <w:r w:rsidRPr="00EB1CA0">
              <w:t>(44.075)</w:t>
            </w:r>
          </w:p>
        </w:tc>
        <w:tc>
          <w:tcPr>
            <w:tcW w:w="1329" w:type="dxa"/>
            <w:shd w:val="clear" w:color="auto" w:fill="auto"/>
          </w:tcPr>
          <w:p w14:paraId="0285EC35" w14:textId="77777777" w:rsidR="00725333" w:rsidRPr="00C2766D" w:rsidRDefault="00725333" w:rsidP="00426139">
            <w:pPr>
              <w:pStyle w:val="08-Tabelageral"/>
              <w:rPr>
                <w:bCs/>
              </w:rPr>
            </w:pPr>
            <w:r w:rsidRPr="00C166D7">
              <w:t>(1.102.132)</w:t>
            </w:r>
          </w:p>
        </w:tc>
        <w:tc>
          <w:tcPr>
            <w:tcW w:w="1329" w:type="dxa"/>
            <w:shd w:val="clear" w:color="auto" w:fill="auto"/>
          </w:tcPr>
          <w:p w14:paraId="66C3678C" w14:textId="77777777" w:rsidR="00725333" w:rsidRPr="00C2766D" w:rsidRDefault="00725333" w:rsidP="00426139">
            <w:pPr>
              <w:pStyle w:val="08-Tabelageral"/>
              <w:rPr>
                <w:bCs/>
              </w:rPr>
            </w:pPr>
            <w:r w:rsidRPr="00F72C73">
              <w:t>--</w:t>
            </w:r>
          </w:p>
        </w:tc>
        <w:tc>
          <w:tcPr>
            <w:tcW w:w="1329" w:type="dxa"/>
            <w:shd w:val="clear" w:color="auto" w:fill="auto"/>
          </w:tcPr>
          <w:p w14:paraId="71684BD6" w14:textId="77777777" w:rsidR="00725333" w:rsidRPr="00C2766D" w:rsidRDefault="00725333" w:rsidP="00426139">
            <w:pPr>
              <w:pStyle w:val="08-Tabelageral"/>
              <w:rPr>
                <w:bCs/>
              </w:rPr>
            </w:pPr>
            <w:r w:rsidRPr="003C1107">
              <w:t>(1.146.207)</w:t>
            </w:r>
          </w:p>
        </w:tc>
      </w:tr>
      <w:tr w:rsidR="00725333" w:rsidRPr="00C97D95" w14:paraId="39D9C408" w14:textId="77777777" w:rsidTr="004D4157">
        <w:trPr>
          <w:trHeight w:val="238"/>
          <w:jc w:val="center"/>
        </w:trPr>
        <w:tc>
          <w:tcPr>
            <w:tcW w:w="4324" w:type="dxa"/>
            <w:tcBorders>
              <w:bottom w:val="single" w:sz="2" w:space="0" w:color="1F4E79" w:themeColor="accent1" w:themeShade="80"/>
            </w:tcBorders>
            <w:shd w:val="clear" w:color="auto" w:fill="auto"/>
          </w:tcPr>
          <w:p w14:paraId="29443214" w14:textId="77777777" w:rsidR="00725333" w:rsidRPr="00C97D95" w:rsidRDefault="00725333" w:rsidP="00426139">
            <w:pPr>
              <w:pStyle w:val="08-Tabelageral"/>
              <w:jc w:val="left"/>
              <w:rPr>
                <w:rFonts w:cs="Arial"/>
                <w:b/>
                <w:szCs w:val="14"/>
              </w:rPr>
            </w:pPr>
            <w:r w:rsidRPr="00C97D95">
              <w:rPr>
                <w:rFonts w:cs="Arial"/>
                <w:b/>
                <w:szCs w:val="14"/>
              </w:rPr>
              <w:t xml:space="preserve">Lucro Líquido do </w:t>
            </w:r>
            <w:r>
              <w:rPr>
                <w:rFonts w:cs="Arial"/>
                <w:b/>
                <w:szCs w:val="14"/>
              </w:rPr>
              <w:t>Exercício</w:t>
            </w:r>
          </w:p>
        </w:tc>
        <w:tc>
          <w:tcPr>
            <w:tcW w:w="1328" w:type="dxa"/>
            <w:tcBorders>
              <w:bottom w:val="single" w:sz="2" w:space="0" w:color="1F4E79" w:themeColor="accent1" w:themeShade="80"/>
            </w:tcBorders>
            <w:shd w:val="clear" w:color="auto" w:fill="auto"/>
          </w:tcPr>
          <w:p w14:paraId="3841EF40" w14:textId="77777777" w:rsidR="00725333" w:rsidRPr="00426139" w:rsidRDefault="00725333" w:rsidP="00426139">
            <w:pPr>
              <w:pStyle w:val="08-Tabelageral"/>
              <w:rPr>
                <w:b/>
                <w:bCs/>
              </w:rPr>
            </w:pPr>
            <w:r w:rsidRPr="00426139">
              <w:rPr>
                <w:b/>
                <w:bCs/>
              </w:rPr>
              <w:t>5.694.771</w:t>
            </w:r>
          </w:p>
        </w:tc>
        <w:tc>
          <w:tcPr>
            <w:tcW w:w="1329" w:type="dxa"/>
            <w:tcBorders>
              <w:bottom w:val="single" w:sz="2" w:space="0" w:color="1F4E79" w:themeColor="accent1" w:themeShade="80"/>
            </w:tcBorders>
            <w:shd w:val="clear" w:color="auto" w:fill="auto"/>
          </w:tcPr>
          <w:p w14:paraId="548436C0" w14:textId="77777777" w:rsidR="00725333" w:rsidRPr="00426139" w:rsidRDefault="00725333" w:rsidP="00426139">
            <w:pPr>
              <w:pStyle w:val="08-Tabelageral"/>
              <w:rPr>
                <w:b/>
                <w:bCs/>
              </w:rPr>
            </w:pPr>
            <w:r w:rsidRPr="00426139">
              <w:rPr>
                <w:b/>
                <w:bCs/>
              </w:rPr>
              <w:t>2.162.039</w:t>
            </w:r>
          </w:p>
        </w:tc>
        <w:tc>
          <w:tcPr>
            <w:tcW w:w="1329" w:type="dxa"/>
            <w:tcBorders>
              <w:bottom w:val="single" w:sz="2" w:space="0" w:color="1F4E79" w:themeColor="accent1" w:themeShade="80"/>
            </w:tcBorders>
            <w:shd w:val="clear" w:color="auto" w:fill="auto"/>
          </w:tcPr>
          <w:p w14:paraId="6F354F0B" w14:textId="77777777" w:rsidR="00725333" w:rsidRPr="00426139" w:rsidRDefault="00725333" w:rsidP="00426139">
            <w:pPr>
              <w:pStyle w:val="08-Tabelageral"/>
              <w:rPr>
                <w:b/>
                <w:bCs/>
              </w:rPr>
            </w:pPr>
            <w:r w:rsidRPr="00426139">
              <w:rPr>
                <w:b/>
                <w:bCs/>
              </w:rPr>
              <w:t>(3.923.593)</w:t>
            </w:r>
          </w:p>
        </w:tc>
        <w:tc>
          <w:tcPr>
            <w:tcW w:w="1329" w:type="dxa"/>
            <w:tcBorders>
              <w:bottom w:val="single" w:sz="2" w:space="0" w:color="1F4E79" w:themeColor="accent1" w:themeShade="80"/>
            </w:tcBorders>
            <w:shd w:val="clear" w:color="auto" w:fill="auto"/>
          </w:tcPr>
          <w:p w14:paraId="6B265D64" w14:textId="77777777" w:rsidR="00725333" w:rsidRPr="00426139" w:rsidRDefault="00725333" w:rsidP="00426139">
            <w:pPr>
              <w:pStyle w:val="08-Tabelageral"/>
              <w:rPr>
                <w:b/>
                <w:bCs/>
              </w:rPr>
            </w:pPr>
            <w:r w:rsidRPr="00426139">
              <w:rPr>
                <w:b/>
                <w:bCs/>
              </w:rPr>
              <w:t>3.933.217</w:t>
            </w:r>
          </w:p>
        </w:tc>
      </w:tr>
    </w:tbl>
    <w:p w14:paraId="724246BD" w14:textId="77777777" w:rsidR="00725333" w:rsidRDefault="00725333" w:rsidP="00E45E8E">
      <w:pPr>
        <w:spacing w:after="0"/>
        <w:rPr>
          <w:rFonts w:cs="Arial"/>
          <w:b/>
          <w:sz w:val="14"/>
          <w:lang w:eastAsia="pt-BR"/>
        </w:rPr>
      </w:pPr>
    </w:p>
    <w:p w14:paraId="73A0A6B6" w14:textId="77777777" w:rsidR="00725333" w:rsidRPr="00247039" w:rsidRDefault="00725333" w:rsidP="00247039">
      <w:pPr>
        <w:pStyle w:val="05-Textonormal"/>
        <w:spacing w:before="0" w:after="0" w:line="240" w:lineRule="auto"/>
        <w:jc w:val="right"/>
        <w:rPr>
          <w:b/>
          <w:sz w:val="14"/>
        </w:rPr>
      </w:pPr>
      <w:bookmarkStart w:id="67" w:name="_Hlk75968720"/>
      <w:r w:rsidRPr="00247039">
        <w:rPr>
          <w:b/>
          <w:sz w:val="14"/>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725333" w:rsidRPr="00A24524" w14:paraId="5EAB04E0" w14:textId="77777777" w:rsidTr="004066E9">
        <w:trPr>
          <w:trHeight w:hRule="exact" w:val="283"/>
          <w:jc w:val="center"/>
        </w:trPr>
        <w:tc>
          <w:tcPr>
            <w:tcW w:w="4324" w:type="dxa"/>
            <w:tcBorders>
              <w:top w:val="single" w:sz="2" w:space="0" w:color="1F4E79" w:themeColor="accent1" w:themeShade="80"/>
            </w:tcBorders>
            <w:shd w:val="clear" w:color="auto" w:fill="auto"/>
          </w:tcPr>
          <w:p w14:paraId="75287D3D" w14:textId="77777777" w:rsidR="00725333" w:rsidRPr="00A24524" w:rsidRDefault="00725333" w:rsidP="002B06E3">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2D59875F" w14:textId="77777777" w:rsidR="00725333" w:rsidRPr="00A24524" w:rsidRDefault="00725333" w:rsidP="002B06E3">
            <w:pPr>
              <w:spacing w:after="0"/>
              <w:jc w:val="center"/>
              <w:rPr>
                <w:rFonts w:cs="Arial"/>
                <w:b/>
                <w:szCs w:val="18"/>
              </w:rPr>
            </w:pPr>
            <w:r>
              <w:rPr>
                <w:rFonts w:cs="Arial"/>
                <w:b/>
                <w:sz w:val="14"/>
                <w:szCs w:val="18"/>
              </w:rPr>
              <w:t>Exercício 2020</w:t>
            </w:r>
          </w:p>
        </w:tc>
      </w:tr>
      <w:tr w:rsidR="00725333" w:rsidRPr="001D6BE8" w14:paraId="4E972F57" w14:textId="77777777" w:rsidTr="004066E9">
        <w:trPr>
          <w:trHeight w:hRule="exact" w:val="436"/>
          <w:jc w:val="center"/>
        </w:trPr>
        <w:tc>
          <w:tcPr>
            <w:tcW w:w="4324" w:type="dxa"/>
            <w:tcBorders>
              <w:bottom w:val="single" w:sz="2" w:space="0" w:color="1F4E79" w:themeColor="accent1" w:themeShade="80"/>
            </w:tcBorders>
            <w:shd w:val="clear" w:color="auto" w:fill="auto"/>
          </w:tcPr>
          <w:p w14:paraId="61E6FC82" w14:textId="77777777" w:rsidR="00725333" w:rsidRPr="001D6BE8" w:rsidRDefault="00725333" w:rsidP="002B06E3">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75720015" w14:textId="77777777" w:rsidR="00725333" w:rsidRPr="00A24524" w:rsidRDefault="00725333" w:rsidP="002B06E3">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17A254F" w14:textId="77777777" w:rsidR="00725333" w:rsidRPr="00A24524" w:rsidRDefault="00725333" w:rsidP="002B06E3">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5F60EF5" w14:textId="77777777" w:rsidR="00725333" w:rsidRPr="00A24524" w:rsidRDefault="00725333" w:rsidP="002B06E3">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BA89CE1" w14:textId="77777777" w:rsidR="00725333" w:rsidRPr="00A24524" w:rsidRDefault="00725333" w:rsidP="002B06E3">
            <w:pPr>
              <w:pStyle w:val="08-Tabelageral"/>
              <w:jc w:val="center"/>
              <w:rPr>
                <w:rFonts w:cs="Arial"/>
                <w:b/>
              </w:rPr>
            </w:pPr>
            <w:r w:rsidRPr="00A24524">
              <w:rPr>
                <w:rFonts w:cs="Arial"/>
                <w:b/>
              </w:rPr>
              <w:t>Total</w:t>
            </w:r>
          </w:p>
        </w:tc>
      </w:tr>
      <w:tr w:rsidR="00725333" w:rsidRPr="00A24524" w14:paraId="4F1DAE5A" w14:textId="77777777" w:rsidTr="000F6E5E">
        <w:trPr>
          <w:trHeight w:val="238"/>
          <w:jc w:val="center"/>
        </w:trPr>
        <w:tc>
          <w:tcPr>
            <w:tcW w:w="4324" w:type="dxa"/>
            <w:tcBorders>
              <w:top w:val="single" w:sz="2" w:space="0" w:color="1F4E79" w:themeColor="accent1" w:themeShade="80"/>
            </w:tcBorders>
            <w:shd w:val="clear" w:color="auto" w:fill="auto"/>
          </w:tcPr>
          <w:p w14:paraId="19000103" w14:textId="77777777" w:rsidR="00725333" w:rsidRPr="00A24524" w:rsidRDefault="00725333" w:rsidP="005E18E8">
            <w:pPr>
              <w:pStyle w:val="08-Tabelageral"/>
              <w:jc w:val="left"/>
              <w:rPr>
                <w:rFonts w:cs="Arial"/>
                <w:b/>
                <w:bCs/>
                <w:szCs w:val="14"/>
              </w:rPr>
            </w:pPr>
            <w:r w:rsidRPr="00A2452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303392DA" w14:textId="77777777" w:rsidR="00725333" w:rsidRPr="00A24524" w:rsidRDefault="00725333" w:rsidP="005E18E8">
            <w:pPr>
              <w:pStyle w:val="08-Tabelageral"/>
              <w:rPr>
                <w:b/>
              </w:rPr>
            </w:pPr>
            <w:r>
              <w:rPr>
                <w:rFonts w:cs="Arial"/>
                <w:b/>
                <w:bCs/>
                <w:color w:val="000000"/>
                <w:szCs w:val="14"/>
              </w:rPr>
              <w:t>5.729.788</w:t>
            </w:r>
          </w:p>
        </w:tc>
        <w:tc>
          <w:tcPr>
            <w:tcW w:w="1329" w:type="dxa"/>
            <w:tcBorders>
              <w:top w:val="single" w:sz="2" w:space="0" w:color="1F4E79" w:themeColor="accent1" w:themeShade="80"/>
            </w:tcBorders>
            <w:shd w:val="clear" w:color="auto" w:fill="auto"/>
            <w:vAlign w:val="bottom"/>
          </w:tcPr>
          <w:p w14:paraId="459588F7" w14:textId="77777777" w:rsidR="00725333" w:rsidRPr="00A24524" w:rsidRDefault="00725333" w:rsidP="005E18E8">
            <w:pPr>
              <w:pStyle w:val="08-Tabelageral"/>
              <w:rPr>
                <w:b/>
              </w:rPr>
            </w:pPr>
            <w:r>
              <w:rPr>
                <w:rFonts w:cs="Arial"/>
                <w:b/>
                <w:bCs/>
                <w:color w:val="000000"/>
                <w:szCs w:val="14"/>
              </w:rPr>
              <w:t>3.235.365</w:t>
            </w:r>
          </w:p>
        </w:tc>
        <w:tc>
          <w:tcPr>
            <w:tcW w:w="1329" w:type="dxa"/>
            <w:tcBorders>
              <w:top w:val="single" w:sz="2" w:space="0" w:color="1F4E79" w:themeColor="accent1" w:themeShade="80"/>
            </w:tcBorders>
            <w:shd w:val="clear" w:color="auto" w:fill="auto"/>
            <w:vAlign w:val="bottom"/>
          </w:tcPr>
          <w:p w14:paraId="14B4486B" w14:textId="77777777" w:rsidR="00725333" w:rsidRPr="00A24524" w:rsidRDefault="00725333" w:rsidP="005E18E8">
            <w:pPr>
              <w:pStyle w:val="08-Tabelageral"/>
              <w:rPr>
                <w:b/>
              </w:rPr>
            </w:pPr>
            <w:r>
              <w:rPr>
                <w:rFonts w:cs="Arial"/>
                <w:b/>
                <w:bCs/>
                <w:color w:val="000000"/>
                <w:szCs w:val="14"/>
              </w:rPr>
              <w:t>(3.833.384)</w:t>
            </w:r>
          </w:p>
        </w:tc>
        <w:tc>
          <w:tcPr>
            <w:tcW w:w="1329" w:type="dxa"/>
            <w:tcBorders>
              <w:top w:val="single" w:sz="2" w:space="0" w:color="1F4E79" w:themeColor="accent1" w:themeShade="80"/>
            </w:tcBorders>
            <w:shd w:val="clear" w:color="auto" w:fill="auto"/>
            <w:vAlign w:val="bottom"/>
          </w:tcPr>
          <w:p w14:paraId="634AFECB" w14:textId="77777777" w:rsidR="00725333" w:rsidRPr="00A24524" w:rsidRDefault="00725333" w:rsidP="005E18E8">
            <w:pPr>
              <w:pStyle w:val="08-Tabelageral"/>
              <w:rPr>
                <w:b/>
              </w:rPr>
            </w:pPr>
            <w:r>
              <w:rPr>
                <w:rFonts w:cs="Arial"/>
                <w:b/>
                <w:bCs/>
                <w:color w:val="000000"/>
                <w:szCs w:val="14"/>
              </w:rPr>
              <w:t>5.131.769</w:t>
            </w:r>
          </w:p>
        </w:tc>
      </w:tr>
      <w:tr w:rsidR="00725333" w:rsidRPr="001D6BE8" w14:paraId="09A9D1B7" w14:textId="77777777" w:rsidTr="000F6E5E">
        <w:trPr>
          <w:trHeight w:val="238"/>
          <w:jc w:val="center"/>
        </w:trPr>
        <w:tc>
          <w:tcPr>
            <w:tcW w:w="4324" w:type="dxa"/>
            <w:shd w:val="clear" w:color="auto" w:fill="auto"/>
          </w:tcPr>
          <w:p w14:paraId="40B68F28" w14:textId="77777777" w:rsidR="00725333" w:rsidRPr="00C806B0" w:rsidRDefault="00725333" w:rsidP="005E18E8">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369ED0EA" w14:textId="77777777" w:rsidR="00725333" w:rsidRPr="00651800" w:rsidRDefault="00725333" w:rsidP="005E18E8">
            <w:pPr>
              <w:pStyle w:val="08-Tabelageral"/>
            </w:pPr>
            <w:r>
              <w:rPr>
                <w:rFonts w:cs="Arial"/>
                <w:color w:val="000000"/>
                <w:szCs w:val="14"/>
              </w:rPr>
              <w:t>5.729.788</w:t>
            </w:r>
          </w:p>
        </w:tc>
        <w:tc>
          <w:tcPr>
            <w:tcW w:w="1329" w:type="dxa"/>
            <w:shd w:val="clear" w:color="auto" w:fill="auto"/>
            <w:vAlign w:val="bottom"/>
          </w:tcPr>
          <w:p w14:paraId="05C1839E" w14:textId="77777777" w:rsidR="00725333" w:rsidRPr="00651800" w:rsidRDefault="00725333" w:rsidP="005E18E8">
            <w:pPr>
              <w:pStyle w:val="08-Tabelageral"/>
            </w:pPr>
            <w:r>
              <w:rPr>
                <w:rFonts w:cs="Arial"/>
                <w:color w:val="000000"/>
                <w:szCs w:val="14"/>
              </w:rPr>
              <w:t>(15.914)</w:t>
            </w:r>
          </w:p>
        </w:tc>
        <w:tc>
          <w:tcPr>
            <w:tcW w:w="1329" w:type="dxa"/>
            <w:shd w:val="clear" w:color="auto" w:fill="auto"/>
            <w:vAlign w:val="bottom"/>
          </w:tcPr>
          <w:p w14:paraId="6BE2F95F" w14:textId="77777777" w:rsidR="00725333" w:rsidRPr="00651800" w:rsidRDefault="00725333" w:rsidP="005E18E8">
            <w:pPr>
              <w:pStyle w:val="08-Tabelageral"/>
            </w:pPr>
            <w:r>
              <w:rPr>
                <w:rFonts w:cs="Arial"/>
                <w:color w:val="000000"/>
                <w:szCs w:val="14"/>
              </w:rPr>
              <w:t>(3.833.384)</w:t>
            </w:r>
          </w:p>
        </w:tc>
        <w:tc>
          <w:tcPr>
            <w:tcW w:w="1329" w:type="dxa"/>
            <w:shd w:val="clear" w:color="auto" w:fill="auto"/>
            <w:vAlign w:val="bottom"/>
          </w:tcPr>
          <w:p w14:paraId="7D859B75" w14:textId="77777777" w:rsidR="00725333" w:rsidRPr="00651800" w:rsidRDefault="00725333" w:rsidP="005E18E8">
            <w:pPr>
              <w:pStyle w:val="08-Tabelageral"/>
            </w:pPr>
            <w:r>
              <w:rPr>
                <w:rFonts w:cs="Arial"/>
                <w:color w:val="000000"/>
                <w:szCs w:val="14"/>
              </w:rPr>
              <w:t>1.880.490</w:t>
            </w:r>
          </w:p>
        </w:tc>
      </w:tr>
      <w:tr w:rsidR="00725333" w:rsidRPr="001D6BE8" w14:paraId="3B9F5F79" w14:textId="77777777" w:rsidTr="000F6E5E">
        <w:trPr>
          <w:trHeight w:val="238"/>
          <w:jc w:val="center"/>
        </w:trPr>
        <w:tc>
          <w:tcPr>
            <w:tcW w:w="4324" w:type="dxa"/>
            <w:shd w:val="clear" w:color="auto" w:fill="auto"/>
          </w:tcPr>
          <w:p w14:paraId="52DF16D9" w14:textId="77777777" w:rsidR="00725333" w:rsidRPr="00C806B0" w:rsidRDefault="00725333" w:rsidP="005E18E8">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537C539B"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63A033CE" w14:textId="77777777" w:rsidR="00725333" w:rsidRPr="00651800" w:rsidRDefault="00725333" w:rsidP="005E18E8">
            <w:pPr>
              <w:pStyle w:val="08-Tabelageral"/>
            </w:pPr>
            <w:r>
              <w:rPr>
                <w:rFonts w:cs="Arial"/>
                <w:color w:val="000000"/>
                <w:szCs w:val="14"/>
              </w:rPr>
              <w:t>3.251.279</w:t>
            </w:r>
          </w:p>
        </w:tc>
        <w:tc>
          <w:tcPr>
            <w:tcW w:w="1329" w:type="dxa"/>
            <w:shd w:val="clear" w:color="auto" w:fill="auto"/>
            <w:vAlign w:val="bottom"/>
          </w:tcPr>
          <w:p w14:paraId="13F03F27"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02B3826E" w14:textId="77777777" w:rsidR="00725333" w:rsidRPr="00651800" w:rsidRDefault="00725333" w:rsidP="005E18E8">
            <w:pPr>
              <w:pStyle w:val="08-Tabelageral"/>
            </w:pPr>
            <w:r>
              <w:rPr>
                <w:rFonts w:cs="Arial"/>
                <w:color w:val="000000"/>
                <w:szCs w:val="14"/>
              </w:rPr>
              <w:t>3.251.279</w:t>
            </w:r>
          </w:p>
        </w:tc>
      </w:tr>
      <w:tr w:rsidR="00725333" w:rsidRPr="00A24524" w14:paraId="0FABD5DF" w14:textId="77777777" w:rsidTr="000F6E5E">
        <w:trPr>
          <w:trHeight w:val="238"/>
          <w:jc w:val="center"/>
        </w:trPr>
        <w:tc>
          <w:tcPr>
            <w:tcW w:w="4324" w:type="dxa"/>
            <w:shd w:val="clear" w:color="auto" w:fill="auto"/>
          </w:tcPr>
          <w:p w14:paraId="6C1E708F" w14:textId="77777777" w:rsidR="00725333" w:rsidRPr="00A24524" w:rsidRDefault="00725333" w:rsidP="005E18E8">
            <w:pPr>
              <w:pStyle w:val="08-Tabelageral"/>
              <w:jc w:val="left"/>
              <w:rPr>
                <w:rFonts w:cs="Arial"/>
                <w:b/>
                <w:szCs w:val="14"/>
              </w:rPr>
            </w:pPr>
            <w:r>
              <w:rPr>
                <w:rFonts w:cs="Arial"/>
                <w:b/>
                <w:szCs w:val="14"/>
              </w:rPr>
              <w:t>Custo d</w:t>
            </w:r>
            <w:r w:rsidRPr="00A24524">
              <w:rPr>
                <w:rFonts w:cs="Arial"/>
                <w:b/>
                <w:szCs w:val="14"/>
              </w:rPr>
              <w:t>os Serviços Prestados</w:t>
            </w:r>
          </w:p>
        </w:tc>
        <w:tc>
          <w:tcPr>
            <w:tcW w:w="1328" w:type="dxa"/>
            <w:shd w:val="clear" w:color="auto" w:fill="auto"/>
            <w:vAlign w:val="bottom"/>
          </w:tcPr>
          <w:p w14:paraId="66D1195B" w14:textId="77777777" w:rsidR="00725333" w:rsidRPr="00A24524" w:rsidRDefault="00725333" w:rsidP="005E18E8">
            <w:pPr>
              <w:pStyle w:val="08-Tabelageral"/>
              <w:rPr>
                <w:b/>
              </w:rPr>
            </w:pPr>
            <w:r>
              <w:rPr>
                <w:rFonts w:cs="Arial"/>
                <w:color w:val="000000"/>
                <w:szCs w:val="14"/>
              </w:rPr>
              <w:t>--</w:t>
            </w:r>
          </w:p>
        </w:tc>
        <w:tc>
          <w:tcPr>
            <w:tcW w:w="1329" w:type="dxa"/>
            <w:shd w:val="clear" w:color="auto" w:fill="auto"/>
            <w:vAlign w:val="bottom"/>
          </w:tcPr>
          <w:p w14:paraId="7EC69830" w14:textId="77777777" w:rsidR="00725333" w:rsidRPr="00A24524" w:rsidRDefault="00725333" w:rsidP="005E18E8">
            <w:pPr>
              <w:pStyle w:val="08-Tabelageral"/>
              <w:rPr>
                <w:b/>
              </w:rPr>
            </w:pPr>
            <w:r>
              <w:rPr>
                <w:rFonts w:cs="Arial"/>
                <w:color w:val="000000"/>
                <w:szCs w:val="14"/>
              </w:rPr>
              <w:t>(176.868)</w:t>
            </w:r>
          </w:p>
        </w:tc>
        <w:tc>
          <w:tcPr>
            <w:tcW w:w="1329" w:type="dxa"/>
            <w:shd w:val="clear" w:color="auto" w:fill="auto"/>
            <w:vAlign w:val="bottom"/>
          </w:tcPr>
          <w:p w14:paraId="23C96B5D" w14:textId="77777777" w:rsidR="00725333" w:rsidRPr="00A24524" w:rsidRDefault="00725333" w:rsidP="005E18E8">
            <w:pPr>
              <w:pStyle w:val="08-Tabelageral"/>
              <w:rPr>
                <w:b/>
              </w:rPr>
            </w:pPr>
            <w:r>
              <w:rPr>
                <w:rFonts w:cs="Arial"/>
                <w:color w:val="000000"/>
                <w:szCs w:val="14"/>
              </w:rPr>
              <w:t>--</w:t>
            </w:r>
          </w:p>
        </w:tc>
        <w:tc>
          <w:tcPr>
            <w:tcW w:w="1329" w:type="dxa"/>
            <w:shd w:val="clear" w:color="auto" w:fill="auto"/>
            <w:vAlign w:val="bottom"/>
          </w:tcPr>
          <w:p w14:paraId="0128A76E" w14:textId="77777777" w:rsidR="00725333" w:rsidRPr="00A24524" w:rsidRDefault="00725333" w:rsidP="005E18E8">
            <w:pPr>
              <w:pStyle w:val="08-Tabelageral"/>
              <w:rPr>
                <w:b/>
              </w:rPr>
            </w:pPr>
            <w:r>
              <w:rPr>
                <w:rFonts w:cs="Arial"/>
                <w:color w:val="000000"/>
                <w:szCs w:val="14"/>
              </w:rPr>
              <w:t>(176.868)</w:t>
            </w:r>
          </w:p>
        </w:tc>
      </w:tr>
      <w:tr w:rsidR="00725333" w:rsidRPr="00A24524" w14:paraId="751F8ECC" w14:textId="77777777" w:rsidTr="000F6E5E">
        <w:trPr>
          <w:trHeight w:val="238"/>
          <w:jc w:val="center"/>
        </w:trPr>
        <w:tc>
          <w:tcPr>
            <w:tcW w:w="4324" w:type="dxa"/>
            <w:shd w:val="clear" w:color="auto" w:fill="auto"/>
          </w:tcPr>
          <w:p w14:paraId="4E387440" w14:textId="77777777" w:rsidR="00725333" w:rsidRPr="00A24524" w:rsidRDefault="00725333" w:rsidP="005E18E8">
            <w:pPr>
              <w:pStyle w:val="08-Tabelageral"/>
              <w:jc w:val="left"/>
              <w:rPr>
                <w:rFonts w:cs="Arial"/>
                <w:b/>
                <w:szCs w:val="14"/>
              </w:rPr>
            </w:pPr>
            <w:r w:rsidRPr="00A24524">
              <w:rPr>
                <w:rFonts w:cs="Arial"/>
                <w:b/>
                <w:szCs w:val="14"/>
              </w:rPr>
              <w:t>Resultado Bruto</w:t>
            </w:r>
          </w:p>
        </w:tc>
        <w:tc>
          <w:tcPr>
            <w:tcW w:w="1328" w:type="dxa"/>
            <w:shd w:val="clear" w:color="auto" w:fill="auto"/>
            <w:vAlign w:val="bottom"/>
          </w:tcPr>
          <w:p w14:paraId="66D08EFB" w14:textId="77777777" w:rsidR="00725333" w:rsidRPr="00A24524" w:rsidRDefault="00725333" w:rsidP="005E18E8">
            <w:pPr>
              <w:pStyle w:val="08-Tabelageral"/>
              <w:rPr>
                <w:b/>
              </w:rPr>
            </w:pPr>
            <w:r>
              <w:rPr>
                <w:rFonts w:cs="Arial"/>
                <w:b/>
                <w:bCs/>
                <w:color w:val="000000"/>
                <w:szCs w:val="14"/>
              </w:rPr>
              <w:t>5.729.788</w:t>
            </w:r>
          </w:p>
        </w:tc>
        <w:tc>
          <w:tcPr>
            <w:tcW w:w="1329" w:type="dxa"/>
            <w:shd w:val="clear" w:color="auto" w:fill="auto"/>
            <w:vAlign w:val="bottom"/>
          </w:tcPr>
          <w:p w14:paraId="6A0A1F87" w14:textId="77777777" w:rsidR="00725333" w:rsidRPr="00A24524" w:rsidRDefault="00725333" w:rsidP="005E18E8">
            <w:pPr>
              <w:pStyle w:val="08-Tabelageral"/>
              <w:rPr>
                <w:b/>
              </w:rPr>
            </w:pPr>
            <w:r>
              <w:rPr>
                <w:rFonts w:cs="Arial"/>
                <w:b/>
                <w:bCs/>
                <w:color w:val="000000"/>
                <w:szCs w:val="14"/>
              </w:rPr>
              <w:t>3.058.497</w:t>
            </w:r>
          </w:p>
        </w:tc>
        <w:tc>
          <w:tcPr>
            <w:tcW w:w="1329" w:type="dxa"/>
            <w:shd w:val="clear" w:color="auto" w:fill="auto"/>
            <w:vAlign w:val="bottom"/>
          </w:tcPr>
          <w:p w14:paraId="216870E9" w14:textId="77777777" w:rsidR="00725333" w:rsidRPr="00A24524" w:rsidRDefault="00725333" w:rsidP="005E18E8">
            <w:pPr>
              <w:pStyle w:val="08-Tabelageral"/>
              <w:rPr>
                <w:b/>
              </w:rPr>
            </w:pPr>
            <w:r>
              <w:rPr>
                <w:rFonts w:cs="Arial"/>
                <w:b/>
                <w:bCs/>
                <w:color w:val="000000"/>
                <w:szCs w:val="14"/>
              </w:rPr>
              <w:t>(3.833.384)</w:t>
            </w:r>
          </w:p>
        </w:tc>
        <w:tc>
          <w:tcPr>
            <w:tcW w:w="1329" w:type="dxa"/>
            <w:shd w:val="clear" w:color="auto" w:fill="auto"/>
            <w:vAlign w:val="bottom"/>
          </w:tcPr>
          <w:p w14:paraId="3EC05F94" w14:textId="77777777" w:rsidR="00725333" w:rsidRPr="00A24524" w:rsidRDefault="00725333" w:rsidP="005E18E8">
            <w:pPr>
              <w:pStyle w:val="08-Tabelageral"/>
              <w:rPr>
                <w:b/>
              </w:rPr>
            </w:pPr>
            <w:r>
              <w:rPr>
                <w:rFonts w:cs="Arial"/>
                <w:b/>
                <w:bCs/>
                <w:color w:val="000000"/>
                <w:szCs w:val="14"/>
              </w:rPr>
              <w:t>4.954.901</w:t>
            </w:r>
          </w:p>
        </w:tc>
      </w:tr>
      <w:tr w:rsidR="00725333" w:rsidRPr="00A24524" w14:paraId="3CDB18A4" w14:textId="77777777" w:rsidTr="000F6E5E">
        <w:trPr>
          <w:trHeight w:val="238"/>
          <w:jc w:val="center"/>
        </w:trPr>
        <w:tc>
          <w:tcPr>
            <w:tcW w:w="4324" w:type="dxa"/>
            <w:shd w:val="clear" w:color="auto" w:fill="auto"/>
          </w:tcPr>
          <w:p w14:paraId="56B626BD" w14:textId="77777777" w:rsidR="00725333" w:rsidRPr="00A24524" w:rsidRDefault="00725333" w:rsidP="005E18E8">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vAlign w:val="bottom"/>
          </w:tcPr>
          <w:p w14:paraId="24F8F99A" w14:textId="77777777" w:rsidR="00725333" w:rsidRPr="00A24524" w:rsidRDefault="00725333" w:rsidP="005E18E8">
            <w:pPr>
              <w:pStyle w:val="08-Tabelageral"/>
              <w:rPr>
                <w:b/>
              </w:rPr>
            </w:pPr>
            <w:r>
              <w:rPr>
                <w:rFonts w:cs="Arial"/>
                <w:b/>
                <w:bCs/>
                <w:color w:val="000000"/>
                <w:szCs w:val="14"/>
              </w:rPr>
              <w:t>(57.667)</w:t>
            </w:r>
          </w:p>
        </w:tc>
        <w:tc>
          <w:tcPr>
            <w:tcW w:w="1329" w:type="dxa"/>
            <w:shd w:val="clear" w:color="auto" w:fill="auto"/>
            <w:vAlign w:val="bottom"/>
          </w:tcPr>
          <w:p w14:paraId="7E8C53B8" w14:textId="77777777" w:rsidR="00725333" w:rsidRPr="00A24524" w:rsidRDefault="00725333" w:rsidP="005E18E8">
            <w:pPr>
              <w:pStyle w:val="08-Tabelageral"/>
              <w:rPr>
                <w:b/>
              </w:rPr>
            </w:pPr>
            <w:r>
              <w:rPr>
                <w:rFonts w:cs="Arial"/>
                <w:b/>
                <w:bCs/>
                <w:color w:val="000000"/>
                <w:szCs w:val="14"/>
              </w:rPr>
              <w:t>(115.742)</w:t>
            </w:r>
          </w:p>
        </w:tc>
        <w:tc>
          <w:tcPr>
            <w:tcW w:w="1329" w:type="dxa"/>
            <w:shd w:val="clear" w:color="auto" w:fill="auto"/>
            <w:vAlign w:val="bottom"/>
          </w:tcPr>
          <w:p w14:paraId="6874C4AF" w14:textId="77777777" w:rsidR="00725333" w:rsidRPr="00A24524" w:rsidRDefault="00725333" w:rsidP="005E18E8">
            <w:pPr>
              <w:pStyle w:val="08-Tabelageral"/>
              <w:rPr>
                <w:b/>
              </w:rPr>
            </w:pPr>
            <w:r>
              <w:rPr>
                <w:rFonts w:cs="Arial"/>
                <w:b/>
                <w:bCs/>
                <w:color w:val="000000"/>
                <w:szCs w:val="14"/>
              </w:rPr>
              <w:t>--</w:t>
            </w:r>
          </w:p>
        </w:tc>
        <w:tc>
          <w:tcPr>
            <w:tcW w:w="1329" w:type="dxa"/>
            <w:shd w:val="clear" w:color="auto" w:fill="auto"/>
            <w:vAlign w:val="bottom"/>
          </w:tcPr>
          <w:p w14:paraId="62AA5DBD" w14:textId="77777777" w:rsidR="00725333" w:rsidRPr="00A24524" w:rsidRDefault="00725333" w:rsidP="005E18E8">
            <w:pPr>
              <w:pStyle w:val="08-Tabelageral"/>
              <w:rPr>
                <w:b/>
              </w:rPr>
            </w:pPr>
            <w:r>
              <w:rPr>
                <w:rFonts w:cs="Arial"/>
                <w:b/>
                <w:bCs/>
                <w:color w:val="000000"/>
                <w:szCs w:val="14"/>
              </w:rPr>
              <w:t>(173.411)</w:t>
            </w:r>
          </w:p>
        </w:tc>
      </w:tr>
      <w:tr w:rsidR="00725333" w:rsidRPr="001D6BE8" w14:paraId="7B7A5405" w14:textId="77777777" w:rsidTr="000F6E5E">
        <w:trPr>
          <w:trHeight w:val="238"/>
          <w:jc w:val="center"/>
        </w:trPr>
        <w:tc>
          <w:tcPr>
            <w:tcW w:w="4324" w:type="dxa"/>
            <w:shd w:val="clear" w:color="auto" w:fill="auto"/>
          </w:tcPr>
          <w:p w14:paraId="3C4D2485" w14:textId="77777777" w:rsidR="00725333" w:rsidRPr="00C806B0" w:rsidRDefault="00725333" w:rsidP="005E18E8">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767ECD18" w14:textId="77777777" w:rsidR="00725333" w:rsidRPr="00651800" w:rsidRDefault="00725333" w:rsidP="005E18E8">
            <w:pPr>
              <w:pStyle w:val="08-Tabelageral"/>
            </w:pPr>
            <w:r>
              <w:rPr>
                <w:rFonts w:cs="Arial"/>
                <w:color w:val="000000"/>
                <w:szCs w:val="14"/>
              </w:rPr>
              <w:t>(21.319)</w:t>
            </w:r>
          </w:p>
        </w:tc>
        <w:tc>
          <w:tcPr>
            <w:tcW w:w="1329" w:type="dxa"/>
            <w:shd w:val="clear" w:color="auto" w:fill="auto"/>
            <w:vAlign w:val="bottom"/>
          </w:tcPr>
          <w:p w14:paraId="798EF632" w14:textId="77777777" w:rsidR="00725333" w:rsidRPr="00651800" w:rsidRDefault="00725333" w:rsidP="005E18E8">
            <w:pPr>
              <w:pStyle w:val="08-Tabelageral"/>
            </w:pPr>
            <w:r>
              <w:rPr>
                <w:rFonts w:cs="Arial"/>
                <w:color w:val="000000"/>
                <w:szCs w:val="14"/>
              </w:rPr>
              <w:t>(42.574)</w:t>
            </w:r>
          </w:p>
        </w:tc>
        <w:tc>
          <w:tcPr>
            <w:tcW w:w="1329" w:type="dxa"/>
            <w:shd w:val="clear" w:color="auto" w:fill="auto"/>
            <w:vAlign w:val="bottom"/>
          </w:tcPr>
          <w:p w14:paraId="7C87CC54"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00B6AF93" w14:textId="77777777" w:rsidR="00725333" w:rsidRPr="00651800" w:rsidRDefault="00725333" w:rsidP="005E18E8">
            <w:pPr>
              <w:pStyle w:val="08-Tabelageral"/>
            </w:pPr>
            <w:r>
              <w:rPr>
                <w:rFonts w:cs="Arial"/>
                <w:color w:val="000000"/>
                <w:szCs w:val="14"/>
              </w:rPr>
              <w:t>(63.893)</w:t>
            </w:r>
          </w:p>
        </w:tc>
      </w:tr>
      <w:tr w:rsidR="00725333" w:rsidRPr="001D6BE8" w14:paraId="45578EB6" w14:textId="77777777" w:rsidTr="000F6E5E">
        <w:trPr>
          <w:trHeight w:val="238"/>
          <w:jc w:val="center"/>
        </w:trPr>
        <w:tc>
          <w:tcPr>
            <w:tcW w:w="4324" w:type="dxa"/>
            <w:shd w:val="clear" w:color="auto" w:fill="auto"/>
          </w:tcPr>
          <w:p w14:paraId="1EF637CF" w14:textId="77777777" w:rsidR="00725333" w:rsidRPr="00C806B0" w:rsidRDefault="00725333" w:rsidP="005E18E8">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66C7C61B" w14:textId="77777777" w:rsidR="00725333" w:rsidRPr="00651800" w:rsidRDefault="00725333" w:rsidP="005E18E8">
            <w:pPr>
              <w:pStyle w:val="08-Tabelageral"/>
            </w:pPr>
            <w:r>
              <w:rPr>
                <w:rFonts w:cs="Arial"/>
                <w:color w:val="000000"/>
                <w:szCs w:val="14"/>
              </w:rPr>
              <w:t>(6.441)</w:t>
            </w:r>
          </w:p>
        </w:tc>
        <w:tc>
          <w:tcPr>
            <w:tcW w:w="1329" w:type="dxa"/>
            <w:shd w:val="clear" w:color="auto" w:fill="auto"/>
            <w:vAlign w:val="bottom"/>
          </w:tcPr>
          <w:p w14:paraId="1907E5B5" w14:textId="77777777" w:rsidR="00725333" w:rsidRPr="00651800" w:rsidRDefault="00725333" w:rsidP="005E18E8">
            <w:pPr>
              <w:pStyle w:val="08-Tabelageral"/>
            </w:pPr>
            <w:r>
              <w:rPr>
                <w:rFonts w:cs="Arial"/>
                <w:color w:val="000000"/>
                <w:szCs w:val="14"/>
              </w:rPr>
              <w:t>(62.983)</w:t>
            </w:r>
          </w:p>
        </w:tc>
        <w:tc>
          <w:tcPr>
            <w:tcW w:w="1329" w:type="dxa"/>
            <w:shd w:val="clear" w:color="auto" w:fill="auto"/>
            <w:vAlign w:val="bottom"/>
          </w:tcPr>
          <w:p w14:paraId="5F0419CF"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3B5EF7DC" w14:textId="77777777" w:rsidR="00725333" w:rsidRPr="00651800" w:rsidRDefault="00725333" w:rsidP="005E18E8">
            <w:pPr>
              <w:pStyle w:val="08-Tabelageral"/>
            </w:pPr>
            <w:r>
              <w:rPr>
                <w:rFonts w:cs="Arial"/>
                <w:color w:val="000000"/>
                <w:szCs w:val="14"/>
              </w:rPr>
              <w:t>(69.424)</w:t>
            </w:r>
          </w:p>
        </w:tc>
      </w:tr>
      <w:tr w:rsidR="00725333" w:rsidRPr="001D6BE8" w14:paraId="75B58F15" w14:textId="77777777" w:rsidTr="000F6E5E">
        <w:trPr>
          <w:trHeight w:val="238"/>
          <w:jc w:val="center"/>
        </w:trPr>
        <w:tc>
          <w:tcPr>
            <w:tcW w:w="4324" w:type="dxa"/>
            <w:shd w:val="clear" w:color="auto" w:fill="auto"/>
          </w:tcPr>
          <w:p w14:paraId="4B0AA326" w14:textId="77777777" w:rsidR="00725333" w:rsidRPr="00C806B0" w:rsidRDefault="00725333" w:rsidP="005E18E8">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7221CA22" w14:textId="77777777" w:rsidR="00725333" w:rsidRPr="00651800" w:rsidRDefault="00725333" w:rsidP="005E18E8">
            <w:pPr>
              <w:pStyle w:val="08-Tabelageral"/>
            </w:pPr>
            <w:r>
              <w:rPr>
                <w:rFonts w:cs="Arial"/>
                <w:color w:val="000000"/>
                <w:szCs w:val="14"/>
              </w:rPr>
              <w:t>(9.796)</w:t>
            </w:r>
          </w:p>
        </w:tc>
        <w:tc>
          <w:tcPr>
            <w:tcW w:w="1329" w:type="dxa"/>
            <w:shd w:val="clear" w:color="auto" w:fill="auto"/>
            <w:vAlign w:val="bottom"/>
          </w:tcPr>
          <w:p w14:paraId="155478AF" w14:textId="77777777" w:rsidR="00725333" w:rsidRPr="00651800" w:rsidRDefault="00725333" w:rsidP="005E18E8">
            <w:pPr>
              <w:pStyle w:val="08-Tabelageral"/>
            </w:pPr>
            <w:r>
              <w:rPr>
                <w:rFonts w:cs="Arial"/>
                <w:color w:val="000000"/>
                <w:szCs w:val="14"/>
              </w:rPr>
              <w:t>(2.762)</w:t>
            </w:r>
          </w:p>
        </w:tc>
        <w:tc>
          <w:tcPr>
            <w:tcW w:w="1329" w:type="dxa"/>
            <w:shd w:val="clear" w:color="auto" w:fill="auto"/>
            <w:vAlign w:val="bottom"/>
          </w:tcPr>
          <w:p w14:paraId="64A68EA4"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64BB04D7" w14:textId="77777777" w:rsidR="00725333" w:rsidRPr="00651800" w:rsidRDefault="00725333" w:rsidP="005E18E8">
            <w:pPr>
              <w:pStyle w:val="08-Tabelageral"/>
            </w:pPr>
            <w:r>
              <w:rPr>
                <w:rFonts w:cs="Arial"/>
                <w:color w:val="000000"/>
                <w:szCs w:val="14"/>
              </w:rPr>
              <w:t>(12.559)</w:t>
            </w:r>
          </w:p>
        </w:tc>
      </w:tr>
      <w:tr w:rsidR="00725333" w:rsidRPr="001D6BE8" w14:paraId="1A8C2382" w14:textId="77777777" w:rsidTr="000F6E5E">
        <w:trPr>
          <w:trHeight w:val="238"/>
          <w:jc w:val="center"/>
        </w:trPr>
        <w:tc>
          <w:tcPr>
            <w:tcW w:w="4324" w:type="dxa"/>
            <w:shd w:val="clear" w:color="auto" w:fill="auto"/>
          </w:tcPr>
          <w:p w14:paraId="513F16CF" w14:textId="77777777" w:rsidR="00725333" w:rsidRPr="00C806B0" w:rsidRDefault="00725333" w:rsidP="005E18E8">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7C5AD88A" w14:textId="77777777" w:rsidR="00725333" w:rsidRPr="00651800" w:rsidRDefault="00725333" w:rsidP="005E18E8">
            <w:pPr>
              <w:pStyle w:val="08-Tabelageral"/>
            </w:pPr>
            <w:r>
              <w:rPr>
                <w:rFonts w:cs="Arial"/>
                <w:color w:val="000000"/>
                <w:szCs w:val="14"/>
              </w:rPr>
              <w:t>(20.111)</w:t>
            </w:r>
          </w:p>
        </w:tc>
        <w:tc>
          <w:tcPr>
            <w:tcW w:w="1329" w:type="dxa"/>
            <w:shd w:val="clear" w:color="auto" w:fill="auto"/>
            <w:vAlign w:val="bottom"/>
          </w:tcPr>
          <w:p w14:paraId="44322210" w14:textId="77777777" w:rsidR="00725333" w:rsidRPr="00651800" w:rsidRDefault="00725333" w:rsidP="005E18E8">
            <w:pPr>
              <w:pStyle w:val="08-Tabelageral"/>
            </w:pPr>
            <w:r>
              <w:rPr>
                <w:rFonts w:cs="Arial"/>
                <w:color w:val="000000"/>
                <w:szCs w:val="14"/>
              </w:rPr>
              <w:t>(7.423)</w:t>
            </w:r>
          </w:p>
        </w:tc>
        <w:tc>
          <w:tcPr>
            <w:tcW w:w="1329" w:type="dxa"/>
            <w:shd w:val="clear" w:color="auto" w:fill="auto"/>
            <w:vAlign w:val="bottom"/>
          </w:tcPr>
          <w:p w14:paraId="5251AA6F" w14:textId="77777777" w:rsidR="00725333" w:rsidRPr="00651800" w:rsidRDefault="00725333" w:rsidP="005E18E8">
            <w:pPr>
              <w:pStyle w:val="08-Tabelageral"/>
            </w:pPr>
            <w:r>
              <w:rPr>
                <w:rFonts w:cs="Arial"/>
                <w:color w:val="000000"/>
                <w:szCs w:val="14"/>
              </w:rPr>
              <w:t>--</w:t>
            </w:r>
          </w:p>
        </w:tc>
        <w:tc>
          <w:tcPr>
            <w:tcW w:w="1329" w:type="dxa"/>
            <w:shd w:val="clear" w:color="auto" w:fill="auto"/>
            <w:vAlign w:val="bottom"/>
          </w:tcPr>
          <w:p w14:paraId="2204505F" w14:textId="77777777" w:rsidR="00725333" w:rsidRPr="00651800" w:rsidRDefault="00725333" w:rsidP="005E18E8">
            <w:pPr>
              <w:pStyle w:val="08-Tabelageral"/>
            </w:pPr>
            <w:r>
              <w:rPr>
                <w:rFonts w:cs="Arial"/>
                <w:color w:val="000000"/>
                <w:szCs w:val="14"/>
              </w:rPr>
              <w:t>(27.535)</w:t>
            </w:r>
          </w:p>
        </w:tc>
      </w:tr>
      <w:tr w:rsidR="00725333" w:rsidRPr="00A24524" w14:paraId="0259612B" w14:textId="77777777" w:rsidTr="000F6E5E">
        <w:trPr>
          <w:trHeight w:val="238"/>
          <w:jc w:val="center"/>
        </w:trPr>
        <w:tc>
          <w:tcPr>
            <w:tcW w:w="4324" w:type="dxa"/>
            <w:shd w:val="clear" w:color="auto" w:fill="auto"/>
          </w:tcPr>
          <w:p w14:paraId="0D3AE149" w14:textId="77777777" w:rsidR="00725333" w:rsidRPr="00A24524" w:rsidRDefault="00725333" w:rsidP="005E18E8">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vAlign w:val="bottom"/>
          </w:tcPr>
          <w:p w14:paraId="26E163B2" w14:textId="77777777" w:rsidR="00725333" w:rsidRPr="00A24524" w:rsidRDefault="00725333" w:rsidP="005E18E8">
            <w:pPr>
              <w:pStyle w:val="08-Tabelageral"/>
              <w:rPr>
                <w:b/>
              </w:rPr>
            </w:pPr>
            <w:r>
              <w:rPr>
                <w:rFonts w:cs="Arial"/>
                <w:b/>
                <w:bCs/>
                <w:color w:val="000000"/>
                <w:szCs w:val="14"/>
              </w:rPr>
              <w:t>5.672.121</w:t>
            </w:r>
          </w:p>
        </w:tc>
        <w:tc>
          <w:tcPr>
            <w:tcW w:w="1329" w:type="dxa"/>
            <w:shd w:val="clear" w:color="auto" w:fill="auto"/>
            <w:vAlign w:val="bottom"/>
          </w:tcPr>
          <w:p w14:paraId="2FBA63A7" w14:textId="77777777" w:rsidR="00725333" w:rsidRPr="00A24524" w:rsidRDefault="00725333" w:rsidP="005E18E8">
            <w:pPr>
              <w:pStyle w:val="08-Tabelageral"/>
              <w:rPr>
                <w:b/>
              </w:rPr>
            </w:pPr>
            <w:r>
              <w:rPr>
                <w:rFonts w:cs="Arial"/>
                <w:b/>
                <w:bCs/>
                <w:color w:val="000000"/>
                <w:szCs w:val="14"/>
              </w:rPr>
              <w:t>2.942.755</w:t>
            </w:r>
          </w:p>
        </w:tc>
        <w:tc>
          <w:tcPr>
            <w:tcW w:w="1329" w:type="dxa"/>
            <w:shd w:val="clear" w:color="auto" w:fill="auto"/>
            <w:vAlign w:val="bottom"/>
          </w:tcPr>
          <w:p w14:paraId="1C8DDC28" w14:textId="77777777" w:rsidR="00725333" w:rsidRPr="00A24524" w:rsidRDefault="00725333" w:rsidP="005E18E8">
            <w:pPr>
              <w:pStyle w:val="08-Tabelageral"/>
              <w:rPr>
                <w:b/>
              </w:rPr>
            </w:pPr>
            <w:r>
              <w:rPr>
                <w:rFonts w:cs="Arial"/>
                <w:b/>
                <w:bCs/>
                <w:color w:val="000000"/>
                <w:szCs w:val="14"/>
              </w:rPr>
              <w:t>(3.833.384)</w:t>
            </w:r>
          </w:p>
        </w:tc>
        <w:tc>
          <w:tcPr>
            <w:tcW w:w="1329" w:type="dxa"/>
            <w:shd w:val="clear" w:color="auto" w:fill="auto"/>
            <w:vAlign w:val="bottom"/>
          </w:tcPr>
          <w:p w14:paraId="09439FE2" w14:textId="77777777" w:rsidR="00725333" w:rsidRPr="00A24524" w:rsidRDefault="00725333" w:rsidP="005E18E8">
            <w:pPr>
              <w:pStyle w:val="08-Tabelageral"/>
              <w:rPr>
                <w:b/>
              </w:rPr>
            </w:pPr>
            <w:r>
              <w:rPr>
                <w:rFonts w:cs="Arial"/>
                <w:b/>
                <w:bCs/>
                <w:color w:val="000000"/>
                <w:szCs w:val="14"/>
              </w:rPr>
              <w:t>4.781.490</w:t>
            </w:r>
          </w:p>
        </w:tc>
      </w:tr>
      <w:tr w:rsidR="00725333" w:rsidRPr="00A24524" w14:paraId="04941CA9" w14:textId="77777777" w:rsidTr="000F6E5E">
        <w:trPr>
          <w:trHeight w:val="238"/>
          <w:jc w:val="center"/>
        </w:trPr>
        <w:tc>
          <w:tcPr>
            <w:tcW w:w="4324" w:type="dxa"/>
            <w:shd w:val="clear" w:color="auto" w:fill="auto"/>
          </w:tcPr>
          <w:p w14:paraId="39F16DB6" w14:textId="77777777" w:rsidR="00725333" w:rsidRPr="00A24524" w:rsidRDefault="00725333" w:rsidP="005E18E8">
            <w:pPr>
              <w:pStyle w:val="08-Tabelageral"/>
              <w:jc w:val="left"/>
              <w:rPr>
                <w:rFonts w:cs="Arial"/>
                <w:b/>
                <w:szCs w:val="14"/>
              </w:rPr>
            </w:pPr>
            <w:r w:rsidRPr="00A24524">
              <w:rPr>
                <w:rFonts w:cs="Arial"/>
                <w:b/>
                <w:szCs w:val="14"/>
              </w:rPr>
              <w:t>Resultado Financeiro</w:t>
            </w:r>
          </w:p>
        </w:tc>
        <w:tc>
          <w:tcPr>
            <w:tcW w:w="1328" w:type="dxa"/>
            <w:shd w:val="clear" w:color="auto" w:fill="auto"/>
            <w:vAlign w:val="bottom"/>
          </w:tcPr>
          <w:p w14:paraId="7E0AB6B5" w14:textId="77777777" w:rsidR="00725333" w:rsidRPr="00A24524" w:rsidRDefault="00725333" w:rsidP="005E18E8">
            <w:pPr>
              <w:pStyle w:val="08-Tabelageral"/>
              <w:rPr>
                <w:b/>
              </w:rPr>
            </w:pPr>
            <w:r>
              <w:rPr>
                <w:rFonts w:cs="Arial"/>
                <w:b/>
                <w:bCs/>
                <w:color w:val="000000"/>
                <w:szCs w:val="14"/>
              </w:rPr>
              <w:t>61.897</w:t>
            </w:r>
          </w:p>
        </w:tc>
        <w:tc>
          <w:tcPr>
            <w:tcW w:w="1329" w:type="dxa"/>
            <w:shd w:val="clear" w:color="auto" w:fill="auto"/>
            <w:vAlign w:val="bottom"/>
          </w:tcPr>
          <w:p w14:paraId="7C103B8E" w14:textId="77777777" w:rsidR="00725333" w:rsidRPr="00A24524" w:rsidRDefault="00725333" w:rsidP="005E18E8">
            <w:pPr>
              <w:pStyle w:val="08-Tabelageral"/>
              <w:rPr>
                <w:b/>
              </w:rPr>
            </w:pPr>
            <w:r>
              <w:rPr>
                <w:rFonts w:cs="Arial"/>
                <w:b/>
                <w:bCs/>
                <w:color w:val="000000"/>
                <w:szCs w:val="14"/>
              </w:rPr>
              <w:t>49.252</w:t>
            </w:r>
          </w:p>
        </w:tc>
        <w:tc>
          <w:tcPr>
            <w:tcW w:w="1329" w:type="dxa"/>
            <w:shd w:val="clear" w:color="auto" w:fill="auto"/>
            <w:vAlign w:val="bottom"/>
          </w:tcPr>
          <w:p w14:paraId="15C9B5E4" w14:textId="77777777" w:rsidR="00725333" w:rsidRPr="00A24524" w:rsidRDefault="00725333" w:rsidP="005E18E8">
            <w:pPr>
              <w:pStyle w:val="08-Tabelageral"/>
              <w:rPr>
                <w:b/>
              </w:rPr>
            </w:pPr>
            <w:r>
              <w:rPr>
                <w:rFonts w:cs="Arial"/>
                <w:b/>
                <w:bCs/>
                <w:color w:val="000000"/>
                <w:szCs w:val="14"/>
              </w:rPr>
              <w:t>--</w:t>
            </w:r>
          </w:p>
        </w:tc>
        <w:tc>
          <w:tcPr>
            <w:tcW w:w="1329" w:type="dxa"/>
            <w:shd w:val="clear" w:color="auto" w:fill="auto"/>
            <w:vAlign w:val="bottom"/>
          </w:tcPr>
          <w:p w14:paraId="7653B6AE" w14:textId="77777777" w:rsidR="00725333" w:rsidRPr="00A24524" w:rsidRDefault="00725333" w:rsidP="005E18E8">
            <w:pPr>
              <w:pStyle w:val="08-Tabelageral"/>
              <w:rPr>
                <w:b/>
              </w:rPr>
            </w:pPr>
            <w:r>
              <w:rPr>
                <w:rFonts w:cs="Arial"/>
                <w:b/>
                <w:bCs/>
                <w:color w:val="000000"/>
                <w:szCs w:val="14"/>
              </w:rPr>
              <w:t>111.150</w:t>
            </w:r>
          </w:p>
        </w:tc>
      </w:tr>
      <w:tr w:rsidR="00725333" w:rsidRPr="001D6BE8" w14:paraId="7C230083" w14:textId="77777777" w:rsidTr="000F6E5E">
        <w:trPr>
          <w:trHeight w:val="238"/>
          <w:jc w:val="center"/>
        </w:trPr>
        <w:tc>
          <w:tcPr>
            <w:tcW w:w="4324" w:type="dxa"/>
            <w:shd w:val="clear" w:color="auto" w:fill="auto"/>
          </w:tcPr>
          <w:p w14:paraId="411C4527" w14:textId="77777777" w:rsidR="00725333" w:rsidRPr="00C806B0" w:rsidRDefault="00725333" w:rsidP="005E18E8">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7495C720" w14:textId="77777777" w:rsidR="00725333" w:rsidRPr="00651800" w:rsidRDefault="00725333" w:rsidP="005E18E8">
            <w:pPr>
              <w:pStyle w:val="08-Tabelageral"/>
            </w:pPr>
            <w:r>
              <w:rPr>
                <w:rFonts w:cs="Arial"/>
                <w:color w:val="000000"/>
                <w:szCs w:val="14"/>
              </w:rPr>
              <w:t>94.622</w:t>
            </w:r>
          </w:p>
        </w:tc>
        <w:tc>
          <w:tcPr>
            <w:tcW w:w="1329" w:type="dxa"/>
            <w:shd w:val="clear" w:color="auto" w:fill="auto"/>
            <w:vAlign w:val="bottom"/>
          </w:tcPr>
          <w:p w14:paraId="31050E49" w14:textId="77777777" w:rsidR="00725333" w:rsidRPr="00651800" w:rsidRDefault="00725333" w:rsidP="005E18E8">
            <w:pPr>
              <w:pStyle w:val="08-Tabelageral"/>
            </w:pPr>
            <w:r>
              <w:rPr>
                <w:rFonts w:cs="Arial"/>
                <w:color w:val="000000"/>
                <w:szCs w:val="14"/>
              </w:rPr>
              <w:t>58.024</w:t>
            </w:r>
          </w:p>
        </w:tc>
        <w:tc>
          <w:tcPr>
            <w:tcW w:w="1329" w:type="dxa"/>
            <w:shd w:val="clear" w:color="auto" w:fill="auto"/>
            <w:vAlign w:val="bottom"/>
          </w:tcPr>
          <w:p w14:paraId="2A01E382" w14:textId="77777777" w:rsidR="00725333" w:rsidRPr="00651800" w:rsidRDefault="00725333" w:rsidP="005E18E8">
            <w:pPr>
              <w:pStyle w:val="08-Tabelageral"/>
            </w:pPr>
            <w:r>
              <w:rPr>
                <w:rFonts w:cs="Arial"/>
                <w:color w:val="000000"/>
                <w:szCs w:val="14"/>
              </w:rPr>
              <w:t>(13.990)</w:t>
            </w:r>
          </w:p>
        </w:tc>
        <w:tc>
          <w:tcPr>
            <w:tcW w:w="1329" w:type="dxa"/>
            <w:shd w:val="clear" w:color="auto" w:fill="auto"/>
            <w:vAlign w:val="bottom"/>
          </w:tcPr>
          <w:p w14:paraId="2581B5AA" w14:textId="77777777" w:rsidR="00725333" w:rsidRPr="00651800" w:rsidRDefault="00725333" w:rsidP="005E18E8">
            <w:pPr>
              <w:pStyle w:val="08-Tabelageral"/>
            </w:pPr>
            <w:r>
              <w:rPr>
                <w:rFonts w:cs="Arial"/>
                <w:color w:val="000000"/>
                <w:szCs w:val="14"/>
              </w:rPr>
              <w:t>138.657</w:t>
            </w:r>
          </w:p>
        </w:tc>
      </w:tr>
      <w:tr w:rsidR="00725333" w:rsidRPr="001D6BE8" w14:paraId="1F01E088" w14:textId="77777777" w:rsidTr="000F6E5E">
        <w:trPr>
          <w:trHeight w:val="238"/>
          <w:jc w:val="center"/>
        </w:trPr>
        <w:tc>
          <w:tcPr>
            <w:tcW w:w="4324" w:type="dxa"/>
            <w:shd w:val="clear" w:color="auto" w:fill="auto"/>
          </w:tcPr>
          <w:p w14:paraId="65D7A5E9" w14:textId="77777777" w:rsidR="00725333" w:rsidRPr="00C806B0" w:rsidRDefault="00725333" w:rsidP="005E18E8">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1D04D375" w14:textId="77777777" w:rsidR="00725333" w:rsidRPr="00651800" w:rsidRDefault="00725333" w:rsidP="005E18E8">
            <w:pPr>
              <w:pStyle w:val="08-Tabelageral"/>
            </w:pPr>
            <w:r>
              <w:rPr>
                <w:rFonts w:cs="Arial"/>
                <w:color w:val="000000"/>
                <w:szCs w:val="14"/>
              </w:rPr>
              <w:t>(32.725)</w:t>
            </w:r>
          </w:p>
        </w:tc>
        <w:tc>
          <w:tcPr>
            <w:tcW w:w="1329" w:type="dxa"/>
            <w:shd w:val="clear" w:color="auto" w:fill="auto"/>
            <w:vAlign w:val="bottom"/>
          </w:tcPr>
          <w:p w14:paraId="5D30F3FD" w14:textId="77777777" w:rsidR="00725333" w:rsidRPr="00651800" w:rsidRDefault="00725333" w:rsidP="005E18E8">
            <w:pPr>
              <w:pStyle w:val="08-Tabelageral"/>
            </w:pPr>
            <w:r>
              <w:rPr>
                <w:rFonts w:cs="Arial"/>
                <w:color w:val="000000"/>
                <w:szCs w:val="14"/>
              </w:rPr>
              <w:t>(8.772)</w:t>
            </w:r>
          </w:p>
        </w:tc>
        <w:tc>
          <w:tcPr>
            <w:tcW w:w="1329" w:type="dxa"/>
            <w:shd w:val="clear" w:color="auto" w:fill="auto"/>
            <w:vAlign w:val="bottom"/>
          </w:tcPr>
          <w:p w14:paraId="3A0D0B80" w14:textId="77777777" w:rsidR="00725333" w:rsidRPr="00651800" w:rsidRDefault="00725333" w:rsidP="005E18E8">
            <w:pPr>
              <w:pStyle w:val="08-Tabelageral"/>
            </w:pPr>
            <w:r>
              <w:rPr>
                <w:rFonts w:cs="Arial"/>
                <w:color w:val="000000"/>
                <w:szCs w:val="14"/>
              </w:rPr>
              <w:t>13.990</w:t>
            </w:r>
          </w:p>
        </w:tc>
        <w:tc>
          <w:tcPr>
            <w:tcW w:w="1329" w:type="dxa"/>
            <w:shd w:val="clear" w:color="auto" w:fill="auto"/>
            <w:vAlign w:val="bottom"/>
          </w:tcPr>
          <w:p w14:paraId="217EF821" w14:textId="77777777" w:rsidR="00725333" w:rsidRPr="00651800" w:rsidRDefault="00725333" w:rsidP="005E18E8">
            <w:pPr>
              <w:pStyle w:val="08-Tabelageral"/>
            </w:pPr>
            <w:r>
              <w:rPr>
                <w:rFonts w:cs="Arial"/>
                <w:color w:val="000000"/>
                <w:szCs w:val="14"/>
              </w:rPr>
              <w:t>(27.507)</w:t>
            </w:r>
          </w:p>
        </w:tc>
      </w:tr>
      <w:tr w:rsidR="00725333" w:rsidRPr="00A24524" w14:paraId="61B18127" w14:textId="77777777" w:rsidTr="000F6E5E">
        <w:trPr>
          <w:trHeight w:val="238"/>
          <w:jc w:val="center"/>
        </w:trPr>
        <w:tc>
          <w:tcPr>
            <w:tcW w:w="4324" w:type="dxa"/>
            <w:shd w:val="clear" w:color="auto" w:fill="auto"/>
          </w:tcPr>
          <w:p w14:paraId="260F9361" w14:textId="77777777" w:rsidR="00725333" w:rsidRPr="00A24524" w:rsidRDefault="00725333" w:rsidP="005E18E8">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vAlign w:val="bottom"/>
          </w:tcPr>
          <w:p w14:paraId="3E95BF23" w14:textId="77777777" w:rsidR="00725333" w:rsidRPr="00A24524" w:rsidRDefault="00725333" w:rsidP="005E18E8">
            <w:pPr>
              <w:pStyle w:val="08-Tabelageral"/>
              <w:rPr>
                <w:b/>
              </w:rPr>
            </w:pPr>
            <w:r>
              <w:rPr>
                <w:rFonts w:cs="Arial"/>
                <w:b/>
                <w:bCs/>
                <w:color w:val="000000"/>
                <w:szCs w:val="14"/>
              </w:rPr>
              <w:t>5.734.018</w:t>
            </w:r>
          </w:p>
        </w:tc>
        <w:tc>
          <w:tcPr>
            <w:tcW w:w="1329" w:type="dxa"/>
            <w:shd w:val="clear" w:color="auto" w:fill="auto"/>
            <w:vAlign w:val="bottom"/>
          </w:tcPr>
          <w:p w14:paraId="11D285D2" w14:textId="77777777" w:rsidR="00725333" w:rsidRPr="00A24524" w:rsidRDefault="00725333" w:rsidP="005E18E8">
            <w:pPr>
              <w:pStyle w:val="08-Tabelageral"/>
              <w:rPr>
                <w:b/>
              </w:rPr>
            </w:pPr>
            <w:r>
              <w:rPr>
                <w:rFonts w:cs="Arial"/>
                <w:b/>
                <w:bCs/>
                <w:color w:val="000000"/>
                <w:szCs w:val="14"/>
              </w:rPr>
              <w:t>2.992.007</w:t>
            </w:r>
          </w:p>
        </w:tc>
        <w:tc>
          <w:tcPr>
            <w:tcW w:w="1329" w:type="dxa"/>
            <w:shd w:val="clear" w:color="auto" w:fill="auto"/>
            <w:vAlign w:val="bottom"/>
          </w:tcPr>
          <w:p w14:paraId="5464968A" w14:textId="77777777" w:rsidR="00725333" w:rsidRPr="00A24524" w:rsidRDefault="00725333" w:rsidP="005E18E8">
            <w:pPr>
              <w:pStyle w:val="08-Tabelageral"/>
              <w:rPr>
                <w:b/>
              </w:rPr>
            </w:pPr>
            <w:r>
              <w:rPr>
                <w:rFonts w:cs="Arial"/>
                <w:b/>
                <w:bCs/>
                <w:color w:val="000000"/>
                <w:szCs w:val="14"/>
              </w:rPr>
              <w:t>(3.833.384)</w:t>
            </w:r>
          </w:p>
        </w:tc>
        <w:tc>
          <w:tcPr>
            <w:tcW w:w="1329" w:type="dxa"/>
            <w:shd w:val="clear" w:color="auto" w:fill="auto"/>
            <w:vAlign w:val="bottom"/>
          </w:tcPr>
          <w:p w14:paraId="31F01063" w14:textId="77777777" w:rsidR="00725333" w:rsidRPr="00A24524" w:rsidRDefault="00725333" w:rsidP="005E18E8">
            <w:pPr>
              <w:pStyle w:val="08-Tabelageral"/>
              <w:rPr>
                <w:b/>
              </w:rPr>
            </w:pPr>
            <w:r>
              <w:rPr>
                <w:rFonts w:cs="Arial"/>
                <w:b/>
                <w:bCs/>
                <w:color w:val="000000"/>
                <w:szCs w:val="14"/>
              </w:rPr>
              <w:t>4.892.640</w:t>
            </w:r>
          </w:p>
        </w:tc>
      </w:tr>
      <w:tr w:rsidR="00725333" w:rsidRPr="00C97D95" w14:paraId="26C7B66C" w14:textId="77777777" w:rsidTr="000F6E5E">
        <w:trPr>
          <w:trHeight w:val="238"/>
          <w:jc w:val="center"/>
        </w:trPr>
        <w:tc>
          <w:tcPr>
            <w:tcW w:w="4324" w:type="dxa"/>
            <w:shd w:val="clear" w:color="auto" w:fill="auto"/>
          </w:tcPr>
          <w:p w14:paraId="71B4912D" w14:textId="77777777" w:rsidR="00725333" w:rsidRPr="00A869C3" w:rsidRDefault="00725333" w:rsidP="00A869C3">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vAlign w:val="bottom"/>
          </w:tcPr>
          <w:p w14:paraId="37326DA6" w14:textId="77777777" w:rsidR="00725333" w:rsidRPr="00C97D95" w:rsidRDefault="00725333" w:rsidP="005E18E8">
            <w:pPr>
              <w:pStyle w:val="08-Tabelageral"/>
              <w:rPr>
                <w:bCs/>
              </w:rPr>
            </w:pPr>
            <w:r>
              <w:rPr>
                <w:rFonts w:cs="Arial"/>
                <w:color w:val="000000"/>
                <w:szCs w:val="14"/>
              </w:rPr>
              <w:t>(18.968)</w:t>
            </w:r>
          </w:p>
        </w:tc>
        <w:tc>
          <w:tcPr>
            <w:tcW w:w="1329" w:type="dxa"/>
            <w:shd w:val="clear" w:color="auto" w:fill="auto"/>
            <w:vAlign w:val="bottom"/>
          </w:tcPr>
          <w:p w14:paraId="24A54E5A" w14:textId="77777777" w:rsidR="00725333" w:rsidRPr="00C97D95" w:rsidRDefault="00725333" w:rsidP="005E18E8">
            <w:pPr>
              <w:pStyle w:val="08-Tabelageral"/>
              <w:rPr>
                <w:bCs/>
              </w:rPr>
            </w:pPr>
            <w:r>
              <w:rPr>
                <w:rFonts w:cs="Arial"/>
                <w:color w:val="000000"/>
                <w:szCs w:val="14"/>
              </w:rPr>
              <w:t>(1.022.900)</w:t>
            </w:r>
          </w:p>
        </w:tc>
        <w:tc>
          <w:tcPr>
            <w:tcW w:w="1329" w:type="dxa"/>
            <w:shd w:val="clear" w:color="auto" w:fill="auto"/>
            <w:vAlign w:val="bottom"/>
          </w:tcPr>
          <w:p w14:paraId="74BB8C63" w14:textId="77777777" w:rsidR="00725333" w:rsidRPr="00C97D95" w:rsidRDefault="00725333" w:rsidP="005E18E8">
            <w:pPr>
              <w:pStyle w:val="08-Tabelageral"/>
              <w:rPr>
                <w:bCs/>
              </w:rPr>
            </w:pPr>
            <w:r>
              <w:rPr>
                <w:rFonts w:cs="Arial"/>
                <w:color w:val="000000"/>
                <w:szCs w:val="14"/>
              </w:rPr>
              <w:t>--</w:t>
            </w:r>
          </w:p>
        </w:tc>
        <w:tc>
          <w:tcPr>
            <w:tcW w:w="1329" w:type="dxa"/>
            <w:shd w:val="clear" w:color="auto" w:fill="auto"/>
            <w:vAlign w:val="bottom"/>
          </w:tcPr>
          <w:p w14:paraId="5A05ACEC" w14:textId="77777777" w:rsidR="00725333" w:rsidRPr="00C97D95" w:rsidRDefault="00725333" w:rsidP="005E18E8">
            <w:pPr>
              <w:pStyle w:val="08-Tabelageral"/>
              <w:rPr>
                <w:bCs/>
              </w:rPr>
            </w:pPr>
            <w:r>
              <w:rPr>
                <w:rFonts w:cs="Arial"/>
                <w:color w:val="000000"/>
                <w:szCs w:val="14"/>
              </w:rPr>
              <w:t>(1.041.869)</w:t>
            </w:r>
          </w:p>
        </w:tc>
      </w:tr>
      <w:tr w:rsidR="00725333" w:rsidRPr="00A24524" w14:paraId="483E3B1F" w14:textId="77777777" w:rsidTr="000F6E5E">
        <w:trPr>
          <w:trHeight w:val="238"/>
          <w:jc w:val="center"/>
        </w:trPr>
        <w:tc>
          <w:tcPr>
            <w:tcW w:w="4324" w:type="dxa"/>
            <w:tcBorders>
              <w:bottom w:val="single" w:sz="2" w:space="0" w:color="1F4E79" w:themeColor="accent1" w:themeShade="80"/>
            </w:tcBorders>
            <w:shd w:val="clear" w:color="auto" w:fill="auto"/>
          </w:tcPr>
          <w:p w14:paraId="56AE1B29" w14:textId="77777777" w:rsidR="00725333" w:rsidRPr="00A24524" w:rsidRDefault="00725333" w:rsidP="005E18E8">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Exercício</w:t>
            </w:r>
          </w:p>
        </w:tc>
        <w:tc>
          <w:tcPr>
            <w:tcW w:w="1328" w:type="dxa"/>
            <w:tcBorders>
              <w:bottom w:val="single" w:sz="2" w:space="0" w:color="1F4E79" w:themeColor="accent1" w:themeShade="80"/>
            </w:tcBorders>
            <w:shd w:val="clear" w:color="auto" w:fill="auto"/>
            <w:vAlign w:val="bottom"/>
          </w:tcPr>
          <w:p w14:paraId="7054CA22" w14:textId="77777777" w:rsidR="00725333" w:rsidRPr="00A24524" w:rsidRDefault="00725333" w:rsidP="005E18E8">
            <w:pPr>
              <w:pStyle w:val="08-Tabelageral"/>
              <w:rPr>
                <w:b/>
              </w:rPr>
            </w:pPr>
            <w:r>
              <w:rPr>
                <w:rFonts w:cs="Arial"/>
                <w:b/>
                <w:bCs/>
                <w:color w:val="000000"/>
                <w:szCs w:val="14"/>
              </w:rPr>
              <w:t>5.715.050</w:t>
            </w:r>
          </w:p>
        </w:tc>
        <w:tc>
          <w:tcPr>
            <w:tcW w:w="1329" w:type="dxa"/>
            <w:tcBorders>
              <w:bottom w:val="single" w:sz="2" w:space="0" w:color="1F4E79" w:themeColor="accent1" w:themeShade="80"/>
            </w:tcBorders>
            <w:shd w:val="clear" w:color="auto" w:fill="auto"/>
            <w:vAlign w:val="bottom"/>
          </w:tcPr>
          <w:p w14:paraId="7FDB7D2C" w14:textId="77777777" w:rsidR="00725333" w:rsidRPr="00A24524" w:rsidRDefault="00725333" w:rsidP="005E18E8">
            <w:pPr>
              <w:pStyle w:val="08-Tabelageral"/>
              <w:rPr>
                <w:b/>
              </w:rPr>
            </w:pPr>
            <w:r>
              <w:rPr>
                <w:rFonts w:cs="Arial"/>
                <w:b/>
                <w:bCs/>
                <w:color w:val="000000"/>
                <w:szCs w:val="14"/>
              </w:rPr>
              <w:t>1.969.107</w:t>
            </w:r>
          </w:p>
        </w:tc>
        <w:tc>
          <w:tcPr>
            <w:tcW w:w="1329" w:type="dxa"/>
            <w:tcBorders>
              <w:bottom w:val="single" w:sz="2" w:space="0" w:color="1F4E79" w:themeColor="accent1" w:themeShade="80"/>
            </w:tcBorders>
            <w:shd w:val="clear" w:color="auto" w:fill="auto"/>
            <w:vAlign w:val="bottom"/>
          </w:tcPr>
          <w:p w14:paraId="225E06E2" w14:textId="77777777" w:rsidR="00725333" w:rsidRPr="00A24524" w:rsidRDefault="00725333" w:rsidP="005E18E8">
            <w:pPr>
              <w:pStyle w:val="08-Tabelageral"/>
              <w:rPr>
                <w:b/>
              </w:rPr>
            </w:pPr>
            <w:r>
              <w:rPr>
                <w:rFonts w:cs="Arial"/>
                <w:b/>
                <w:bCs/>
                <w:color w:val="000000"/>
                <w:szCs w:val="14"/>
              </w:rPr>
              <w:t>(3.833.384)</w:t>
            </w:r>
          </w:p>
        </w:tc>
        <w:tc>
          <w:tcPr>
            <w:tcW w:w="1329" w:type="dxa"/>
            <w:tcBorders>
              <w:bottom w:val="single" w:sz="2" w:space="0" w:color="1F4E79" w:themeColor="accent1" w:themeShade="80"/>
            </w:tcBorders>
            <w:shd w:val="clear" w:color="auto" w:fill="auto"/>
            <w:vAlign w:val="bottom"/>
          </w:tcPr>
          <w:p w14:paraId="0C3AD65C" w14:textId="77777777" w:rsidR="00725333" w:rsidRPr="00A24524" w:rsidRDefault="00725333" w:rsidP="005E18E8">
            <w:pPr>
              <w:pStyle w:val="08-Tabelageral"/>
              <w:rPr>
                <w:b/>
              </w:rPr>
            </w:pPr>
            <w:r>
              <w:rPr>
                <w:rFonts w:cs="Arial"/>
                <w:b/>
                <w:bCs/>
                <w:color w:val="000000"/>
                <w:szCs w:val="14"/>
              </w:rPr>
              <w:t>3.850.771</w:t>
            </w:r>
          </w:p>
        </w:tc>
      </w:tr>
      <w:bookmarkEnd w:id="67"/>
    </w:tbl>
    <w:p w14:paraId="166EFAD7" w14:textId="77777777" w:rsidR="00725333" w:rsidRDefault="00725333" w:rsidP="009B6A16">
      <w:pPr>
        <w:spacing w:after="0"/>
        <w:jc w:val="right"/>
        <w:rPr>
          <w:rFonts w:cs="Arial"/>
          <w:b/>
          <w:sz w:val="14"/>
          <w:szCs w:val="18"/>
        </w:rPr>
      </w:pPr>
    </w:p>
    <w:p w14:paraId="3A99D722" w14:textId="77777777" w:rsidR="00725333" w:rsidRDefault="00725333" w:rsidP="001A41EB">
      <w:pPr>
        <w:spacing w:after="0"/>
        <w:rPr>
          <w:rFonts w:cs="Arial"/>
          <w:sz w:val="14"/>
          <w:lang w:eastAsia="pt-BR"/>
        </w:rPr>
      </w:pPr>
    </w:p>
    <w:p w14:paraId="3ADF02B4" w14:textId="77777777" w:rsidR="00725333" w:rsidRDefault="00725333" w:rsidP="00247039">
      <w:pPr>
        <w:keepNext/>
        <w:keepLines/>
        <w:pageBreakBefore/>
        <w:spacing w:after="0"/>
        <w:rPr>
          <w:b/>
          <w:sz w:val="14"/>
        </w:rPr>
      </w:pPr>
      <w:r w:rsidRPr="00094995">
        <w:rPr>
          <w:rFonts w:cs="Arial"/>
          <w:b/>
          <w:color w:val="1F4E79" w:themeColor="accent1" w:themeShade="80"/>
          <w:szCs w:val="18"/>
        </w:rPr>
        <w:lastRenderedPageBreak/>
        <w:t>d) Balanço por Segmento</w:t>
      </w:r>
    </w:p>
    <w:p w14:paraId="18777495" w14:textId="77777777" w:rsidR="00725333" w:rsidRPr="00177FF3" w:rsidRDefault="00725333" w:rsidP="003D681F">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725333" w:rsidRPr="00D25934" w14:paraId="2567030B" w14:textId="77777777" w:rsidTr="004066E9">
        <w:trPr>
          <w:trHeight w:val="238"/>
          <w:jc w:val="center"/>
        </w:trPr>
        <w:tc>
          <w:tcPr>
            <w:tcW w:w="3510" w:type="dxa"/>
            <w:tcBorders>
              <w:top w:val="single" w:sz="2" w:space="0" w:color="1F4E79" w:themeColor="accent1" w:themeShade="80"/>
            </w:tcBorders>
            <w:shd w:val="clear" w:color="auto" w:fill="auto"/>
            <w:vAlign w:val="center"/>
          </w:tcPr>
          <w:p w14:paraId="39C02CA8" w14:textId="77777777" w:rsidR="00725333" w:rsidRPr="00D25934" w:rsidRDefault="00725333" w:rsidP="002F5D93">
            <w:pPr>
              <w:spacing w:after="0"/>
              <w:jc w:val="center"/>
              <w:rPr>
                <w:rFonts w:cs="Arial"/>
                <w:b/>
                <w:sz w:val="14"/>
                <w:szCs w:val="14"/>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1C7DE92C" w14:textId="77777777" w:rsidR="00725333" w:rsidRPr="00D25934" w:rsidRDefault="00725333" w:rsidP="006F29B6">
            <w:pPr>
              <w:spacing w:after="0"/>
              <w:jc w:val="center"/>
              <w:rPr>
                <w:rFonts w:cs="Arial"/>
                <w:b/>
                <w:sz w:val="14"/>
                <w:szCs w:val="14"/>
              </w:rPr>
            </w:pPr>
            <w:r>
              <w:rPr>
                <w:rFonts w:cs="Arial"/>
                <w:b/>
                <w:sz w:val="14"/>
                <w:szCs w:val="14"/>
              </w:rPr>
              <w:t>31</w:t>
            </w:r>
            <w:r w:rsidRPr="00D25934">
              <w:rPr>
                <w:rFonts w:cs="Arial"/>
                <w:b/>
                <w:sz w:val="14"/>
                <w:szCs w:val="14"/>
              </w:rPr>
              <w:t>.</w:t>
            </w:r>
            <w:r>
              <w:rPr>
                <w:rFonts w:cs="Arial"/>
                <w:b/>
                <w:sz w:val="14"/>
                <w:szCs w:val="14"/>
              </w:rPr>
              <w:t>12</w:t>
            </w:r>
            <w:r w:rsidRPr="00D25934">
              <w:rPr>
                <w:rFonts w:cs="Arial"/>
                <w:b/>
                <w:sz w:val="14"/>
                <w:szCs w:val="14"/>
              </w:rPr>
              <w:t>.20</w:t>
            </w:r>
            <w:r>
              <w:rPr>
                <w:rFonts w:cs="Arial"/>
                <w:b/>
                <w:sz w:val="14"/>
                <w:szCs w:val="14"/>
              </w:rPr>
              <w:t>21</w:t>
            </w:r>
          </w:p>
        </w:tc>
      </w:tr>
      <w:tr w:rsidR="00725333" w:rsidRPr="00D25934" w14:paraId="2AF4DA47" w14:textId="77777777" w:rsidTr="004066E9">
        <w:trPr>
          <w:trHeight w:val="238"/>
          <w:jc w:val="center"/>
        </w:trPr>
        <w:tc>
          <w:tcPr>
            <w:tcW w:w="3510" w:type="dxa"/>
            <w:tcBorders>
              <w:bottom w:val="single" w:sz="2" w:space="0" w:color="1F4E79" w:themeColor="accent1" w:themeShade="80"/>
            </w:tcBorders>
            <w:shd w:val="clear" w:color="auto" w:fill="auto"/>
            <w:vAlign w:val="center"/>
          </w:tcPr>
          <w:p w14:paraId="7BEC9076" w14:textId="77777777" w:rsidR="00725333" w:rsidRPr="00D25934" w:rsidRDefault="00725333" w:rsidP="002F5D93">
            <w:pPr>
              <w:pStyle w:val="08-Tabelageral"/>
              <w:jc w:val="center"/>
              <w:rPr>
                <w:rFonts w:cs="Arial"/>
                <w:b/>
                <w:szCs w:val="14"/>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3D6F0C68" w14:textId="77777777" w:rsidR="00725333" w:rsidRPr="00D25934" w:rsidRDefault="00725333" w:rsidP="002F5D93">
            <w:pPr>
              <w:pStyle w:val="08-Tabelageral"/>
              <w:jc w:val="center"/>
              <w:rPr>
                <w:rFonts w:cs="Arial"/>
                <w:b/>
                <w:szCs w:val="14"/>
              </w:rPr>
            </w:pPr>
            <w:r w:rsidRPr="00D25934">
              <w:rPr>
                <w:rFonts w:cs="Arial"/>
                <w:b/>
                <w:szCs w:val="14"/>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83BD044" w14:textId="77777777" w:rsidR="00725333" w:rsidRPr="00D25934" w:rsidRDefault="00725333" w:rsidP="002F5D93">
            <w:pPr>
              <w:pStyle w:val="08-Tabelageral"/>
              <w:jc w:val="center"/>
              <w:rPr>
                <w:rFonts w:cs="Arial"/>
                <w:b/>
                <w:szCs w:val="14"/>
              </w:rPr>
            </w:pPr>
            <w:r w:rsidRPr="00D25934">
              <w:rPr>
                <w:rFonts w:cs="Arial"/>
                <w:b/>
                <w:szCs w:val="14"/>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9B19C6A" w14:textId="77777777" w:rsidR="00725333" w:rsidRPr="00D25934" w:rsidRDefault="00725333" w:rsidP="002F5D93">
            <w:pPr>
              <w:pStyle w:val="08-Tabelageral"/>
              <w:jc w:val="center"/>
              <w:rPr>
                <w:rFonts w:cs="Arial"/>
                <w:b/>
                <w:szCs w:val="14"/>
              </w:rPr>
            </w:pPr>
            <w:r w:rsidRPr="00D25934">
              <w:rPr>
                <w:rFonts w:cs="Arial"/>
                <w:b/>
                <w:szCs w:val="14"/>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DCA74F0" w14:textId="77777777" w:rsidR="00725333" w:rsidRPr="00D25934" w:rsidRDefault="00725333" w:rsidP="002F5D93">
            <w:pPr>
              <w:pStyle w:val="08-Tabelageral"/>
              <w:jc w:val="center"/>
              <w:rPr>
                <w:rFonts w:cs="Arial"/>
                <w:b/>
                <w:szCs w:val="14"/>
              </w:rPr>
            </w:pPr>
            <w:r w:rsidRPr="00D25934">
              <w:rPr>
                <w:rFonts w:cs="Arial"/>
                <w:b/>
                <w:szCs w:val="14"/>
              </w:rPr>
              <w:t>Total</w:t>
            </w:r>
          </w:p>
        </w:tc>
      </w:tr>
      <w:tr w:rsidR="00725333" w:rsidRPr="00D25934" w14:paraId="2187AECA" w14:textId="77777777" w:rsidTr="008E4CE6">
        <w:trPr>
          <w:trHeight w:val="238"/>
          <w:jc w:val="center"/>
        </w:trPr>
        <w:tc>
          <w:tcPr>
            <w:tcW w:w="3510" w:type="dxa"/>
            <w:tcBorders>
              <w:top w:val="single" w:sz="2" w:space="0" w:color="1F4E79" w:themeColor="accent1" w:themeShade="80"/>
            </w:tcBorders>
            <w:shd w:val="clear" w:color="auto" w:fill="auto"/>
          </w:tcPr>
          <w:p w14:paraId="0E66AD63" w14:textId="77777777" w:rsidR="00725333" w:rsidRPr="00D25934" w:rsidRDefault="00725333" w:rsidP="005D6050">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tcPr>
          <w:p w14:paraId="14166F68" w14:textId="77777777" w:rsidR="00725333" w:rsidRPr="00D25934" w:rsidRDefault="00725333" w:rsidP="005D6050">
            <w:pPr>
              <w:pStyle w:val="08-Tabelageral"/>
            </w:pPr>
            <w:r w:rsidRPr="000D3D21">
              <w:t>2.609.182</w:t>
            </w:r>
          </w:p>
        </w:tc>
        <w:tc>
          <w:tcPr>
            <w:tcW w:w="1630" w:type="dxa"/>
            <w:tcBorders>
              <w:top w:val="single" w:sz="2" w:space="0" w:color="1F4E79" w:themeColor="accent1" w:themeShade="80"/>
            </w:tcBorders>
            <w:shd w:val="clear" w:color="auto" w:fill="auto"/>
          </w:tcPr>
          <w:p w14:paraId="3BBCA45A" w14:textId="77777777" w:rsidR="00725333" w:rsidRPr="00D25934" w:rsidRDefault="00725333" w:rsidP="005D6050">
            <w:pPr>
              <w:pStyle w:val="08-Tabelageral"/>
            </w:pPr>
            <w:r w:rsidRPr="000D3D21">
              <w:t>4.096.447</w:t>
            </w:r>
          </w:p>
        </w:tc>
        <w:tc>
          <w:tcPr>
            <w:tcW w:w="1630" w:type="dxa"/>
            <w:tcBorders>
              <w:top w:val="single" w:sz="2" w:space="0" w:color="1F4E79" w:themeColor="accent1" w:themeShade="80"/>
            </w:tcBorders>
            <w:shd w:val="clear" w:color="auto" w:fill="auto"/>
          </w:tcPr>
          <w:p w14:paraId="4EF9D3AE" w14:textId="77777777" w:rsidR="00725333" w:rsidRPr="00D25934" w:rsidRDefault="00725333" w:rsidP="005D6050">
            <w:pPr>
              <w:pStyle w:val="08-Tabelageral"/>
            </w:pPr>
            <w:r w:rsidRPr="000D3D21">
              <w:t>(1.579.998)</w:t>
            </w:r>
          </w:p>
        </w:tc>
        <w:tc>
          <w:tcPr>
            <w:tcW w:w="1630" w:type="dxa"/>
            <w:tcBorders>
              <w:top w:val="single" w:sz="2" w:space="0" w:color="1F4E79" w:themeColor="accent1" w:themeShade="80"/>
            </w:tcBorders>
            <w:shd w:val="clear" w:color="auto" w:fill="auto"/>
          </w:tcPr>
          <w:p w14:paraId="613AA2E2" w14:textId="77777777" w:rsidR="00725333" w:rsidRPr="00D25934" w:rsidRDefault="00725333" w:rsidP="005D6050">
            <w:pPr>
              <w:pStyle w:val="08-Tabelageral"/>
            </w:pPr>
            <w:r w:rsidRPr="000D3D21">
              <w:t>5.125.631</w:t>
            </w:r>
          </w:p>
        </w:tc>
      </w:tr>
      <w:tr w:rsidR="00725333" w:rsidRPr="00D25934" w14:paraId="17AC7465" w14:textId="77777777" w:rsidTr="008E4CE6">
        <w:trPr>
          <w:trHeight w:val="238"/>
          <w:jc w:val="center"/>
        </w:trPr>
        <w:tc>
          <w:tcPr>
            <w:tcW w:w="3510" w:type="dxa"/>
            <w:shd w:val="clear" w:color="auto" w:fill="auto"/>
          </w:tcPr>
          <w:p w14:paraId="6D494A6E" w14:textId="77777777" w:rsidR="00725333" w:rsidRPr="00D25934" w:rsidRDefault="00725333" w:rsidP="005D6050">
            <w:pPr>
              <w:pStyle w:val="08-Tabelageral"/>
              <w:ind w:left="113"/>
              <w:jc w:val="left"/>
              <w:rPr>
                <w:rFonts w:cs="Arial"/>
                <w:bCs/>
              </w:rPr>
            </w:pPr>
            <w:r w:rsidRPr="00D25934">
              <w:rPr>
                <w:rFonts w:cs="Arial"/>
              </w:rPr>
              <w:t>Ativo não circulante</w:t>
            </w:r>
          </w:p>
        </w:tc>
        <w:tc>
          <w:tcPr>
            <w:tcW w:w="1239" w:type="dxa"/>
            <w:shd w:val="clear" w:color="auto" w:fill="auto"/>
          </w:tcPr>
          <w:p w14:paraId="2FB95001" w14:textId="77777777" w:rsidR="00725333" w:rsidRPr="00D25934" w:rsidRDefault="00725333" w:rsidP="005D6050">
            <w:pPr>
              <w:pStyle w:val="08-Tabelageral"/>
            </w:pPr>
            <w:r w:rsidRPr="000D3D21">
              <w:t>14.306.772</w:t>
            </w:r>
          </w:p>
        </w:tc>
        <w:tc>
          <w:tcPr>
            <w:tcW w:w="1630" w:type="dxa"/>
            <w:shd w:val="clear" w:color="auto" w:fill="auto"/>
          </w:tcPr>
          <w:p w14:paraId="733EFB85" w14:textId="77777777" w:rsidR="00725333" w:rsidRPr="00D25934" w:rsidRDefault="00725333" w:rsidP="005D6050">
            <w:pPr>
              <w:pStyle w:val="08-Tabelageral"/>
            </w:pPr>
            <w:r w:rsidRPr="000D3D21">
              <w:t>962.467</w:t>
            </w:r>
          </w:p>
        </w:tc>
        <w:tc>
          <w:tcPr>
            <w:tcW w:w="1630" w:type="dxa"/>
            <w:shd w:val="clear" w:color="auto" w:fill="auto"/>
          </w:tcPr>
          <w:p w14:paraId="52441041" w14:textId="77777777" w:rsidR="00725333" w:rsidRPr="00D25934" w:rsidRDefault="00725333" w:rsidP="005D6050">
            <w:pPr>
              <w:pStyle w:val="08-Tabelageral"/>
            </w:pPr>
            <w:r w:rsidRPr="000D3D21">
              <w:t>(7.080.649)</w:t>
            </w:r>
          </w:p>
        </w:tc>
        <w:tc>
          <w:tcPr>
            <w:tcW w:w="1630" w:type="dxa"/>
            <w:shd w:val="clear" w:color="auto" w:fill="auto"/>
          </w:tcPr>
          <w:p w14:paraId="18308008" w14:textId="77777777" w:rsidR="00725333" w:rsidRPr="00D25934" w:rsidRDefault="00725333" w:rsidP="005D6050">
            <w:pPr>
              <w:pStyle w:val="08-Tabelageral"/>
            </w:pPr>
            <w:r w:rsidRPr="000D3D21">
              <w:t>8.188.590</w:t>
            </w:r>
          </w:p>
        </w:tc>
      </w:tr>
      <w:tr w:rsidR="00725333" w:rsidRPr="00BD002C" w14:paraId="3FEB04B3" w14:textId="77777777" w:rsidTr="008E4CE6">
        <w:trPr>
          <w:trHeight w:val="238"/>
          <w:jc w:val="center"/>
        </w:trPr>
        <w:tc>
          <w:tcPr>
            <w:tcW w:w="3510" w:type="dxa"/>
            <w:shd w:val="clear" w:color="auto" w:fill="auto"/>
          </w:tcPr>
          <w:p w14:paraId="4DFA1717" w14:textId="77777777" w:rsidR="00725333" w:rsidRPr="00BD002C" w:rsidRDefault="00725333" w:rsidP="005D6050">
            <w:pPr>
              <w:pStyle w:val="08-Tabelageral"/>
              <w:jc w:val="left"/>
              <w:rPr>
                <w:rFonts w:cs="Arial"/>
                <w:b/>
                <w:bCs/>
              </w:rPr>
            </w:pPr>
            <w:r w:rsidRPr="00BD002C">
              <w:rPr>
                <w:rFonts w:cs="Arial"/>
                <w:b/>
                <w:bCs/>
              </w:rPr>
              <w:t>Total do Ativo</w:t>
            </w:r>
          </w:p>
        </w:tc>
        <w:tc>
          <w:tcPr>
            <w:tcW w:w="1239" w:type="dxa"/>
            <w:shd w:val="clear" w:color="auto" w:fill="auto"/>
          </w:tcPr>
          <w:p w14:paraId="0E54A360" w14:textId="77777777" w:rsidR="00725333" w:rsidRPr="00BD002C" w:rsidRDefault="00725333" w:rsidP="005D6050">
            <w:pPr>
              <w:pStyle w:val="08-Tabelageral"/>
              <w:rPr>
                <w:b/>
                <w:bCs/>
              </w:rPr>
            </w:pPr>
            <w:r w:rsidRPr="00BD002C">
              <w:rPr>
                <w:b/>
                <w:bCs/>
              </w:rPr>
              <w:t>16.915.954</w:t>
            </w:r>
          </w:p>
        </w:tc>
        <w:tc>
          <w:tcPr>
            <w:tcW w:w="1630" w:type="dxa"/>
            <w:shd w:val="clear" w:color="auto" w:fill="auto"/>
          </w:tcPr>
          <w:p w14:paraId="600C616E" w14:textId="77777777" w:rsidR="00725333" w:rsidRPr="00BD002C" w:rsidRDefault="00725333" w:rsidP="005D6050">
            <w:pPr>
              <w:pStyle w:val="08-Tabelageral"/>
              <w:rPr>
                <w:b/>
                <w:bCs/>
              </w:rPr>
            </w:pPr>
            <w:r w:rsidRPr="00BD002C">
              <w:rPr>
                <w:b/>
                <w:bCs/>
              </w:rPr>
              <w:t>5.058.914</w:t>
            </w:r>
          </w:p>
        </w:tc>
        <w:tc>
          <w:tcPr>
            <w:tcW w:w="1630" w:type="dxa"/>
            <w:shd w:val="clear" w:color="auto" w:fill="auto"/>
          </w:tcPr>
          <w:p w14:paraId="5602A4B5" w14:textId="77777777" w:rsidR="00725333" w:rsidRPr="00BD002C" w:rsidRDefault="00725333" w:rsidP="005D6050">
            <w:pPr>
              <w:pStyle w:val="08-Tabelageral"/>
              <w:rPr>
                <w:b/>
                <w:bCs/>
              </w:rPr>
            </w:pPr>
            <w:r w:rsidRPr="00BD002C">
              <w:rPr>
                <w:b/>
                <w:bCs/>
              </w:rPr>
              <w:t>(8.660.647)</w:t>
            </w:r>
          </w:p>
        </w:tc>
        <w:tc>
          <w:tcPr>
            <w:tcW w:w="1630" w:type="dxa"/>
            <w:shd w:val="clear" w:color="auto" w:fill="auto"/>
          </w:tcPr>
          <w:p w14:paraId="3E75953C" w14:textId="77777777" w:rsidR="00725333" w:rsidRPr="00BD002C" w:rsidRDefault="00725333" w:rsidP="005D6050">
            <w:pPr>
              <w:pStyle w:val="08-Tabelageral"/>
              <w:rPr>
                <w:b/>
                <w:bCs/>
              </w:rPr>
            </w:pPr>
            <w:r w:rsidRPr="00BD002C">
              <w:rPr>
                <w:b/>
                <w:bCs/>
              </w:rPr>
              <w:t>13.314.221</w:t>
            </w:r>
          </w:p>
        </w:tc>
      </w:tr>
      <w:tr w:rsidR="00725333" w:rsidRPr="00D25934" w14:paraId="4C859908" w14:textId="77777777" w:rsidTr="008E4CE6">
        <w:trPr>
          <w:trHeight w:val="238"/>
          <w:jc w:val="center"/>
        </w:trPr>
        <w:tc>
          <w:tcPr>
            <w:tcW w:w="3510" w:type="dxa"/>
            <w:shd w:val="clear" w:color="auto" w:fill="auto"/>
          </w:tcPr>
          <w:p w14:paraId="36202211" w14:textId="77777777" w:rsidR="00725333" w:rsidRPr="00D25934" w:rsidRDefault="00725333" w:rsidP="00347085">
            <w:pPr>
              <w:pStyle w:val="08-Tabelageral"/>
              <w:ind w:left="113"/>
              <w:jc w:val="left"/>
              <w:rPr>
                <w:rFonts w:cs="Arial"/>
                <w:bCs/>
              </w:rPr>
            </w:pPr>
            <w:r w:rsidRPr="00D25934">
              <w:rPr>
                <w:rFonts w:cs="Arial"/>
              </w:rPr>
              <w:t>Passivo circulante</w:t>
            </w:r>
          </w:p>
        </w:tc>
        <w:tc>
          <w:tcPr>
            <w:tcW w:w="1239" w:type="dxa"/>
            <w:shd w:val="clear" w:color="auto" w:fill="auto"/>
          </w:tcPr>
          <w:p w14:paraId="09C7B441" w14:textId="77777777" w:rsidR="00725333" w:rsidRPr="00D25934" w:rsidRDefault="00725333" w:rsidP="00347085">
            <w:pPr>
              <w:pStyle w:val="08-Tabelageral"/>
            </w:pPr>
            <w:r w:rsidRPr="000D3D21">
              <w:t>2.330.716</w:t>
            </w:r>
          </w:p>
        </w:tc>
        <w:tc>
          <w:tcPr>
            <w:tcW w:w="1630" w:type="dxa"/>
            <w:shd w:val="clear" w:color="auto" w:fill="auto"/>
          </w:tcPr>
          <w:p w14:paraId="4D5ADF6E" w14:textId="77777777" w:rsidR="00725333" w:rsidRPr="00D25934" w:rsidRDefault="00725333" w:rsidP="00347085">
            <w:pPr>
              <w:pStyle w:val="08-Tabelageral"/>
            </w:pPr>
            <w:r w:rsidRPr="004320DB">
              <w:t>3.248.559</w:t>
            </w:r>
          </w:p>
        </w:tc>
        <w:tc>
          <w:tcPr>
            <w:tcW w:w="1630" w:type="dxa"/>
            <w:shd w:val="clear" w:color="auto" w:fill="auto"/>
          </w:tcPr>
          <w:p w14:paraId="323A532E" w14:textId="77777777" w:rsidR="00725333" w:rsidRPr="00D25934" w:rsidRDefault="00725333" w:rsidP="00347085">
            <w:pPr>
              <w:pStyle w:val="08-Tabelageral"/>
            </w:pPr>
            <w:r w:rsidRPr="000D3D21">
              <w:t>(1.579.998)</w:t>
            </w:r>
          </w:p>
        </w:tc>
        <w:tc>
          <w:tcPr>
            <w:tcW w:w="1630" w:type="dxa"/>
            <w:shd w:val="clear" w:color="auto" w:fill="auto"/>
          </w:tcPr>
          <w:p w14:paraId="0295EBD9" w14:textId="77777777" w:rsidR="00725333" w:rsidRPr="00D25934" w:rsidRDefault="00725333" w:rsidP="00347085">
            <w:pPr>
              <w:pStyle w:val="08-Tabelageral"/>
            </w:pPr>
            <w:r w:rsidRPr="000D3D21">
              <w:t>3.960.413</w:t>
            </w:r>
          </w:p>
        </w:tc>
      </w:tr>
      <w:tr w:rsidR="00725333" w:rsidRPr="00D25934" w14:paraId="419C68AA" w14:textId="77777777" w:rsidTr="008E4CE6">
        <w:trPr>
          <w:trHeight w:val="238"/>
          <w:jc w:val="center"/>
        </w:trPr>
        <w:tc>
          <w:tcPr>
            <w:tcW w:w="3510" w:type="dxa"/>
            <w:shd w:val="clear" w:color="auto" w:fill="auto"/>
          </w:tcPr>
          <w:p w14:paraId="3C4CA066" w14:textId="77777777" w:rsidR="00725333" w:rsidRPr="00D25934" w:rsidRDefault="00725333" w:rsidP="00347085">
            <w:pPr>
              <w:pStyle w:val="08-Tabelageral"/>
              <w:ind w:left="113"/>
              <w:jc w:val="left"/>
              <w:rPr>
                <w:rFonts w:cs="Arial"/>
                <w:bCs/>
              </w:rPr>
            </w:pPr>
            <w:r w:rsidRPr="00D25934">
              <w:rPr>
                <w:rFonts w:cs="Arial"/>
              </w:rPr>
              <w:t>Passivo não circulante</w:t>
            </w:r>
          </w:p>
        </w:tc>
        <w:tc>
          <w:tcPr>
            <w:tcW w:w="1239" w:type="dxa"/>
            <w:shd w:val="clear" w:color="auto" w:fill="auto"/>
          </w:tcPr>
          <w:p w14:paraId="62B24763" w14:textId="77777777" w:rsidR="00725333" w:rsidRPr="00D25934" w:rsidRDefault="00725333" w:rsidP="00347085">
            <w:pPr>
              <w:pStyle w:val="08-Tabelageral"/>
            </w:pPr>
            <w:r w:rsidRPr="000D3D21">
              <w:t>229.182</w:t>
            </w:r>
          </w:p>
        </w:tc>
        <w:tc>
          <w:tcPr>
            <w:tcW w:w="1630" w:type="dxa"/>
            <w:shd w:val="clear" w:color="auto" w:fill="auto"/>
          </w:tcPr>
          <w:p w14:paraId="6C69951A" w14:textId="77777777" w:rsidR="00725333" w:rsidRPr="00D25934" w:rsidRDefault="00725333" w:rsidP="00347085">
            <w:pPr>
              <w:pStyle w:val="08-Tabelageral"/>
            </w:pPr>
            <w:r w:rsidRPr="004320DB">
              <w:t>1.804.346</w:t>
            </w:r>
          </w:p>
        </w:tc>
        <w:tc>
          <w:tcPr>
            <w:tcW w:w="1630" w:type="dxa"/>
            <w:shd w:val="clear" w:color="auto" w:fill="auto"/>
          </w:tcPr>
          <w:p w14:paraId="2989F51E" w14:textId="77777777" w:rsidR="00725333" w:rsidRPr="00D25934" w:rsidRDefault="00725333" w:rsidP="00347085">
            <w:pPr>
              <w:pStyle w:val="08-Tabelageral"/>
            </w:pPr>
            <w:r w:rsidRPr="000D3D21">
              <w:t>--</w:t>
            </w:r>
          </w:p>
        </w:tc>
        <w:tc>
          <w:tcPr>
            <w:tcW w:w="1630" w:type="dxa"/>
            <w:shd w:val="clear" w:color="auto" w:fill="auto"/>
          </w:tcPr>
          <w:p w14:paraId="2C8D3E51" w14:textId="77777777" w:rsidR="00725333" w:rsidRPr="00D25934" w:rsidRDefault="00725333" w:rsidP="00347085">
            <w:pPr>
              <w:pStyle w:val="08-Tabelageral"/>
            </w:pPr>
            <w:r w:rsidRPr="000D3D21">
              <w:t>2.072.392</w:t>
            </w:r>
          </w:p>
        </w:tc>
      </w:tr>
      <w:tr w:rsidR="00725333" w:rsidRPr="00D25934" w14:paraId="7350A30D" w14:textId="77777777" w:rsidTr="008E4CE6">
        <w:trPr>
          <w:trHeight w:val="238"/>
          <w:jc w:val="center"/>
        </w:trPr>
        <w:tc>
          <w:tcPr>
            <w:tcW w:w="3510" w:type="dxa"/>
            <w:shd w:val="clear" w:color="auto" w:fill="auto"/>
          </w:tcPr>
          <w:p w14:paraId="2868274A" w14:textId="77777777" w:rsidR="00725333" w:rsidRPr="00D25934" w:rsidRDefault="00725333" w:rsidP="005D6050">
            <w:pPr>
              <w:pStyle w:val="08-Tabelageral"/>
              <w:ind w:left="113"/>
              <w:jc w:val="left"/>
              <w:rPr>
                <w:rFonts w:cs="Arial"/>
                <w:bCs/>
              </w:rPr>
            </w:pPr>
            <w:r w:rsidRPr="00D25934">
              <w:rPr>
                <w:rFonts w:cs="Arial"/>
              </w:rPr>
              <w:t>Patrimônio líquido</w:t>
            </w:r>
          </w:p>
        </w:tc>
        <w:tc>
          <w:tcPr>
            <w:tcW w:w="1239" w:type="dxa"/>
            <w:shd w:val="clear" w:color="auto" w:fill="auto"/>
          </w:tcPr>
          <w:p w14:paraId="3EB7FA14" w14:textId="77777777" w:rsidR="00725333" w:rsidRPr="00D25934" w:rsidRDefault="00725333" w:rsidP="005D6050">
            <w:pPr>
              <w:pStyle w:val="08-Tabelageral"/>
            </w:pPr>
            <w:r w:rsidRPr="000D3D21">
              <w:t>14.356.056</w:t>
            </w:r>
          </w:p>
        </w:tc>
        <w:tc>
          <w:tcPr>
            <w:tcW w:w="1630" w:type="dxa"/>
            <w:shd w:val="clear" w:color="auto" w:fill="auto"/>
          </w:tcPr>
          <w:p w14:paraId="3301B3F3" w14:textId="77777777" w:rsidR="00725333" w:rsidRPr="00D25934" w:rsidRDefault="00725333" w:rsidP="005D6050">
            <w:pPr>
              <w:pStyle w:val="08-Tabelageral"/>
            </w:pPr>
            <w:r w:rsidRPr="000D3D21">
              <w:t>6.009</w:t>
            </w:r>
          </w:p>
        </w:tc>
        <w:tc>
          <w:tcPr>
            <w:tcW w:w="1630" w:type="dxa"/>
            <w:shd w:val="clear" w:color="auto" w:fill="auto"/>
          </w:tcPr>
          <w:p w14:paraId="63612D38" w14:textId="77777777" w:rsidR="00725333" w:rsidRPr="00D25934" w:rsidRDefault="00725333" w:rsidP="005D6050">
            <w:pPr>
              <w:pStyle w:val="08-Tabelageral"/>
            </w:pPr>
            <w:r w:rsidRPr="000D3D21">
              <w:t>(7.080.649)</w:t>
            </w:r>
          </w:p>
        </w:tc>
        <w:tc>
          <w:tcPr>
            <w:tcW w:w="1630" w:type="dxa"/>
            <w:shd w:val="clear" w:color="auto" w:fill="auto"/>
          </w:tcPr>
          <w:p w14:paraId="2210A32C" w14:textId="77777777" w:rsidR="00725333" w:rsidRPr="00D25934" w:rsidRDefault="00725333" w:rsidP="005D6050">
            <w:pPr>
              <w:pStyle w:val="08-Tabelageral"/>
            </w:pPr>
            <w:r w:rsidRPr="000D3D21">
              <w:t>7.281.416</w:t>
            </w:r>
          </w:p>
        </w:tc>
      </w:tr>
      <w:tr w:rsidR="00725333" w:rsidRPr="00BD002C" w14:paraId="562D509A" w14:textId="77777777" w:rsidTr="008E4CE6">
        <w:trPr>
          <w:trHeight w:val="238"/>
          <w:jc w:val="center"/>
        </w:trPr>
        <w:tc>
          <w:tcPr>
            <w:tcW w:w="3510" w:type="dxa"/>
            <w:tcBorders>
              <w:bottom w:val="single" w:sz="2" w:space="0" w:color="1F4E79" w:themeColor="accent1" w:themeShade="80"/>
            </w:tcBorders>
            <w:shd w:val="clear" w:color="auto" w:fill="auto"/>
          </w:tcPr>
          <w:p w14:paraId="778C2247" w14:textId="77777777" w:rsidR="00725333" w:rsidRPr="00BD002C" w:rsidRDefault="00725333" w:rsidP="005D6050">
            <w:pPr>
              <w:pStyle w:val="08-Tabelageral"/>
              <w:jc w:val="left"/>
              <w:rPr>
                <w:rFonts w:cs="Arial"/>
                <w:b/>
                <w:bCs/>
              </w:rPr>
            </w:pPr>
            <w:r w:rsidRPr="00BD002C">
              <w:rPr>
                <w:rFonts w:cs="Arial"/>
                <w:b/>
                <w:bCs/>
              </w:rPr>
              <w:t>Total do Passivo e Patrimônio Líquido</w:t>
            </w:r>
          </w:p>
        </w:tc>
        <w:tc>
          <w:tcPr>
            <w:tcW w:w="1239" w:type="dxa"/>
            <w:tcBorders>
              <w:bottom w:val="single" w:sz="2" w:space="0" w:color="1F4E79" w:themeColor="accent1" w:themeShade="80"/>
            </w:tcBorders>
            <w:shd w:val="clear" w:color="auto" w:fill="auto"/>
          </w:tcPr>
          <w:p w14:paraId="560C0809" w14:textId="77777777" w:rsidR="00725333" w:rsidRPr="00BD002C" w:rsidRDefault="00725333" w:rsidP="005D6050">
            <w:pPr>
              <w:pStyle w:val="08-Tabelageral"/>
              <w:rPr>
                <w:b/>
                <w:bCs/>
              </w:rPr>
            </w:pPr>
            <w:r w:rsidRPr="00BD002C">
              <w:rPr>
                <w:b/>
                <w:bCs/>
              </w:rPr>
              <w:t>16.915.954</w:t>
            </w:r>
          </w:p>
        </w:tc>
        <w:tc>
          <w:tcPr>
            <w:tcW w:w="1630" w:type="dxa"/>
            <w:tcBorders>
              <w:bottom w:val="single" w:sz="2" w:space="0" w:color="1F4E79" w:themeColor="accent1" w:themeShade="80"/>
            </w:tcBorders>
            <w:shd w:val="clear" w:color="auto" w:fill="auto"/>
          </w:tcPr>
          <w:p w14:paraId="269D200E" w14:textId="77777777" w:rsidR="00725333" w:rsidRPr="00BD002C" w:rsidRDefault="00725333" w:rsidP="005D6050">
            <w:pPr>
              <w:pStyle w:val="08-Tabelageral"/>
              <w:rPr>
                <w:b/>
                <w:bCs/>
              </w:rPr>
            </w:pPr>
            <w:r w:rsidRPr="00BD002C">
              <w:rPr>
                <w:b/>
                <w:bCs/>
              </w:rPr>
              <w:t>5.058.914</w:t>
            </w:r>
          </w:p>
        </w:tc>
        <w:tc>
          <w:tcPr>
            <w:tcW w:w="1630" w:type="dxa"/>
            <w:tcBorders>
              <w:bottom w:val="single" w:sz="2" w:space="0" w:color="1F4E79" w:themeColor="accent1" w:themeShade="80"/>
            </w:tcBorders>
            <w:shd w:val="clear" w:color="auto" w:fill="auto"/>
          </w:tcPr>
          <w:p w14:paraId="74E38A4E" w14:textId="77777777" w:rsidR="00725333" w:rsidRPr="00BD002C" w:rsidRDefault="00725333" w:rsidP="005D6050">
            <w:pPr>
              <w:pStyle w:val="08-Tabelageral"/>
              <w:rPr>
                <w:b/>
                <w:bCs/>
              </w:rPr>
            </w:pPr>
            <w:r w:rsidRPr="00BD002C">
              <w:rPr>
                <w:b/>
                <w:bCs/>
              </w:rPr>
              <w:t>(8.660.647)</w:t>
            </w:r>
          </w:p>
        </w:tc>
        <w:tc>
          <w:tcPr>
            <w:tcW w:w="1630" w:type="dxa"/>
            <w:tcBorders>
              <w:bottom w:val="single" w:sz="2" w:space="0" w:color="1F4E79" w:themeColor="accent1" w:themeShade="80"/>
            </w:tcBorders>
            <w:shd w:val="clear" w:color="auto" w:fill="auto"/>
          </w:tcPr>
          <w:p w14:paraId="583DCEA4" w14:textId="77777777" w:rsidR="00725333" w:rsidRPr="00BD002C" w:rsidRDefault="00725333" w:rsidP="005D6050">
            <w:pPr>
              <w:pStyle w:val="08-Tabelageral"/>
              <w:rPr>
                <w:b/>
                <w:bCs/>
              </w:rPr>
            </w:pPr>
            <w:r w:rsidRPr="00BD002C">
              <w:rPr>
                <w:b/>
                <w:bCs/>
              </w:rPr>
              <w:t>13.314.221</w:t>
            </w:r>
          </w:p>
        </w:tc>
      </w:tr>
    </w:tbl>
    <w:p w14:paraId="237A1AC9" w14:textId="77777777" w:rsidR="00725333" w:rsidRDefault="00725333" w:rsidP="003D681F">
      <w:pPr>
        <w:pStyle w:val="05-Textonormal"/>
        <w:spacing w:before="0" w:after="0" w:line="240" w:lineRule="auto"/>
        <w:rPr>
          <w:b/>
          <w:sz w:val="14"/>
        </w:rPr>
      </w:pPr>
    </w:p>
    <w:p w14:paraId="1E6247A5" w14:textId="77777777" w:rsidR="00725333" w:rsidRPr="00177FF3" w:rsidRDefault="00725333" w:rsidP="00654154">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725333" w:rsidRPr="00D25934" w14:paraId="26CDF299" w14:textId="77777777" w:rsidTr="004066E9">
        <w:trPr>
          <w:trHeight w:val="238"/>
          <w:jc w:val="center"/>
        </w:trPr>
        <w:tc>
          <w:tcPr>
            <w:tcW w:w="3510" w:type="dxa"/>
            <w:tcBorders>
              <w:top w:val="single" w:sz="2" w:space="0" w:color="1F4E79" w:themeColor="accent1" w:themeShade="80"/>
            </w:tcBorders>
            <w:shd w:val="clear" w:color="auto" w:fill="auto"/>
          </w:tcPr>
          <w:p w14:paraId="3B634861" w14:textId="77777777" w:rsidR="00725333" w:rsidRPr="00D25934" w:rsidRDefault="00725333" w:rsidP="00A67F0D">
            <w:pPr>
              <w:spacing w:after="0"/>
              <w:jc w:val="center"/>
              <w:rPr>
                <w:rFonts w:cs="Arial"/>
                <w:b/>
                <w:szCs w:val="18"/>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6ADC76FF" w14:textId="77777777" w:rsidR="00725333" w:rsidRPr="00D25934" w:rsidRDefault="00725333" w:rsidP="00FC4BE1">
            <w:pPr>
              <w:spacing w:after="0"/>
              <w:jc w:val="center"/>
              <w:rPr>
                <w:rFonts w:cs="Arial"/>
                <w:b/>
                <w:szCs w:val="18"/>
              </w:rPr>
            </w:pPr>
            <w:r>
              <w:rPr>
                <w:rFonts w:cs="Arial"/>
                <w:b/>
                <w:sz w:val="14"/>
                <w:szCs w:val="18"/>
              </w:rPr>
              <w:t>31</w:t>
            </w:r>
            <w:r w:rsidRPr="00D25934">
              <w:rPr>
                <w:rFonts w:cs="Arial"/>
                <w:b/>
                <w:sz w:val="14"/>
                <w:szCs w:val="18"/>
              </w:rPr>
              <w:t>.</w:t>
            </w:r>
            <w:r>
              <w:rPr>
                <w:rFonts w:cs="Arial"/>
                <w:b/>
                <w:sz w:val="14"/>
                <w:szCs w:val="18"/>
              </w:rPr>
              <w:t>12</w:t>
            </w:r>
            <w:r w:rsidRPr="00D25934">
              <w:rPr>
                <w:rFonts w:cs="Arial"/>
                <w:b/>
                <w:sz w:val="14"/>
                <w:szCs w:val="18"/>
              </w:rPr>
              <w:t>.2020</w:t>
            </w:r>
          </w:p>
        </w:tc>
      </w:tr>
      <w:tr w:rsidR="00725333" w:rsidRPr="001D6BE8" w14:paraId="67564077" w14:textId="77777777" w:rsidTr="004066E9">
        <w:trPr>
          <w:trHeight w:val="238"/>
          <w:jc w:val="center"/>
        </w:trPr>
        <w:tc>
          <w:tcPr>
            <w:tcW w:w="3510" w:type="dxa"/>
            <w:tcBorders>
              <w:bottom w:val="single" w:sz="2" w:space="0" w:color="1F4E79" w:themeColor="accent1" w:themeShade="80"/>
            </w:tcBorders>
            <w:shd w:val="clear" w:color="auto" w:fill="auto"/>
          </w:tcPr>
          <w:p w14:paraId="45E0A907" w14:textId="77777777" w:rsidR="00725333" w:rsidRPr="001D6BE8" w:rsidRDefault="00725333" w:rsidP="00A67F0D">
            <w:pPr>
              <w:pStyle w:val="08-Tabelageral"/>
              <w:jc w:val="left"/>
              <w:rPr>
                <w:rFonts w:cs="Arial"/>
                <w:b/>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56C15C64" w14:textId="77777777" w:rsidR="00725333" w:rsidRPr="00D25934" w:rsidRDefault="00725333" w:rsidP="00D25934">
            <w:pPr>
              <w:pStyle w:val="08-Tabelageral"/>
              <w:jc w:val="center"/>
              <w:rPr>
                <w:rFonts w:cs="Arial"/>
                <w:b/>
              </w:rPr>
            </w:pPr>
            <w:r w:rsidRPr="00D25934">
              <w:rPr>
                <w:rFonts w:cs="Arial"/>
                <w:b/>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30242EA" w14:textId="77777777" w:rsidR="00725333" w:rsidRPr="00D25934" w:rsidRDefault="00725333" w:rsidP="00D25934">
            <w:pPr>
              <w:pStyle w:val="08-Tabelageral"/>
              <w:jc w:val="center"/>
              <w:rPr>
                <w:rFonts w:cs="Arial"/>
                <w:b/>
              </w:rPr>
            </w:pPr>
            <w:r w:rsidRPr="00D25934">
              <w:rPr>
                <w:rFonts w:cs="Arial"/>
                <w:b/>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8CDFC01" w14:textId="77777777" w:rsidR="00725333" w:rsidRPr="00D25934" w:rsidRDefault="00725333" w:rsidP="00D25934">
            <w:pPr>
              <w:pStyle w:val="08-Tabelageral"/>
              <w:jc w:val="center"/>
              <w:rPr>
                <w:rFonts w:cs="Arial"/>
                <w:b/>
              </w:rPr>
            </w:pPr>
            <w:r w:rsidRPr="00D25934">
              <w:rPr>
                <w:rFonts w:cs="Arial"/>
                <w:b/>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149628B" w14:textId="77777777" w:rsidR="00725333" w:rsidRPr="00D25934" w:rsidRDefault="00725333" w:rsidP="00D25934">
            <w:pPr>
              <w:pStyle w:val="08-Tabelageral"/>
              <w:jc w:val="center"/>
              <w:rPr>
                <w:rFonts w:cs="Arial"/>
                <w:b/>
              </w:rPr>
            </w:pPr>
            <w:r w:rsidRPr="00D25934">
              <w:rPr>
                <w:rFonts w:cs="Arial"/>
                <w:b/>
              </w:rPr>
              <w:t>Total</w:t>
            </w:r>
          </w:p>
        </w:tc>
      </w:tr>
      <w:tr w:rsidR="00725333" w:rsidRPr="00D25934" w14:paraId="7F31286C" w14:textId="77777777" w:rsidTr="004066E9">
        <w:trPr>
          <w:trHeight w:val="238"/>
          <w:jc w:val="center"/>
        </w:trPr>
        <w:tc>
          <w:tcPr>
            <w:tcW w:w="3510" w:type="dxa"/>
            <w:tcBorders>
              <w:top w:val="single" w:sz="2" w:space="0" w:color="1F4E79" w:themeColor="accent1" w:themeShade="80"/>
            </w:tcBorders>
            <w:shd w:val="clear" w:color="auto" w:fill="auto"/>
          </w:tcPr>
          <w:p w14:paraId="72F40A7E" w14:textId="77777777" w:rsidR="00725333" w:rsidRPr="00D25934" w:rsidRDefault="00725333" w:rsidP="002D7F1B">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tcPr>
          <w:p w14:paraId="174367E1" w14:textId="77777777" w:rsidR="00725333" w:rsidRPr="00D25934" w:rsidRDefault="00725333" w:rsidP="002D7F1B">
            <w:pPr>
              <w:pStyle w:val="08-Tabelageral"/>
            </w:pPr>
            <w:r w:rsidRPr="004C549C">
              <w:t>1.378.679</w:t>
            </w:r>
          </w:p>
        </w:tc>
        <w:tc>
          <w:tcPr>
            <w:tcW w:w="1630" w:type="dxa"/>
            <w:tcBorders>
              <w:top w:val="single" w:sz="2" w:space="0" w:color="1F4E79" w:themeColor="accent1" w:themeShade="80"/>
            </w:tcBorders>
            <w:shd w:val="clear" w:color="auto" w:fill="auto"/>
          </w:tcPr>
          <w:p w14:paraId="0FF4EFFE" w14:textId="77777777" w:rsidR="00725333" w:rsidRPr="00D25934" w:rsidRDefault="00725333" w:rsidP="002D7F1B">
            <w:pPr>
              <w:pStyle w:val="08-Tabelageral"/>
            </w:pPr>
            <w:r w:rsidRPr="00C657C2">
              <w:t>3.307.742</w:t>
            </w:r>
          </w:p>
        </w:tc>
        <w:tc>
          <w:tcPr>
            <w:tcW w:w="1630" w:type="dxa"/>
            <w:tcBorders>
              <w:top w:val="single" w:sz="2" w:space="0" w:color="1F4E79" w:themeColor="accent1" w:themeShade="80"/>
            </w:tcBorders>
            <w:shd w:val="clear" w:color="auto" w:fill="auto"/>
          </w:tcPr>
          <w:p w14:paraId="42A7A12A" w14:textId="77777777" w:rsidR="00725333" w:rsidRPr="00D25934" w:rsidRDefault="00725333" w:rsidP="002D7F1B">
            <w:pPr>
              <w:pStyle w:val="08-Tabelageral"/>
            </w:pPr>
            <w:r w:rsidRPr="001F361A">
              <w:t>(1.067.540)</w:t>
            </w:r>
          </w:p>
        </w:tc>
        <w:tc>
          <w:tcPr>
            <w:tcW w:w="1630" w:type="dxa"/>
            <w:tcBorders>
              <w:top w:val="single" w:sz="2" w:space="0" w:color="1F4E79" w:themeColor="accent1" w:themeShade="80"/>
            </w:tcBorders>
            <w:shd w:val="clear" w:color="auto" w:fill="auto"/>
          </w:tcPr>
          <w:p w14:paraId="33DEA372" w14:textId="77777777" w:rsidR="00725333" w:rsidRPr="00D25934" w:rsidRDefault="00725333" w:rsidP="002D7F1B">
            <w:pPr>
              <w:pStyle w:val="08-Tabelageral"/>
            </w:pPr>
            <w:r w:rsidRPr="00CD0875">
              <w:t>3.618.881</w:t>
            </w:r>
          </w:p>
        </w:tc>
      </w:tr>
      <w:tr w:rsidR="00725333" w:rsidRPr="00D25934" w14:paraId="2A743071" w14:textId="77777777" w:rsidTr="004066E9">
        <w:trPr>
          <w:trHeight w:val="238"/>
          <w:jc w:val="center"/>
        </w:trPr>
        <w:tc>
          <w:tcPr>
            <w:tcW w:w="3510" w:type="dxa"/>
            <w:shd w:val="clear" w:color="auto" w:fill="auto"/>
          </w:tcPr>
          <w:p w14:paraId="1BE8B98A" w14:textId="77777777" w:rsidR="00725333" w:rsidRPr="00D25934" w:rsidRDefault="00725333" w:rsidP="002D7F1B">
            <w:pPr>
              <w:pStyle w:val="08-Tabelageral"/>
              <w:ind w:left="113"/>
              <w:jc w:val="left"/>
              <w:rPr>
                <w:rFonts w:cs="Arial"/>
                <w:bCs/>
              </w:rPr>
            </w:pPr>
            <w:r w:rsidRPr="00D25934">
              <w:rPr>
                <w:rFonts w:cs="Arial"/>
              </w:rPr>
              <w:t>Ativo não circulante</w:t>
            </w:r>
          </w:p>
        </w:tc>
        <w:tc>
          <w:tcPr>
            <w:tcW w:w="1239" w:type="dxa"/>
            <w:shd w:val="clear" w:color="auto" w:fill="auto"/>
          </w:tcPr>
          <w:p w14:paraId="4A2291D0" w14:textId="77777777" w:rsidR="00725333" w:rsidRPr="00D25934" w:rsidRDefault="00725333" w:rsidP="002D7F1B">
            <w:pPr>
              <w:pStyle w:val="08-Tabelageral"/>
            </w:pPr>
            <w:r w:rsidRPr="004C549C">
              <w:t>12.154.206</w:t>
            </w:r>
          </w:p>
        </w:tc>
        <w:tc>
          <w:tcPr>
            <w:tcW w:w="1630" w:type="dxa"/>
            <w:shd w:val="clear" w:color="auto" w:fill="auto"/>
          </w:tcPr>
          <w:p w14:paraId="2B40B89F" w14:textId="77777777" w:rsidR="00725333" w:rsidRPr="00D25934" w:rsidRDefault="00725333" w:rsidP="002D7F1B">
            <w:pPr>
              <w:pStyle w:val="08-Tabelageral"/>
            </w:pPr>
            <w:r w:rsidRPr="00C657C2">
              <w:t>1.098.937</w:t>
            </w:r>
          </w:p>
        </w:tc>
        <w:tc>
          <w:tcPr>
            <w:tcW w:w="1630" w:type="dxa"/>
            <w:shd w:val="clear" w:color="auto" w:fill="auto"/>
          </w:tcPr>
          <w:p w14:paraId="6CF7805A" w14:textId="77777777" w:rsidR="00725333" w:rsidRPr="00D25934" w:rsidRDefault="00725333" w:rsidP="002D7F1B">
            <w:pPr>
              <w:pStyle w:val="08-Tabelageral"/>
            </w:pPr>
            <w:r w:rsidRPr="001F361A">
              <w:t>(5.971.728)</w:t>
            </w:r>
          </w:p>
        </w:tc>
        <w:tc>
          <w:tcPr>
            <w:tcW w:w="1630" w:type="dxa"/>
            <w:shd w:val="clear" w:color="auto" w:fill="auto"/>
          </w:tcPr>
          <w:p w14:paraId="6E03FFAB" w14:textId="77777777" w:rsidR="00725333" w:rsidRPr="00D25934" w:rsidRDefault="00725333" w:rsidP="002D7F1B">
            <w:pPr>
              <w:pStyle w:val="08-Tabelageral"/>
            </w:pPr>
            <w:r w:rsidRPr="00CD0875">
              <w:t>7.281.415</w:t>
            </w:r>
          </w:p>
        </w:tc>
      </w:tr>
      <w:tr w:rsidR="00725333" w:rsidRPr="002D7F1B" w14:paraId="05F92757" w14:textId="77777777" w:rsidTr="004066E9">
        <w:trPr>
          <w:trHeight w:val="238"/>
          <w:jc w:val="center"/>
        </w:trPr>
        <w:tc>
          <w:tcPr>
            <w:tcW w:w="3510" w:type="dxa"/>
            <w:shd w:val="clear" w:color="auto" w:fill="auto"/>
          </w:tcPr>
          <w:p w14:paraId="4673397D" w14:textId="77777777" w:rsidR="00725333" w:rsidRPr="002D7F1B" w:rsidRDefault="00725333" w:rsidP="002D7F1B">
            <w:pPr>
              <w:pStyle w:val="08-Tabelageral"/>
              <w:jc w:val="left"/>
              <w:rPr>
                <w:rFonts w:cs="Arial"/>
                <w:b/>
              </w:rPr>
            </w:pPr>
            <w:r w:rsidRPr="002D7F1B">
              <w:rPr>
                <w:rFonts w:cs="Arial"/>
                <w:b/>
              </w:rPr>
              <w:t>Total do Ativo</w:t>
            </w:r>
          </w:p>
        </w:tc>
        <w:tc>
          <w:tcPr>
            <w:tcW w:w="1239" w:type="dxa"/>
            <w:shd w:val="clear" w:color="auto" w:fill="auto"/>
          </w:tcPr>
          <w:p w14:paraId="4D715377" w14:textId="77777777" w:rsidR="00725333" w:rsidRPr="005D6050" w:rsidRDefault="00725333" w:rsidP="002D7F1B">
            <w:pPr>
              <w:pStyle w:val="08-Tabelageral"/>
              <w:rPr>
                <w:b/>
              </w:rPr>
            </w:pPr>
            <w:r w:rsidRPr="005D6050">
              <w:rPr>
                <w:b/>
              </w:rPr>
              <w:t>13.532.885</w:t>
            </w:r>
          </w:p>
        </w:tc>
        <w:tc>
          <w:tcPr>
            <w:tcW w:w="1630" w:type="dxa"/>
            <w:shd w:val="clear" w:color="auto" w:fill="auto"/>
          </w:tcPr>
          <w:p w14:paraId="0F9BDB05" w14:textId="77777777" w:rsidR="00725333" w:rsidRPr="005D6050" w:rsidRDefault="00725333" w:rsidP="002D7F1B">
            <w:pPr>
              <w:pStyle w:val="08-Tabelageral"/>
              <w:rPr>
                <w:b/>
              </w:rPr>
            </w:pPr>
            <w:r w:rsidRPr="005D6050">
              <w:rPr>
                <w:b/>
              </w:rPr>
              <w:t>4.406.679</w:t>
            </w:r>
          </w:p>
        </w:tc>
        <w:tc>
          <w:tcPr>
            <w:tcW w:w="1630" w:type="dxa"/>
            <w:shd w:val="clear" w:color="auto" w:fill="auto"/>
          </w:tcPr>
          <w:p w14:paraId="692DF9AC" w14:textId="77777777" w:rsidR="00725333" w:rsidRPr="005D6050" w:rsidRDefault="00725333" w:rsidP="002D7F1B">
            <w:pPr>
              <w:pStyle w:val="08-Tabelageral"/>
              <w:rPr>
                <w:b/>
              </w:rPr>
            </w:pPr>
            <w:r w:rsidRPr="005D6050">
              <w:rPr>
                <w:b/>
              </w:rPr>
              <w:t>(7.039.268)</w:t>
            </w:r>
          </w:p>
        </w:tc>
        <w:tc>
          <w:tcPr>
            <w:tcW w:w="1630" w:type="dxa"/>
            <w:shd w:val="clear" w:color="auto" w:fill="auto"/>
          </w:tcPr>
          <w:p w14:paraId="23D037CB" w14:textId="77777777" w:rsidR="00725333" w:rsidRPr="005D6050" w:rsidRDefault="00725333" w:rsidP="002D7F1B">
            <w:pPr>
              <w:pStyle w:val="08-Tabelageral"/>
              <w:rPr>
                <w:b/>
              </w:rPr>
            </w:pPr>
            <w:r w:rsidRPr="005D6050">
              <w:rPr>
                <w:b/>
              </w:rPr>
              <w:t>10.900.296</w:t>
            </w:r>
          </w:p>
        </w:tc>
      </w:tr>
      <w:tr w:rsidR="00725333" w:rsidRPr="00D25934" w14:paraId="4387ACE2" w14:textId="77777777" w:rsidTr="004066E9">
        <w:trPr>
          <w:trHeight w:val="238"/>
          <w:jc w:val="center"/>
        </w:trPr>
        <w:tc>
          <w:tcPr>
            <w:tcW w:w="3510" w:type="dxa"/>
            <w:shd w:val="clear" w:color="auto" w:fill="auto"/>
          </w:tcPr>
          <w:p w14:paraId="4266D7BF" w14:textId="77777777" w:rsidR="00725333" w:rsidRPr="00D25934" w:rsidRDefault="00725333" w:rsidP="002D7F1B">
            <w:pPr>
              <w:pStyle w:val="08-Tabelageral"/>
              <w:ind w:left="113"/>
              <w:jc w:val="left"/>
              <w:rPr>
                <w:rFonts w:cs="Arial"/>
                <w:bCs/>
              </w:rPr>
            </w:pPr>
            <w:r w:rsidRPr="00D25934">
              <w:rPr>
                <w:rFonts w:cs="Arial"/>
              </w:rPr>
              <w:t>Passivo circulante</w:t>
            </w:r>
          </w:p>
        </w:tc>
        <w:tc>
          <w:tcPr>
            <w:tcW w:w="1239" w:type="dxa"/>
            <w:shd w:val="clear" w:color="auto" w:fill="auto"/>
          </w:tcPr>
          <w:p w14:paraId="7E6F9B7E" w14:textId="77777777" w:rsidR="00725333" w:rsidRPr="00D25934" w:rsidRDefault="00725333" w:rsidP="002D7F1B">
            <w:pPr>
              <w:pStyle w:val="08-Tabelageral"/>
            </w:pPr>
            <w:r w:rsidRPr="004C549C">
              <w:t>989.082</w:t>
            </w:r>
          </w:p>
        </w:tc>
        <w:tc>
          <w:tcPr>
            <w:tcW w:w="1630" w:type="dxa"/>
            <w:shd w:val="clear" w:color="auto" w:fill="auto"/>
          </w:tcPr>
          <w:p w14:paraId="1AAD1A33" w14:textId="77777777" w:rsidR="00725333" w:rsidRPr="00D25934" w:rsidRDefault="00725333" w:rsidP="002D7F1B">
            <w:pPr>
              <w:pStyle w:val="08-Tabelageral"/>
            </w:pPr>
            <w:r w:rsidRPr="00C657C2">
              <w:t>2.931.761</w:t>
            </w:r>
          </w:p>
        </w:tc>
        <w:tc>
          <w:tcPr>
            <w:tcW w:w="1630" w:type="dxa"/>
            <w:shd w:val="clear" w:color="auto" w:fill="auto"/>
          </w:tcPr>
          <w:p w14:paraId="7DD2DFE1" w14:textId="77777777" w:rsidR="00725333" w:rsidRPr="00D25934" w:rsidRDefault="00725333" w:rsidP="002D7F1B">
            <w:pPr>
              <w:pStyle w:val="08-Tabelageral"/>
            </w:pPr>
            <w:r w:rsidRPr="001F361A">
              <w:t>(1.067.540)</w:t>
            </w:r>
          </w:p>
        </w:tc>
        <w:tc>
          <w:tcPr>
            <w:tcW w:w="1630" w:type="dxa"/>
            <w:shd w:val="clear" w:color="auto" w:fill="auto"/>
          </w:tcPr>
          <w:p w14:paraId="1DE3B446" w14:textId="77777777" w:rsidR="00725333" w:rsidRPr="00D25934" w:rsidRDefault="00725333" w:rsidP="002D7F1B">
            <w:pPr>
              <w:pStyle w:val="08-Tabelageral"/>
            </w:pPr>
            <w:r w:rsidRPr="00CD0875">
              <w:t>2.853.303</w:t>
            </w:r>
          </w:p>
        </w:tc>
      </w:tr>
      <w:tr w:rsidR="00725333" w:rsidRPr="00D25934" w14:paraId="03854455" w14:textId="77777777" w:rsidTr="004066E9">
        <w:trPr>
          <w:trHeight w:val="238"/>
          <w:jc w:val="center"/>
        </w:trPr>
        <w:tc>
          <w:tcPr>
            <w:tcW w:w="3510" w:type="dxa"/>
            <w:shd w:val="clear" w:color="auto" w:fill="auto"/>
          </w:tcPr>
          <w:p w14:paraId="47003092" w14:textId="77777777" w:rsidR="00725333" w:rsidRPr="00D25934" w:rsidRDefault="00725333" w:rsidP="002D7F1B">
            <w:pPr>
              <w:pStyle w:val="08-Tabelageral"/>
              <w:ind w:left="113"/>
              <w:jc w:val="left"/>
              <w:rPr>
                <w:rFonts w:cs="Arial"/>
                <w:bCs/>
              </w:rPr>
            </w:pPr>
            <w:r w:rsidRPr="00D25934">
              <w:rPr>
                <w:rFonts w:cs="Arial"/>
              </w:rPr>
              <w:t>Passivo não circulante</w:t>
            </w:r>
          </w:p>
        </w:tc>
        <w:tc>
          <w:tcPr>
            <w:tcW w:w="1239" w:type="dxa"/>
            <w:shd w:val="clear" w:color="auto" w:fill="auto"/>
          </w:tcPr>
          <w:p w14:paraId="6D541C0A" w14:textId="77777777" w:rsidR="00725333" w:rsidRPr="00D25934" w:rsidRDefault="00725333" w:rsidP="002D7F1B">
            <w:pPr>
              <w:pStyle w:val="08-Tabelageral"/>
            </w:pPr>
            <w:r w:rsidRPr="004C549C">
              <w:t>229.378</w:t>
            </w:r>
          </w:p>
        </w:tc>
        <w:tc>
          <w:tcPr>
            <w:tcW w:w="1630" w:type="dxa"/>
            <w:shd w:val="clear" w:color="auto" w:fill="auto"/>
          </w:tcPr>
          <w:p w14:paraId="4EC4A504" w14:textId="77777777" w:rsidR="00725333" w:rsidRPr="00D25934" w:rsidRDefault="00725333" w:rsidP="002D7F1B">
            <w:pPr>
              <w:pStyle w:val="08-Tabelageral"/>
            </w:pPr>
            <w:r w:rsidRPr="00C657C2">
              <w:t>1.428.010</w:t>
            </w:r>
          </w:p>
        </w:tc>
        <w:tc>
          <w:tcPr>
            <w:tcW w:w="1630" w:type="dxa"/>
            <w:shd w:val="clear" w:color="auto" w:fill="auto"/>
          </w:tcPr>
          <w:p w14:paraId="68FB6E2E" w14:textId="77777777" w:rsidR="00725333" w:rsidRPr="00D25934" w:rsidRDefault="00725333" w:rsidP="002D7F1B">
            <w:pPr>
              <w:pStyle w:val="08-Tabelageral"/>
            </w:pPr>
            <w:r>
              <w:t>--</w:t>
            </w:r>
          </w:p>
        </w:tc>
        <w:tc>
          <w:tcPr>
            <w:tcW w:w="1630" w:type="dxa"/>
            <w:shd w:val="clear" w:color="auto" w:fill="auto"/>
          </w:tcPr>
          <w:p w14:paraId="10BED1DA" w14:textId="77777777" w:rsidR="00725333" w:rsidRPr="00D25934" w:rsidRDefault="00725333" w:rsidP="002D7F1B">
            <w:pPr>
              <w:pStyle w:val="08-Tabelageral"/>
            </w:pPr>
            <w:r w:rsidRPr="00CD0875">
              <w:t>1.657.388</w:t>
            </w:r>
          </w:p>
        </w:tc>
      </w:tr>
      <w:tr w:rsidR="00725333" w:rsidRPr="00D25934" w14:paraId="13BD9CE9" w14:textId="77777777" w:rsidTr="004066E9">
        <w:trPr>
          <w:trHeight w:val="238"/>
          <w:jc w:val="center"/>
        </w:trPr>
        <w:tc>
          <w:tcPr>
            <w:tcW w:w="3510" w:type="dxa"/>
            <w:shd w:val="clear" w:color="auto" w:fill="auto"/>
          </w:tcPr>
          <w:p w14:paraId="2A9B23D5" w14:textId="77777777" w:rsidR="00725333" w:rsidRPr="00D25934" w:rsidRDefault="00725333" w:rsidP="002D7F1B">
            <w:pPr>
              <w:pStyle w:val="08-Tabelageral"/>
              <w:ind w:left="113"/>
              <w:jc w:val="left"/>
              <w:rPr>
                <w:rFonts w:cs="Arial"/>
                <w:bCs/>
              </w:rPr>
            </w:pPr>
            <w:r w:rsidRPr="00D25934">
              <w:rPr>
                <w:rFonts w:cs="Arial"/>
              </w:rPr>
              <w:t>Patrimônio líquido</w:t>
            </w:r>
          </w:p>
        </w:tc>
        <w:tc>
          <w:tcPr>
            <w:tcW w:w="1239" w:type="dxa"/>
            <w:shd w:val="clear" w:color="auto" w:fill="auto"/>
          </w:tcPr>
          <w:p w14:paraId="1CBA69A3" w14:textId="77777777" w:rsidR="00725333" w:rsidRPr="005D6050" w:rsidRDefault="00725333" w:rsidP="002D7F1B">
            <w:pPr>
              <w:pStyle w:val="08-Tabelageral"/>
              <w:rPr>
                <w:b/>
                <w:bCs/>
              </w:rPr>
            </w:pPr>
            <w:r w:rsidRPr="005D6050">
              <w:rPr>
                <w:b/>
                <w:bCs/>
              </w:rPr>
              <w:t>12.314.425</w:t>
            </w:r>
          </w:p>
        </w:tc>
        <w:tc>
          <w:tcPr>
            <w:tcW w:w="1630" w:type="dxa"/>
            <w:shd w:val="clear" w:color="auto" w:fill="auto"/>
          </w:tcPr>
          <w:p w14:paraId="36736217" w14:textId="77777777" w:rsidR="00725333" w:rsidRPr="005D6050" w:rsidRDefault="00725333" w:rsidP="002D7F1B">
            <w:pPr>
              <w:pStyle w:val="08-Tabelageral"/>
              <w:rPr>
                <w:b/>
                <w:bCs/>
              </w:rPr>
            </w:pPr>
            <w:r w:rsidRPr="005D6050">
              <w:rPr>
                <w:b/>
                <w:bCs/>
              </w:rPr>
              <w:t>46.908</w:t>
            </w:r>
          </w:p>
        </w:tc>
        <w:tc>
          <w:tcPr>
            <w:tcW w:w="1630" w:type="dxa"/>
            <w:shd w:val="clear" w:color="auto" w:fill="auto"/>
          </w:tcPr>
          <w:p w14:paraId="0386D7F6" w14:textId="77777777" w:rsidR="00725333" w:rsidRPr="005D6050" w:rsidRDefault="00725333" w:rsidP="002D7F1B">
            <w:pPr>
              <w:pStyle w:val="08-Tabelageral"/>
              <w:rPr>
                <w:b/>
                <w:bCs/>
              </w:rPr>
            </w:pPr>
            <w:r w:rsidRPr="005D6050">
              <w:rPr>
                <w:b/>
                <w:bCs/>
              </w:rPr>
              <w:t>(5.971.728)</w:t>
            </w:r>
          </w:p>
        </w:tc>
        <w:tc>
          <w:tcPr>
            <w:tcW w:w="1630" w:type="dxa"/>
            <w:shd w:val="clear" w:color="auto" w:fill="auto"/>
          </w:tcPr>
          <w:p w14:paraId="6717B668" w14:textId="77777777" w:rsidR="00725333" w:rsidRPr="005D6050" w:rsidRDefault="00725333" w:rsidP="002D7F1B">
            <w:pPr>
              <w:pStyle w:val="08-Tabelageral"/>
              <w:rPr>
                <w:b/>
                <w:bCs/>
              </w:rPr>
            </w:pPr>
            <w:r w:rsidRPr="005D6050">
              <w:rPr>
                <w:b/>
                <w:bCs/>
              </w:rPr>
              <w:t>6.389.605</w:t>
            </w:r>
          </w:p>
        </w:tc>
      </w:tr>
      <w:tr w:rsidR="00725333" w:rsidRPr="002D7F1B" w14:paraId="6A1DE660" w14:textId="77777777" w:rsidTr="004066E9">
        <w:trPr>
          <w:trHeight w:val="238"/>
          <w:jc w:val="center"/>
        </w:trPr>
        <w:tc>
          <w:tcPr>
            <w:tcW w:w="3510" w:type="dxa"/>
            <w:tcBorders>
              <w:bottom w:val="single" w:sz="2" w:space="0" w:color="1F4E79" w:themeColor="accent1" w:themeShade="80"/>
            </w:tcBorders>
            <w:shd w:val="clear" w:color="auto" w:fill="auto"/>
          </w:tcPr>
          <w:p w14:paraId="6C39440C" w14:textId="77777777" w:rsidR="00725333" w:rsidRPr="002D7F1B" w:rsidRDefault="00725333" w:rsidP="002D7F1B">
            <w:pPr>
              <w:pStyle w:val="08-Tabelageral"/>
              <w:jc w:val="left"/>
              <w:rPr>
                <w:rFonts w:cs="Arial"/>
                <w:b/>
              </w:rPr>
            </w:pPr>
            <w:r w:rsidRPr="002D7F1B">
              <w:rPr>
                <w:rFonts w:cs="Arial"/>
                <w:b/>
              </w:rPr>
              <w:t>Total do Passivo e Patrimônio Líquido</w:t>
            </w:r>
          </w:p>
        </w:tc>
        <w:tc>
          <w:tcPr>
            <w:tcW w:w="1239" w:type="dxa"/>
            <w:tcBorders>
              <w:bottom w:val="single" w:sz="2" w:space="0" w:color="1F4E79" w:themeColor="accent1" w:themeShade="80"/>
            </w:tcBorders>
            <w:shd w:val="clear" w:color="auto" w:fill="auto"/>
          </w:tcPr>
          <w:p w14:paraId="6BF48368" w14:textId="77777777" w:rsidR="00725333" w:rsidRPr="005D6050" w:rsidRDefault="00725333" w:rsidP="002D7F1B">
            <w:pPr>
              <w:pStyle w:val="08-Tabelageral"/>
              <w:rPr>
                <w:b/>
                <w:bCs/>
              </w:rPr>
            </w:pPr>
            <w:r w:rsidRPr="005D6050">
              <w:rPr>
                <w:b/>
                <w:bCs/>
              </w:rPr>
              <w:t>13.532.885</w:t>
            </w:r>
          </w:p>
        </w:tc>
        <w:tc>
          <w:tcPr>
            <w:tcW w:w="1630" w:type="dxa"/>
            <w:tcBorders>
              <w:bottom w:val="single" w:sz="2" w:space="0" w:color="1F4E79" w:themeColor="accent1" w:themeShade="80"/>
            </w:tcBorders>
            <w:shd w:val="clear" w:color="auto" w:fill="auto"/>
          </w:tcPr>
          <w:p w14:paraId="1E622126" w14:textId="77777777" w:rsidR="00725333" w:rsidRPr="005D6050" w:rsidRDefault="00725333" w:rsidP="002D7F1B">
            <w:pPr>
              <w:pStyle w:val="08-Tabelageral"/>
              <w:rPr>
                <w:b/>
                <w:bCs/>
              </w:rPr>
            </w:pPr>
            <w:r w:rsidRPr="005D6050">
              <w:rPr>
                <w:b/>
                <w:bCs/>
              </w:rPr>
              <w:t>4.406.679</w:t>
            </w:r>
          </w:p>
        </w:tc>
        <w:tc>
          <w:tcPr>
            <w:tcW w:w="1630" w:type="dxa"/>
            <w:tcBorders>
              <w:bottom w:val="single" w:sz="2" w:space="0" w:color="1F4E79" w:themeColor="accent1" w:themeShade="80"/>
            </w:tcBorders>
            <w:shd w:val="clear" w:color="auto" w:fill="auto"/>
          </w:tcPr>
          <w:p w14:paraId="359E65BA" w14:textId="77777777" w:rsidR="00725333" w:rsidRPr="005D6050" w:rsidRDefault="00725333" w:rsidP="002D7F1B">
            <w:pPr>
              <w:pStyle w:val="08-Tabelageral"/>
              <w:rPr>
                <w:b/>
                <w:bCs/>
              </w:rPr>
            </w:pPr>
            <w:r w:rsidRPr="005D6050">
              <w:rPr>
                <w:b/>
                <w:bCs/>
              </w:rPr>
              <w:t>(7.039.268)</w:t>
            </w:r>
          </w:p>
        </w:tc>
        <w:tc>
          <w:tcPr>
            <w:tcW w:w="1630" w:type="dxa"/>
            <w:tcBorders>
              <w:bottom w:val="single" w:sz="2" w:space="0" w:color="1F4E79" w:themeColor="accent1" w:themeShade="80"/>
            </w:tcBorders>
            <w:shd w:val="clear" w:color="auto" w:fill="auto"/>
          </w:tcPr>
          <w:p w14:paraId="18B16FE2" w14:textId="77777777" w:rsidR="00725333" w:rsidRPr="005D6050" w:rsidRDefault="00725333" w:rsidP="002D7F1B">
            <w:pPr>
              <w:pStyle w:val="08-Tabelageral"/>
              <w:rPr>
                <w:b/>
                <w:bCs/>
              </w:rPr>
            </w:pPr>
            <w:r w:rsidRPr="005D6050">
              <w:rPr>
                <w:b/>
                <w:bCs/>
              </w:rPr>
              <w:t>10.900.296</w:t>
            </w:r>
          </w:p>
        </w:tc>
      </w:tr>
      <w:bookmarkEnd w:id="66"/>
      <w:bookmarkEnd w:id="63"/>
    </w:tbl>
    <w:p w14:paraId="05D36ED5" w14:textId="49FE618F" w:rsidR="00E822B7" w:rsidRDefault="00E822B7" w:rsidP="00E822B7">
      <w:pPr>
        <w:pStyle w:val="01-Textonormal"/>
      </w:pPr>
    </w:p>
    <w:p w14:paraId="2A97B13C" w14:textId="75188DA1" w:rsidR="00C42353" w:rsidRPr="00C42353" w:rsidRDefault="00C42353" w:rsidP="00247039">
      <w:pPr>
        <w:pStyle w:val="02-TtulodeNota"/>
        <w:rPr>
          <w:color w:val="1F4E79" w:themeColor="accent1" w:themeShade="80"/>
          <w:lang w:val="en-US"/>
        </w:rPr>
      </w:pPr>
      <w:bookmarkStart w:id="68" w:name="_Toc94861065"/>
      <w:r w:rsidRPr="00C42353">
        <w:rPr>
          <w:color w:val="1F4E79" w:themeColor="accent1" w:themeShade="80"/>
          <w:lang w:val="en-US"/>
        </w:rPr>
        <w:t>7 – INVESTIMENTOS EM PARTICIPAÇÕES SOCIETÁRIAS</w:t>
      </w:r>
      <w:bookmarkEnd w:id="68"/>
    </w:p>
    <w:p w14:paraId="18770B9D" w14:textId="77777777" w:rsidR="00C42353" w:rsidRDefault="00C42353" w:rsidP="00C4171F">
      <w:pPr>
        <w:pStyle w:val="01-TtulodeNota"/>
        <w:spacing w:before="0" w:after="0"/>
        <w:jc w:val="left"/>
        <w:rPr>
          <w:color w:val="1F4E79" w:themeColor="accent1" w:themeShade="80"/>
          <w:sz w:val="16"/>
          <w:szCs w:val="16"/>
        </w:rPr>
      </w:pPr>
    </w:p>
    <w:p w14:paraId="2A053E15" w14:textId="77777777" w:rsidR="00C42353" w:rsidRPr="00522DAA" w:rsidRDefault="00C42353" w:rsidP="005D20B9">
      <w:pPr>
        <w:pStyle w:val="01-TtulodeNota"/>
        <w:spacing w:before="0" w:after="0"/>
        <w:ind w:right="-1"/>
        <w:rPr>
          <w:color w:val="1F4E79" w:themeColor="accent1" w:themeShade="80"/>
          <w:sz w:val="18"/>
          <w:szCs w:val="18"/>
        </w:rPr>
      </w:pPr>
      <w:r w:rsidRPr="00522DAA">
        <w:rPr>
          <w:color w:val="1F4E79" w:themeColor="accent1" w:themeShade="80"/>
          <w:sz w:val="18"/>
          <w:szCs w:val="18"/>
        </w:rPr>
        <w:t>a) Descrição dos Investimentos em Participações Societárias, por segmento de negócio / ramo de atuação</w:t>
      </w:r>
    </w:p>
    <w:p w14:paraId="262B8060" w14:textId="77777777" w:rsidR="00C42353" w:rsidRPr="00273191" w:rsidRDefault="00C42353" w:rsidP="00F457ED">
      <w:pPr>
        <w:rPr>
          <w:rFonts w:cs="Arial"/>
          <w:sz w:val="2"/>
          <w:szCs w:val="2"/>
          <w:lang w:eastAsia="pt-BR"/>
        </w:rPr>
      </w:pPr>
    </w:p>
    <w:tbl>
      <w:tblPr>
        <w:tblStyle w:val="TabeladeLista6Colorida-nfase510"/>
        <w:tblW w:w="9639" w:type="dxa"/>
        <w:jc w:val="center"/>
        <w:tblInd w:w="0" w:type="dxa"/>
        <w:tblLayout w:type="fixed"/>
        <w:tblLook w:val="04A0" w:firstRow="1" w:lastRow="0" w:firstColumn="1" w:lastColumn="0" w:noHBand="0" w:noVBand="1"/>
      </w:tblPr>
      <w:tblGrid>
        <w:gridCol w:w="1068"/>
        <w:gridCol w:w="1124"/>
        <w:gridCol w:w="1936"/>
        <w:gridCol w:w="2575"/>
        <w:gridCol w:w="1108"/>
        <w:gridCol w:w="659"/>
        <w:gridCol w:w="1169"/>
      </w:tblGrid>
      <w:tr w:rsidR="00C42353" w:rsidRPr="00AD6080" w14:paraId="66782D8C" w14:textId="77777777" w:rsidTr="00B1619B">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val="restart"/>
            <w:tcBorders>
              <w:top w:val="single" w:sz="2" w:space="0" w:color="1F4E79" w:themeColor="accent1" w:themeShade="80"/>
            </w:tcBorders>
            <w:shd w:val="clear" w:color="auto" w:fill="FFFFFF" w:themeFill="background1"/>
            <w:vAlign w:val="center"/>
          </w:tcPr>
          <w:p w14:paraId="6DE8A70F" w14:textId="77777777" w:rsidR="00C42353" w:rsidRPr="00AD6080" w:rsidRDefault="00C42353" w:rsidP="00BD64C0">
            <w:pPr>
              <w:jc w:val="center"/>
              <w:rPr>
                <w:rFonts w:cs="Arial"/>
                <w:sz w:val="14"/>
                <w:szCs w:val="14"/>
              </w:rPr>
            </w:pPr>
            <w:r w:rsidRPr="00AD6080">
              <w:rPr>
                <w:rFonts w:cs="Arial"/>
                <w:sz w:val="14"/>
                <w:szCs w:val="14"/>
              </w:rPr>
              <w:t>Segmento</w:t>
            </w:r>
          </w:p>
        </w:tc>
        <w:tc>
          <w:tcPr>
            <w:tcW w:w="1124" w:type="dxa"/>
            <w:vMerge w:val="restart"/>
            <w:tcBorders>
              <w:top w:val="single" w:sz="2" w:space="0" w:color="1F4E79" w:themeColor="accent1" w:themeShade="80"/>
            </w:tcBorders>
            <w:shd w:val="clear" w:color="auto" w:fill="FFFFFF" w:themeFill="background1"/>
            <w:vAlign w:val="center"/>
          </w:tcPr>
          <w:p w14:paraId="115DCF88" w14:textId="77777777" w:rsidR="00C42353" w:rsidRPr="00AD6080" w:rsidRDefault="00C42353" w:rsidP="00BD64C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Ramo de atuação</w:t>
            </w:r>
          </w:p>
        </w:tc>
        <w:tc>
          <w:tcPr>
            <w:tcW w:w="1936" w:type="dxa"/>
            <w:vMerge w:val="restart"/>
            <w:tcBorders>
              <w:top w:val="single" w:sz="2" w:space="0" w:color="1F4E79" w:themeColor="accent1" w:themeShade="80"/>
            </w:tcBorders>
            <w:shd w:val="clear" w:color="auto" w:fill="FFFFFF" w:themeFill="background1"/>
            <w:vAlign w:val="center"/>
          </w:tcPr>
          <w:p w14:paraId="56EF493B" w14:textId="77777777" w:rsidR="00C42353" w:rsidRPr="00AD6080" w:rsidRDefault="00C42353" w:rsidP="00BD64C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Empresa</w:t>
            </w:r>
          </w:p>
        </w:tc>
        <w:tc>
          <w:tcPr>
            <w:tcW w:w="2575" w:type="dxa"/>
            <w:vMerge w:val="restart"/>
            <w:tcBorders>
              <w:top w:val="single" w:sz="2" w:space="0" w:color="1F4E79" w:themeColor="accent1" w:themeShade="80"/>
            </w:tcBorders>
            <w:shd w:val="clear" w:color="auto" w:fill="FFFFFF" w:themeFill="background1"/>
            <w:vAlign w:val="center"/>
          </w:tcPr>
          <w:p w14:paraId="34D93872" w14:textId="77777777" w:rsidR="00C42353" w:rsidRPr="00AD6080" w:rsidRDefault="00C42353" w:rsidP="00BD64C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Descrição</w:t>
            </w:r>
          </w:p>
        </w:tc>
        <w:tc>
          <w:tcPr>
            <w:tcW w:w="1108" w:type="dxa"/>
            <w:vMerge w:val="restart"/>
            <w:tcBorders>
              <w:top w:val="single" w:sz="2" w:space="0" w:color="1F4E79" w:themeColor="accent1" w:themeShade="80"/>
            </w:tcBorders>
            <w:shd w:val="clear" w:color="auto" w:fill="FFFFFF" w:themeFill="background1"/>
            <w:vAlign w:val="center"/>
          </w:tcPr>
          <w:p w14:paraId="0C57495B" w14:textId="77777777" w:rsidR="00C42353" w:rsidRDefault="00C42353" w:rsidP="00BD64C0">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AD6080">
              <w:rPr>
                <w:rFonts w:cs="Arial"/>
                <w:szCs w:val="14"/>
              </w:rPr>
              <w:t>Prática Contábil</w:t>
            </w:r>
          </w:p>
          <w:p w14:paraId="0BA5D6AB" w14:textId="77777777" w:rsidR="00C42353" w:rsidRPr="00AD6080" w:rsidRDefault="00C42353" w:rsidP="00BD64C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Pr>
                <w:rFonts w:cs="Arial"/>
                <w:szCs w:val="14"/>
              </w:rPr>
              <w:t>Original</w:t>
            </w:r>
          </w:p>
        </w:tc>
        <w:tc>
          <w:tcPr>
            <w:tcW w:w="1828" w:type="dxa"/>
            <w:gridSpan w:val="2"/>
            <w:tcBorders>
              <w:top w:val="single" w:sz="2" w:space="0" w:color="1F4E79" w:themeColor="accent1" w:themeShade="80"/>
              <w:bottom w:val="single" w:sz="2" w:space="0" w:color="1F4E79" w:themeColor="accent1" w:themeShade="80"/>
            </w:tcBorders>
            <w:shd w:val="clear" w:color="auto" w:fill="FFFFFF" w:themeFill="background1"/>
            <w:vAlign w:val="center"/>
          </w:tcPr>
          <w:p w14:paraId="742910D8" w14:textId="77777777" w:rsidR="00C42353" w:rsidRPr="00AD6080" w:rsidRDefault="00C42353" w:rsidP="00AD608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AD6080">
              <w:rPr>
                <w:rFonts w:cs="Arial"/>
                <w:szCs w:val="14"/>
              </w:rPr>
              <w:t>% de participação</w:t>
            </w:r>
            <w:r w:rsidRPr="00AD6080">
              <w:rPr>
                <w:rFonts w:cs="Arial"/>
                <w:szCs w:val="14"/>
              </w:rPr>
              <w:br/>
            </w:r>
            <w:r>
              <w:rPr>
                <w:rFonts w:cs="Arial"/>
                <w:szCs w:val="14"/>
              </w:rPr>
              <w:t>31</w:t>
            </w:r>
            <w:r w:rsidRPr="00AD6080">
              <w:rPr>
                <w:rFonts w:cs="Arial"/>
                <w:szCs w:val="14"/>
              </w:rPr>
              <w:t>.</w:t>
            </w:r>
            <w:r>
              <w:rPr>
                <w:rFonts w:cs="Arial"/>
                <w:szCs w:val="14"/>
              </w:rPr>
              <w:t>12</w:t>
            </w:r>
            <w:r w:rsidRPr="00AD6080">
              <w:rPr>
                <w:rFonts w:cs="Arial"/>
                <w:szCs w:val="14"/>
              </w:rPr>
              <w:t>.202</w:t>
            </w:r>
            <w:r>
              <w:rPr>
                <w:rFonts w:cs="Arial"/>
                <w:szCs w:val="14"/>
              </w:rPr>
              <w:t>1 e 31.12.2020</w:t>
            </w:r>
          </w:p>
        </w:tc>
      </w:tr>
      <w:tr w:rsidR="00C42353" w:rsidRPr="003B4BE2" w14:paraId="675BC7B4" w14:textId="77777777" w:rsidTr="00B1619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bottom w:val="single" w:sz="2" w:space="0" w:color="1F4E79" w:themeColor="accent1" w:themeShade="80"/>
            </w:tcBorders>
            <w:vAlign w:val="center"/>
          </w:tcPr>
          <w:p w14:paraId="2B783019" w14:textId="77777777" w:rsidR="00C42353" w:rsidRPr="00F45619" w:rsidRDefault="00C42353" w:rsidP="00AD6080">
            <w:pPr>
              <w:rPr>
                <w:rFonts w:cs="Arial"/>
                <w:sz w:val="14"/>
                <w:szCs w:val="14"/>
                <w:highlight w:val="yellow"/>
              </w:rPr>
            </w:pPr>
          </w:p>
        </w:tc>
        <w:tc>
          <w:tcPr>
            <w:tcW w:w="1124" w:type="dxa"/>
            <w:vMerge/>
            <w:tcBorders>
              <w:bottom w:val="single" w:sz="4" w:space="0" w:color="1F4E79" w:themeColor="accent1" w:themeShade="80"/>
            </w:tcBorders>
          </w:tcPr>
          <w:p w14:paraId="3CD9F990" w14:textId="77777777" w:rsidR="00C42353" w:rsidRPr="00F346F4" w:rsidRDefault="00C42353" w:rsidP="00AD6080">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936" w:type="dxa"/>
            <w:vMerge/>
            <w:tcBorders>
              <w:bottom w:val="single" w:sz="4" w:space="0" w:color="1F4E79" w:themeColor="accent1" w:themeShade="80"/>
            </w:tcBorders>
          </w:tcPr>
          <w:p w14:paraId="1147D1EC" w14:textId="77777777" w:rsidR="00C42353" w:rsidRPr="00F346F4" w:rsidRDefault="00C42353" w:rsidP="00AD6080">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2575" w:type="dxa"/>
            <w:vMerge/>
            <w:tcBorders>
              <w:bottom w:val="single" w:sz="4" w:space="0" w:color="1F4E79" w:themeColor="accent1" w:themeShade="80"/>
            </w:tcBorders>
            <w:vAlign w:val="center"/>
          </w:tcPr>
          <w:p w14:paraId="0B4CFE97" w14:textId="77777777" w:rsidR="00C42353" w:rsidRPr="006E3CF1" w:rsidRDefault="00C42353" w:rsidP="00AD6080">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08" w:type="dxa"/>
            <w:vMerge/>
            <w:tcBorders>
              <w:bottom w:val="single" w:sz="4" w:space="0" w:color="1F4E79" w:themeColor="accent1" w:themeShade="80"/>
            </w:tcBorders>
            <w:vAlign w:val="center"/>
          </w:tcPr>
          <w:p w14:paraId="23CF8EA5" w14:textId="77777777" w:rsidR="00C42353" w:rsidRPr="00595BB1" w:rsidRDefault="00C42353" w:rsidP="00AD6080">
            <w:pPr>
              <w:jc w:val="center"/>
              <w:cnfStyle w:val="000000100000" w:firstRow="0" w:lastRow="0" w:firstColumn="0" w:lastColumn="0" w:oddVBand="0" w:evenVBand="0" w:oddHBand="1" w:evenHBand="0" w:firstRowFirstColumn="0" w:firstRowLastColumn="0" w:lastRowFirstColumn="0" w:lastRowLastColumn="0"/>
              <w:rPr>
                <w:rFonts w:cs="Arial"/>
                <w:b/>
                <w:sz w:val="14"/>
                <w:szCs w:val="14"/>
                <w:highlight w:val="yellow"/>
              </w:rPr>
            </w:pPr>
          </w:p>
        </w:tc>
        <w:tc>
          <w:tcPr>
            <w:tcW w:w="659" w:type="dxa"/>
            <w:tcBorders>
              <w:top w:val="single" w:sz="2" w:space="0" w:color="1F4E79" w:themeColor="accent1" w:themeShade="80"/>
              <w:bottom w:val="single" w:sz="4" w:space="0" w:color="1F4E79" w:themeColor="accent1" w:themeShade="80"/>
            </w:tcBorders>
            <w:vAlign w:val="center"/>
          </w:tcPr>
          <w:p w14:paraId="6CA014B9" w14:textId="77777777" w:rsidR="00C42353" w:rsidRPr="006E3CF1" w:rsidRDefault="00C42353" w:rsidP="00AD6080">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ON</w:t>
            </w:r>
          </w:p>
        </w:tc>
        <w:tc>
          <w:tcPr>
            <w:tcW w:w="1169" w:type="dxa"/>
            <w:tcBorders>
              <w:top w:val="single" w:sz="2" w:space="0" w:color="1F4E79" w:themeColor="accent1" w:themeShade="80"/>
              <w:bottom w:val="single" w:sz="4" w:space="0" w:color="1F4E79" w:themeColor="accent1" w:themeShade="80"/>
            </w:tcBorders>
            <w:vAlign w:val="center"/>
          </w:tcPr>
          <w:p w14:paraId="5447F3AB" w14:textId="77777777" w:rsidR="00C42353" w:rsidRPr="006E3CF1" w:rsidRDefault="00C42353" w:rsidP="00AD6080">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Total</w:t>
            </w:r>
          </w:p>
        </w:tc>
      </w:tr>
      <w:tr w:rsidR="00C42353" w:rsidRPr="003B4BE2" w14:paraId="49BD8753" w14:textId="77777777" w:rsidTr="00B1619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val="restart"/>
            <w:tcBorders>
              <w:top w:val="single" w:sz="2" w:space="0" w:color="1F4E79" w:themeColor="accent1" w:themeShade="80"/>
              <w:left w:val="nil"/>
              <w:bottom w:val="single" w:sz="2" w:space="0" w:color="8EAADB" w:themeColor="accent5" w:themeTint="99"/>
              <w:right w:val="single" w:sz="4" w:space="0" w:color="1F4E79" w:themeColor="accent1" w:themeShade="80"/>
            </w:tcBorders>
            <w:shd w:val="clear" w:color="auto" w:fill="FFFFFF" w:themeFill="background1"/>
            <w:vAlign w:val="center"/>
          </w:tcPr>
          <w:p w14:paraId="47092366" w14:textId="77777777" w:rsidR="00C42353" w:rsidRPr="00BF0850" w:rsidRDefault="00C42353" w:rsidP="00BD64C0">
            <w:pPr>
              <w:pStyle w:val="08-Tabelageral"/>
              <w:jc w:val="center"/>
              <w:rPr>
                <w:rFonts w:cs="Arial"/>
                <w:bCs w:val="0"/>
                <w:szCs w:val="14"/>
              </w:rPr>
            </w:pPr>
            <w:r w:rsidRPr="00BF0850">
              <w:rPr>
                <w:rFonts w:cs="Arial"/>
                <w:bCs w:val="0"/>
                <w:szCs w:val="14"/>
              </w:rPr>
              <w:t>Seguridade</w:t>
            </w:r>
          </w:p>
        </w:tc>
        <w:tc>
          <w:tcPr>
            <w:tcW w:w="1124" w:type="dxa"/>
            <w:tcBorders>
              <w:top w:val="single" w:sz="4" w:space="0" w:color="1F4E79" w:themeColor="accent1" w:themeShade="80"/>
              <w:left w:val="single" w:sz="4" w:space="0" w:color="1F4E79" w:themeColor="accent1" w:themeShade="80"/>
              <w:bottom w:val="single" w:sz="4" w:space="0" w:color="1F4E79" w:themeColor="accent1" w:themeShade="80"/>
              <w:right w:val="single" w:sz="2" w:space="0" w:color="1F4E79" w:themeColor="accent1" w:themeShade="80"/>
            </w:tcBorders>
            <w:shd w:val="clear" w:color="auto" w:fill="FFFFFF" w:themeFill="background1"/>
            <w:vAlign w:val="center"/>
          </w:tcPr>
          <w:p w14:paraId="449FE62F" w14:textId="77777777" w:rsidR="00C42353" w:rsidRPr="00BD64C0" w:rsidRDefault="00C42353" w:rsidP="000D5254">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936" w:type="dxa"/>
            <w:tcBorders>
              <w:top w:val="single" w:sz="4" w:space="0" w:color="1F4E79" w:themeColor="accent1" w:themeShade="80"/>
              <w:left w:val="single" w:sz="2" w:space="0" w:color="1F4E79" w:themeColor="accent1" w:themeShade="80"/>
              <w:bottom w:val="single" w:sz="4" w:space="0" w:color="1F4E79" w:themeColor="accent1" w:themeShade="80"/>
            </w:tcBorders>
            <w:shd w:val="clear" w:color="auto" w:fill="FFFFFF" w:themeFill="background1"/>
            <w:vAlign w:val="center"/>
          </w:tcPr>
          <w:p w14:paraId="454E62A7" w14:textId="77777777" w:rsidR="00C42353" w:rsidRPr="00BD64C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BD64C0">
              <w:rPr>
                <w:rFonts w:cs="Arial"/>
                <w:szCs w:val="14"/>
              </w:rPr>
              <w:t xml:space="preserve">BB Seguros Participações S.A. </w:t>
            </w:r>
            <w:r w:rsidRPr="000D5254">
              <w:rPr>
                <w:rFonts w:cs="Arial"/>
                <w:szCs w:val="14"/>
              </w:rPr>
              <w:t>(</w:t>
            </w:r>
            <w:r w:rsidRPr="000D5254">
              <w:rPr>
                <w:rFonts w:cs="Arial"/>
                <w:bCs/>
                <w:szCs w:val="14"/>
              </w:rPr>
              <w:t>BB Seguros)</w:t>
            </w:r>
          </w:p>
        </w:tc>
        <w:tc>
          <w:tcPr>
            <w:tcW w:w="2575" w:type="dxa"/>
            <w:tcBorders>
              <w:top w:val="single" w:sz="4" w:space="0" w:color="1F4E79" w:themeColor="accent1" w:themeShade="80"/>
              <w:bottom w:val="single" w:sz="4" w:space="0" w:color="1F4E79" w:themeColor="accent1" w:themeShade="80"/>
            </w:tcBorders>
            <w:shd w:val="clear" w:color="auto" w:fill="FFFFFF" w:themeFill="background1"/>
            <w:vAlign w:val="center"/>
          </w:tcPr>
          <w:p w14:paraId="6B2B88BE" w14:textId="77777777" w:rsidR="00C42353" w:rsidRPr="00BF085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BF0850">
              <w:rPr>
                <w:rFonts w:cs="Arial"/>
                <w:bCs/>
                <w:szCs w:val="14"/>
              </w:rPr>
              <w:t>Holding de sociedades seguradoras, de capitalização, entidades abertas de previdência complementar e sociedades que operam planos de assistência à saúde.</w:t>
            </w:r>
          </w:p>
        </w:tc>
        <w:tc>
          <w:tcPr>
            <w:tcW w:w="1108" w:type="dxa"/>
            <w:tcBorders>
              <w:top w:val="single" w:sz="4" w:space="0" w:color="1F4E79" w:themeColor="accent1" w:themeShade="80"/>
              <w:bottom w:val="single" w:sz="4" w:space="0" w:color="1F4E79" w:themeColor="accent1" w:themeShade="80"/>
            </w:tcBorders>
            <w:shd w:val="clear" w:color="auto" w:fill="FFFFFF" w:themeFill="background1"/>
            <w:vAlign w:val="center"/>
          </w:tcPr>
          <w:p w14:paraId="0029C655" w14:textId="77777777" w:rsidR="00C42353" w:rsidRPr="00BF0850"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BRGAAP</w:t>
            </w:r>
          </w:p>
        </w:tc>
        <w:tc>
          <w:tcPr>
            <w:tcW w:w="659" w:type="dxa"/>
            <w:tcBorders>
              <w:top w:val="single" w:sz="4" w:space="0" w:color="1F4E79" w:themeColor="accent1" w:themeShade="80"/>
              <w:bottom w:val="single" w:sz="4" w:space="0" w:color="1F4E79" w:themeColor="accent1" w:themeShade="80"/>
            </w:tcBorders>
            <w:shd w:val="clear" w:color="auto" w:fill="FFFFFF" w:themeFill="background1"/>
            <w:vAlign w:val="center"/>
          </w:tcPr>
          <w:p w14:paraId="5DAA4E2B" w14:textId="77777777" w:rsidR="00C42353" w:rsidRPr="00BF0850"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0850">
              <w:rPr>
                <w:rFonts w:cs="Arial"/>
                <w:szCs w:val="14"/>
              </w:rPr>
              <w:t>100,00</w:t>
            </w:r>
          </w:p>
        </w:tc>
        <w:tc>
          <w:tcPr>
            <w:tcW w:w="1169" w:type="dxa"/>
            <w:tcBorders>
              <w:top w:val="single" w:sz="4" w:space="0" w:color="1F4E79" w:themeColor="accent1" w:themeShade="80"/>
              <w:bottom w:val="single" w:sz="4" w:space="0" w:color="1F4E79" w:themeColor="accent1" w:themeShade="80"/>
            </w:tcBorders>
            <w:shd w:val="clear" w:color="auto" w:fill="FFFFFF" w:themeFill="background1"/>
            <w:vAlign w:val="center"/>
          </w:tcPr>
          <w:p w14:paraId="6985B6AA" w14:textId="77777777" w:rsidR="00C42353" w:rsidRPr="003B4BE2"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BF0850">
              <w:rPr>
                <w:rFonts w:cs="Arial"/>
                <w:szCs w:val="14"/>
              </w:rPr>
              <w:t>100,00</w:t>
            </w:r>
          </w:p>
        </w:tc>
      </w:tr>
      <w:tr w:rsidR="00C42353" w:rsidRPr="00772D14" w14:paraId="44759F04" w14:textId="77777777" w:rsidTr="00B1619B">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vAlign w:val="center"/>
          </w:tcPr>
          <w:p w14:paraId="06FD66C1" w14:textId="77777777" w:rsidR="00C42353" w:rsidRPr="0025537E" w:rsidRDefault="00C42353" w:rsidP="00AD6080">
            <w:pPr>
              <w:pStyle w:val="08-Tabelageral"/>
              <w:jc w:val="left"/>
              <w:rPr>
                <w:rFonts w:cs="Arial"/>
                <w:bCs w:val="0"/>
                <w:szCs w:val="14"/>
              </w:rPr>
            </w:pPr>
          </w:p>
        </w:tc>
        <w:tc>
          <w:tcPr>
            <w:tcW w:w="1124" w:type="dxa"/>
            <w:vMerge w:val="restart"/>
            <w:tcBorders>
              <w:top w:val="single" w:sz="4" w:space="0" w:color="1F4E79" w:themeColor="accent1" w:themeShade="80"/>
              <w:left w:val="single" w:sz="4" w:space="0" w:color="1F4E79" w:themeColor="accent1" w:themeShade="80"/>
              <w:right w:val="single" w:sz="2" w:space="0" w:color="1F4E79" w:themeColor="accent1" w:themeShade="80"/>
            </w:tcBorders>
            <w:vAlign w:val="center"/>
          </w:tcPr>
          <w:p w14:paraId="425BA74C" w14:textId="77777777" w:rsidR="00C42353" w:rsidRPr="00BD64C0"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D64C0">
              <w:rPr>
                <w:rFonts w:cs="Arial"/>
                <w:b/>
                <w:szCs w:val="14"/>
              </w:rPr>
              <w:t>Seguros – Vida, habitacional, rural e patrimonial</w:t>
            </w:r>
          </w:p>
        </w:tc>
        <w:tc>
          <w:tcPr>
            <w:tcW w:w="1936" w:type="dxa"/>
            <w:tcBorders>
              <w:top w:val="single" w:sz="4" w:space="0" w:color="1F4E79" w:themeColor="accent1" w:themeShade="80"/>
              <w:left w:val="single" w:sz="2" w:space="0" w:color="1F4E79" w:themeColor="accent1" w:themeShade="80"/>
              <w:bottom w:val="nil"/>
            </w:tcBorders>
            <w:vAlign w:val="center"/>
          </w:tcPr>
          <w:p w14:paraId="512DD664" w14:textId="77777777" w:rsidR="00C42353" w:rsidRPr="00BD64C0"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BB Mapfre Participações S.A. (BB Mapfre)</w:t>
            </w:r>
          </w:p>
        </w:tc>
        <w:tc>
          <w:tcPr>
            <w:tcW w:w="2575" w:type="dxa"/>
            <w:tcBorders>
              <w:top w:val="single" w:sz="4" w:space="0" w:color="1F4E79" w:themeColor="accent1" w:themeShade="80"/>
              <w:bottom w:val="nil"/>
            </w:tcBorders>
            <w:vAlign w:val="center"/>
          </w:tcPr>
          <w:p w14:paraId="6686949D" w14:textId="77777777" w:rsidR="00C42353" w:rsidRPr="00BF0850"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F0850">
              <w:rPr>
                <w:rFonts w:cs="Arial"/>
                <w:szCs w:val="14"/>
              </w:rPr>
              <w:t>Holding de outras sociedades dedicadas à comercialização de seguros de pessoas, imobiliário e agrícola.</w:t>
            </w:r>
          </w:p>
        </w:tc>
        <w:tc>
          <w:tcPr>
            <w:tcW w:w="1108" w:type="dxa"/>
            <w:tcBorders>
              <w:top w:val="single" w:sz="4" w:space="0" w:color="1F4E79" w:themeColor="accent1" w:themeShade="80"/>
              <w:bottom w:val="nil"/>
            </w:tcBorders>
            <w:vAlign w:val="center"/>
          </w:tcPr>
          <w:p w14:paraId="54004684" w14:textId="77777777" w:rsidR="00C42353" w:rsidRPr="00BF0850"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BRGAAP</w:t>
            </w:r>
          </w:p>
        </w:tc>
        <w:tc>
          <w:tcPr>
            <w:tcW w:w="659" w:type="dxa"/>
            <w:tcBorders>
              <w:top w:val="single" w:sz="4" w:space="0" w:color="1F4E79" w:themeColor="accent1" w:themeShade="80"/>
              <w:bottom w:val="nil"/>
            </w:tcBorders>
            <w:vAlign w:val="center"/>
          </w:tcPr>
          <w:p w14:paraId="299E1CFB" w14:textId="77777777" w:rsidR="00C42353" w:rsidRPr="00BF0850"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49,99</w:t>
            </w:r>
          </w:p>
        </w:tc>
        <w:tc>
          <w:tcPr>
            <w:tcW w:w="1169" w:type="dxa"/>
            <w:tcBorders>
              <w:top w:val="single" w:sz="4" w:space="0" w:color="1F4E79" w:themeColor="accent1" w:themeShade="80"/>
              <w:bottom w:val="nil"/>
            </w:tcBorders>
            <w:vAlign w:val="center"/>
          </w:tcPr>
          <w:p w14:paraId="31CA99A8"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74,99</w:t>
            </w:r>
          </w:p>
        </w:tc>
      </w:tr>
      <w:tr w:rsidR="00C42353" w:rsidRPr="00772D14" w14:paraId="30B0EA16" w14:textId="77777777" w:rsidTr="00B1619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FFFFFF" w:themeFill="background1"/>
            <w:vAlign w:val="center"/>
          </w:tcPr>
          <w:p w14:paraId="6F624640" w14:textId="77777777" w:rsidR="00C42353" w:rsidRPr="00F45619" w:rsidRDefault="00C42353" w:rsidP="00BD64C0">
            <w:pPr>
              <w:pStyle w:val="08-Tabelageral"/>
              <w:ind w:left="113"/>
              <w:jc w:val="left"/>
              <w:rPr>
                <w:rFonts w:cs="Arial"/>
                <w:b w:val="0"/>
                <w:bCs w:val="0"/>
                <w:szCs w:val="14"/>
                <w:highlight w:val="yellow"/>
              </w:rPr>
            </w:pPr>
          </w:p>
        </w:tc>
        <w:tc>
          <w:tcPr>
            <w:tcW w:w="1124" w:type="dxa"/>
            <w:vMerge/>
            <w:tcBorders>
              <w:left w:val="single" w:sz="4" w:space="0" w:color="1F4E79" w:themeColor="accent1" w:themeShade="80"/>
              <w:right w:val="single" w:sz="2" w:space="0" w:color="1F4E79" w:themeColor="accent1" w:themeShade="80"/>
            </w:tcBorders>
            <w:shd w:val="clear" w:color="auto" w:fill="FFFFFF" w:themeFill="background1"/>
            <w:vAlign w:val="center"/>
          </w:tcPr>
          <w:p w14:paraId="282DF160" w14:textId="77777777" w:rsidR="00C42353" w:rsidRPr="00167880"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936" w:type="dxa"/>
            <w:tcBorders>
              <w:top w:val="nil"/>
              <w:left w:val="single" w:sz="2" w:space="0" w:color="1F4E79" w:themeColor="accent1" w:themeShade="80"/>
              <w:bottom w:val="nil"/>
            </w:tcBorders>
            <w:shd w:val="clear" w:color="auto" w:fill="FFFFFF" w:themeFill="background1"/>
            <w:vAlign w:val="center"/>
          </w:tcPr>
          <w:p w14:paraId="0591A78D" w14:textId="77777777" w:rsidR="00C42353" w:rsidRPr="00BD64C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D64C0">
              <w:rPr>
                <w:rFonts w:cs="Arial"/>
                <w:szCs w:val="14"/>
              </w:rPr>
              <w:t>Brasilseg Companhia de Seguros S.A. (Brasilseg)</w:t>
            </w:r>
          </w:p>
        </w:tc>
        <w:tc>
          <w:tcPr>
            <w:tcW w:w="2575" w:type="dxa"/>
            <w:tcBorders>
              <w:top w:val="nil"/>
              <w:bottom w:val="nil"/>
            </w:tcBorders>
            <w:shd w:val="clear" w:color="auto" w:fill="FFFFFF" w:themeFill="background1"/>
            <w:vAlign w:val="center"/>
          </w:tcPr>
          <w:p w14:paraId="3FD57E20" w14:textId="77777777" w:rsidR="00C42353" w:rsidRPr="00AF17C4"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AF17C4">
              <w:rPr>
                <w:rFonts w:cs="Arial"/>
                <w:szCs w:val="14"/>
              </w:rPr>
              <w:t>Atuação no segmento de riscos de pessoas, seguros rurais e seguro habitacional.</w:t>
            </w:r>
          </w:p>
        </w:tc>
        <w:tc>
          <w:tcPr>
            <w:tcW w:w="1108" w:type="dxa"/>
            <w:tcBorders>
              <w:top w:val="nil"/>
              <w:bottom w:val="nil"/>
            </w:tcBorders>
            <w:shd w:val="clear" w:color="auto" w:fill="FFFFFF" w:themeFill="background1"/>
            <w:vAlign w:val="center"/>
          </w:tcPr>
          <w:p w14:paraId="7C546A69" w14:textId="77777777" w:rsidR="00C42353" w:rsidRPr="0025537E"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Pr>
                <w:rFonts w:cs="Arial"/>
                <w:szCs w:val="14"/>
              </w:rPr>
              <w:t>SUSEPGAAP</w:t>
            </w:r>
          </w:p>
        </w:tc>
        <w:tc>
          <w:tcPr>
            <w:tcW w:w="659" w:type="dxa"/>
            <w:tcBorders>
              <w:top w:val="nil"/>
              <w:bottom w:val="nil"/>
            </w:tcBorders>
            <w:shd w:val="clear" w:color="auto" w:fill="FFFFFF" w:themeFill="background1"/>
            <w:vAlign w:val="center"/>
          </w:tcPr>
          <w:p w14:paraId="4D8347B6"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49,99</w:t>
            </w:r>
          </w:p>
        </w:tc>
        <w:tc>
          <w:tcPr>
            <w:tcW w:w="1169" w:type="dxa"/>
            <w:tcBorders>
              <w:top w:val="nil"/>
              <w:bottom w:val="nil"/>
            </w:tcBorders>
            <w:shd w:val="clear" w:color="auto" w:fill="FFFFFF" w:themeFill="background1"/>
            <w:vAlign w:val="center"/>
          </w:tcPr>
          <w:p w14:paraId="4062FDD7"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74,99</w:t>
            </w:r>
          </w:p>
        </w:tc>
      </w:tr>
      <w:tr w:rsidR="00C42353" w:rsidRPr="00772D14" w14:paraId="0390CE1D" w14:textId="77777777" w:rsidTr="00B1619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vAlign w:val="center"/>
          </w:tcPr>
          <w:p w14:paraId="0E1124B0" w14:textId="77777777" w:rsidR="00C42353" w:rsidRPr="00F45619" w:rsidRDefault="00C42353" w:rsidP="00BD64C0">
            <w:pPr>
              <w:pStyle w:val="08-Tabelageral"/>
              <w:ind w:left="113"/>
              <w:jc w:val="left"/>
              <w:rPr>
                <w:rFonts w:cs="Arial"/>
                <w:b w:val="0"/>
                <w:bCs w:val="0"/>
                <w:szCs w:val="14"/>
                <w:highlight w:val="yellow"/>
              </w:rPr>
            </w:pPr>
          </w:p>
        </w:tc>
        <w:tc>
          <w:tcPr>
            <w:tcW w:w="1124" w:type="dxa"/>
            <w:vMerge/>
            <w:tcBorders>
              <w:left w:val="single" w:sz="4" w:space="0" w:color="1F4E79" w:themeColor="accent1" w:themeShade="80"/>
              <w:bottom w:val="single" w:sz="2" w:space="0" w:color="1F4E79" w:themeColor="accent1" w:themeShade="80"/>
              <w:right w:val="single" w:sz="2" w:space="0" w:color="1F4E79" w:themeColor="accent1" w:themeShade="80"/>
            </w:tcBorders>
            <w:vAlign w:val="center"/>
          </w:tcPr>
          <w:p w14:paraId="42B92D7C" w14:textId="77777777" w:rsidR="00C42353" w:rsidRPr="00167880"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936" w:type="dxa"/>
            <w:tcBorders>
              <w:top w:val="nil"/>
              <w:left w:val="single" w:sz="2" w:space="0" w:color="1F4E79" w:themeColor="accent1" w:themeShade="80"/>
              <w:bottom w:val="single" w:sz="2" w:space="0" w:color="1F4E79" w:themeColor="accent1" w:themeShade="80"/>
            </w:tcBorders>
            <w:vAlign w:val="center"/>
          </w:tcPr>
          <w:p w14:paraId="5512B4B4" w14:textId="77777777" w:rsidR="00C42353" w:rsidRPr="00BD64C0"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Aliança do Brasil Seguros S.A. (Aliança do Brasil)</w:t>
            </w:r>
          </w:p>
        </w:tc>
        <w:tc>
          <w:tcPr>
            <w:tcW w:w="2575" w:type="dxa"/>
            <w:tcBorders>
              <w:top w:val="nil"/>
              <w:bottom w:val="single" w:sz="2" w:space="0" w:color="1F4E79" w:themeColor="accent1" w:themeShade="80"/>
            </w:tcBorders>
            <w:vAlign w:val="center"/>
          </w:tcPr>
          <w:p w14:paraId="49AB423E" w14:textId="77777777" w:rsidR="00C42353" w:rsidRPr="00AF17C4"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Atuação no segmento de seguros de danos.</w:t>
            </w:r>
          </w:p>
        </w:tc>
        <w:tc>
          <w:tcPr>
            <w:tcW w:w="1108" w:type="dxa"/>
            <w:tcBorders>
              <w:top w:val="nil"/>
              <w:bottom w:val="single" w:sz="2" w:space="0" w:color="1F4E79" w:themeColor="accent1" w:themeShade="80"/>
            </w:tcBorders>
            <w:vAlign w:val="center"/>
          </w:tcPr>
          <w:p w14:paraId="4A193118" w14:textId="77777777" w:rsidR="00C42353" w:rsidRPr="0025537E"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SUSEPGAAP</w:t>
            </w:r>
          </w:p>
        </w:tc>
        <w:tc>
          <w:tcPr>
            <w:tcW w:w="659" w:type="dxa"/>
            <w:tcBorders>
              <w:top w:val="nil"/>
              <w:bottom w:val="single" w:sz="2" w:space="0" w:color="1F4E79" w:themeColor="accent1" w:themeShade="80"/>
            </w:tcBorders>
            <w:vAlign w:val="center"/>
          </w:tcPr>
          <w:p w14:paraId="437D4720"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1169" w:type="dxa"/>
            <w:tcBorders>
              <w:top w:val="nil"/>
              <w:bottom w:val="single" w:sz="2" w:space="0" w:color="1F4E79" w:themeColor="accent1" w:themeShade="80"/>
            </w:tcBorders>
            <w:vAlign w:val="center"/>
          </w:tcPr>
          <w:p w14:paraId="381E758F"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C42353" w:rsidRPr="00772D14" w14:paraId="5B81371C" w14:textId="77777777" w:rsidTr="00B1619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FFFFFF" w:themeFill="background1"/>
            <w:vAlign w:val="center"/>
          </w:tcPr>
          <w:p w14:paraId="653FD5DF" w14:textId="77777777" w:rsidR="00C42353" w:rsidRPr="00F45619" w:rsidRDefault="00C42353" w:rsidP="00BD64C0">
            <w:pPr>
              <w:pStyle w:val="08-Tabelageral"/>
              <w:ind w:left="113"/>
              <w:jc w:val="left"/>
              <w:rPr>
                <w:rFonts w:cs="Arial"/>
                <w:b w:val="0"/>
                <w:bCs w:val="0"/>
                <w:szCs w:val="14"/>
                <w:highlight w:val="yellow"/>
              </w:rPr>
            </w:pPr>
          </w:p>
        </w:tc>
        <w:tc>
          <w:tcPr>
            <w:tcW w:w="1124" w:type="dxa"/>
            <w:tcBorders>
              <w:top w:val="single" w:sz="2" w:space="0" w:color="1F4E79" w:themeColor="accent1" w:themeShade="80"/>
              <w:left w:val="single" w:sz="4" w:space="0" w:color="1F4E79" w:themeColor="accent1" w:themeShade="80"/>
              <w:bottom w:val="single" w:sz="2" w:space="0" w:color="1F4E79" w:themeColor="accent1" w:themeShade="80"/>
              <w:right w:val="single" w:sz="2" w:space="0" w:color="1F4E79" w:themeColor="accent1" w:themeShade="80"/>
            </w:tcBorders>
            <w:shd w:val="clear" w:color="auto" w:fill="FFFFFF" w:themeFill="background1"/>
            <w:vAlign w:val="center"/>
          </w:tcPr>
          <w:p w14:paraId="5CFCB3B6" w14:textId="77777777" w:rsidR="00C42353" w:rsidRPr="00167880"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167880">
              <w:rPr>
                <w:rFonts w:cs="Arial"/>
                <w:b/>
                <w:szCs w:val="14"/>
              </w:rPr>
              <w:t>Capitalização</w:t>
            </w:r>
          </w:p>
        </w:tc>
        <w:tc>
          <w:tcPr>
            <w:tcW w:w="193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FFFFFF" w:themeFill="background1"/>
            <w:vAlign w:val="center"/>
          </w:tcPr>
          <w:p w14:paraId="658735F1" w14:textId="77777777" w:rsidR="00C42353" w:rsidRPr="00BD64C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D64C0">
              <w:rPr>
                <w:rFonts w:cs="Arial"/>
                <w:szCs w:val="14"/>
              </w:rPr>
              <w:t>Brasilcap Capitalização S.A. (Brasilcap)</w:t>
            </w:r>
          </w:p>
        </w:tc>
        <w:tc>
          <w:tcPr>
            <w:tcW w:w="2575"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0F2D3CD0" w14:textId="77777777" w:rsidR="00C42353" w:rsidRPr="00AF17C4"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AF17C4">
              <w:rPr>
                <w:rFonts w:cs="Arial"/>
                <w:szCs w:val="14"/>
              </w:rPr>
              <w:t>Comercializa planos de capitalização, bem como outros produtos e serviços admitidos às sociedades de capitalização.</w:t>
            </w:r>
          </w:p>
        </w:tc>
        <w:tc>
          <w:tcPr>
            <w:tcW w:w="1108"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5582BE5E" w14:textId="77777777" w:rsidR="00C42353" w:rsidRPr="0025537E"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25537E">
              <w:rPr>
                <w:bCs/>
              </w:rPr>
              <w:t>SUSEP</w:t>
            </w:r>
            <w:r>
              <w:rPr>
                <w:bCs/>
              </w:rPr>
              <w:t>GAAP</w:t>
            </w:r>
          </w:p>
        </w:tc>
        <w:tc>
          <w:tcPr>
            <w:tcW w:w="65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3CE0EF1"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49,99</w:t>
            </w:r>
          </w:p>
        </w:tc>
        <w:tc>
          <w:tcPr>
            <w:tcW w:w="116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631FF184"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66,66</w:t>
            </w:r>
          </w:p>
        </w:tc>
      </w:tr>
      <w:tr w:rsidR="00C42353" w:rsidRPr="00772D14" w14:paraId="51E5878B" w14:textId="77777777" w:rsidTr="00B1619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vAlign w:val="center"/>
          </w:tcPr>
          <w:p w14:paraId="072C0511" w14:textId="77777777" w:rsidR="00C42353" w:rsidRPr="00F45619" w:rsidRDefault="00C42353" w:rsidP="00BD64C0">
            <w:pPr>
              <w:pStyle w:val="08-Tabelageral"/>
              <w:ind w:left="113"/>
              <w:jc w:val="left"/>
              <w:rPr>
                <w:rFonts w:cs="Arial"/>
                <w:b w:val="0"/>
                <w:bCs w:val="0"/>
                <w:szCs w:val="14"/>
                <w:highlight w:val="yellow"/>
              </w:rPr>
            </w:pPr>
          </w:p>
        </w:tc>
        <w:tc>
          <w:tcPr>
            <w:tcW w:w="1124" w:type="dxa"/>
            <w:tcBorders>
              <w:top w:val="single" w:sz="2" w:space="0" w:color="1F4E79" w:themeColor="accent1" w:themeShade="80"/>
              <w:left w:val="single" w:sz="4" w:space="0" w:color="1F4E79" w:themeColor="accent1" w:themeShade="80"/>
              <w:bottom w:val="single" w:sz="2" w:space="0" w:color="1F4E79" w:themeColor="accent1" w:themeShade="80"/>
              <w:right w:val="single" w:sz="2" w:space="0" w:color="1F4E79" w:themeColor="accent1" w:themeShade="80"/>
            </w:tcBorders>
            <w:vAlign w:val="center"/>
          </w:tcPr>
          <w:p w14:paraId="3ECB1320" w14:textId="77777777" w:rsidR="00C42353" w:rsidRPr="00167880"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Previdência Privada</w:t>
            </w:r>
          </w:p>
        </w:tc>
        <w:tc>
          <w:tcPr>
            <w:tcW w:w="1936" w:type="dxa"/>
            <w:tcBorders>
              <w:top w:val="single" w:sz="2" w:space="0" w:color="1F4E79" w:themeColor="accent1" w:themeShade="80"/>
              <w:left w:val="single" w:sz="2" w:space="0" w:color="1F4E79" w:themeColor="accent1" w:themeShade="80"/>
              <w:bottom w:val="single" w:sz="2" w:space="0" w:color="1F4E79" w:themeColor="accent1" w:themeShade="80"/>
            </w:tcBorders>
            <w:vAlign w:val="center"/>
          </w:tcPr>
          <w:p w14:paraId="0FA98413" w14:textId="77777777" w:rsidR="00C42353" w:rsidRPr="00BD64C0"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Brasilprev Seguros e Previdência S.A. (Brasilprev)</w:t>
            </w:r>
          </w:p>
        </w:tc>
        <w:tc>
          <w:tcPr>
            <w:tcW w:w="2575" w:type="dxa"/>
            <w:tcBorders>
              <w:top w:val="single" w:sz="2" w:space="0" w:color="1F4E79" w:themeColor="accent1" w:themeShade="80"/>
              <w:bottom w:val="single" w:sz="2" w:space="0" w:color="1F4E79" w:themeColor="accent1" w:themeShade="80"/>
            </w:tcBorders>
            <w:vAlign w:val="center"/>
          </w:tcPr>
          <w:p w14:paraId="753C9162" w14:textId="77777777" w:rsidR="00C42353" w:rsidRPr="00AF17C4"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seguros de vida com cobertura de sobrevivência e planos de aposentadoria e benefícios complementares.</w:t>
            </w:r>
          </w:p>
        </w:tc>
        <w:tc>
          <w:tcPr>
            <w:tcW w:w="1108" w:type="dxa"/>
            <w:tcBorders>
              <w:top w:val="single" w:sz="2" w:space="0" w:color="1F4E79" w:themeColor="accent1" w:themeShade="80"/>
              <w:bottom w:val="single" w:sz="2" w:space="0" w:color="1F4E79" w:themeColor="accent1" w:themeShade="80"/>
            </w:tcBorders>
            <w:vAlign w:val="center"/>
          </w:tcPr>
          <w:p w14:paraId="2FA25D8E" w14:textId="77777777" w:rsidR="00C42353" w:rsidRPr="0025537E"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SUSEP</w:t>
            </w:r>
            <w:r>
              <w:rPr>
                <w:bCs/>
              </w:rPr>
              <w:t>GAAP</w:t>
            </w:r>
          </w:p>
        </w:tc>
        <w:tc>
          <w:tcPr>
            <w:tcW w:w="659" w:type="dxa"/>
            <w:tcBorders>
              <w:top w:val="single" w:sz="2" w:space="0" w:color="1F4E79" w:themeColor="accent1" w:themeShade="80"/>
              <w:bottom w:val="single" w:sz="2" w:space="0" w:color="1F4E79" w:themeColor="accent1" w:themeShade="80"/>
            </w:tcBorders>
            <w:vAlign w:val="center"/>
          </w:tcPr>
          <w:p w14:paraId="02EBDB4B"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1169" w:type="dxa"/>
            <w:tcBorders>
              <w:top w:val="single" w:sz="2" w:space="0" w:color="1F4E79" w:themeColor="accent1" w:themeShade="80"/>
              <w:bottom w:val="single" w:sz="2" w:space="0" w:color="1F4E79" w:themeColor="accent1" w:themeShade="80"/>
            </w:tcBorders>
            <w:vAlign w:val="center"/>
          </w:tcPr>
          <w:p w14:paraId="2D488365"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C42353" w:rsidRPr="00772D14" w14:paraId="39D93445" w14:textId="77777777" w:rsidTr="00B1619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FFFFFF" w:themeFill="background1"/>
            <w:vAlign w:val="center"/>
          </w:tcPr>
          <w:p w14:paraId="6D8DC5C5" w14:textId="77777777" w:rsidR="00C42353" w:rsidRPr="00F45619" w:rsidRDefault="00C42353" w:rsidP="00BD64C0">
            <w:pPr>
              <w:pStyle w:val="08-Tabelageral"/>
              <w:ind w:left="113"/>
              <w:jc w:val="left"/>
              <w:rPr>
                <w:rFonts w:cs="Arial"/>
                <w:b w:val="0"/>
                <w:bCs w:val="0"/>
                <w:szCs w:val="14"/>
                <w:highlight w:val="yellow"/>
              </w:rPr>
            </w:pPr>
          </w:p>
        </w:tc>
        <w:tc>
          <w:tcPr>
            <w:tcW w:w="1124" w:type="dxa"/>
            <w:tc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shd w:val="clear" w:color="auto" w:fill="FFFFFF" w:themeFill="background1"/>
            <w:vAlign w:val="center"/>
          </w:tcPr>
          <w:p w14:paraId="72E91471" w14:textId="77777777" w:rsidR="00C42353" w:rsidRPr="00167880"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167880">
              <w:rPr>
                <w:rFonts w:cs="Arial"/>
                <w:b/>
                <w:szCs w:val="14"/>
              </w:rPr>
              <w:t>Saúde</w:t>
            </w:r>
          </w:p>
        </w:tc>
        <w:tc>
          <w:tcPr>
            <w:tcW w:w="193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FFFFFF" w:themeFill="background1"/>
            <w:vAlign w:val="center"/>
          </w:tcPr>
          <w:p w14:paraId="72C2393F" w14:textId="77777777" w:rsidR="00C42353" w:rsidRPr="00BD64C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D64C0">
              <w:rPr>
                <w:rFonts w:cs="Arial"/>
                <w:szCs w:val="14"/>
              </w:rPr>
              <w:t>Brasildental Operadora de Planos Odontológicos S.A. (Brasildental)</w:t>
            </w:r>
          </w:p>
        </w:tc>
        <w:tc>
          <w:tcPr>
            <w:tcW w:w="2575"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201B0C04" w14:textId="77777777" w:rsidR="00C42353" w:rsidRPr="00AF17C4"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AF17C4">
              <w:rPr>
                <w:rFonts w:cs="Arial"/>
                <w:szCs w:val="14"/>
              </w:rPr>
              <w:t>Comercializa de planos odontológicos.</w:t>
            </w:r>
          </w:p>
        </w:tc>
        <w:tc>
          <w:tcPr>
            <w:tcW w:w="1108"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48A8BF1C" w14:textId="77777777" w:rsidR="00C42353" w:rsidRPr="0025537E"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25537E">
              <w:rPr>
                <w:bCs/>
              </w:rPr>
              <w:t>ANS</w:t>
            </w:r>
            <w:r>
              <w:rPr>
                <w:bCs/>
              </w:rPr>
              <w:t>GAAP</w:t>
            </w:r>
          </w:p>
        </w:tc>
        <w:tc>
          <w:tcPr>
            <w:tcW w:w="65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0CB85DDB"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49,99</w:t>
            </w:r>
          </w:p>
        </w:tc>
        <w:tc>
          <w:tcPr>
            <w:tcW w:w="116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7F55561"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74,99</w:t>
            </w:r>
          </w:p>
        </w:tc>
      </w:tr>
      <w:tr w:rsidR="00C42353" w:rsidRPr="00772D14" w14:paraId="2A22E508" w14:textId="77777777" w:rsidTr="00B1619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val="restart"/>
            <w:tcBorders>
              <w:top w:val="single" w:sz="2" w:space="0" w:color="1F4E79" w:themeColor="accent1" w:themeShade="80"/>
              <w:left w:val="nil"/>
              <w:bottom w:val="single" w:sz="2" w:space="0" w:color="1F4E79" w:themeColor="accent1" w:themeShade="80"/>
              <w:right w:val="single" w:sz="2" w:space="0" w:color="1F4E79" w:themeColor="accent1" w:themeShade="80"/>
            </w:tcBorders>
            <w:vAlign w:val="center"/>
          </w:tcPr>
          <w:p w14:paraId="5CB70039" w14:textId="77777777" w:rsidR="00C42353" w:rsidRPr="007749DB" w:rsidRDefault="00C42353" w:rsidP="00BD64C0">
            <w:pPr>
              <w:pStyle w:val="08-Tabelageral"/>
              <w:jc w:val="center"/>
              <w:rPr>
                <w:rFonts w:cs="Arial"/>
                <w:b w:val="0"/>
                <w:bCs w:val="0"/>
                <w:szCs w:val="14"/>
              </w:rPr>
            </w:pPr>
            <w:r w:rsidRPr="007749DB">
              <w:rPr>
                <w:rFonts w:cs="Arial"/>
                <w:bCs w:val="0"/>
                <w:szCs w:val="14"/>
              </w:rPr>
              <w:t>Corretagem</w:t>
            </w:r>
          </w:p>
        </w:tc>
        <w:tc>
          <w:tcPr>
            <w:tcW w:w="1124" w:type="dxa"/>
            <w:tcBorders>
              <w:top w:val="single" w:sz="2" w:space="0" w:color="1F4E79" w:themeColor="accent1" w:themeShade="80"/>
              <w:left w:val="single" w:sz="2" w:space="0" w:color="1F4E79" w:themeColor="accent1" w:themeShade="80"/>
              <w:bottom w:val="nil"/>
              <w:right w:val="single" w:sz="2" w:space="0" w:color="1F4E79" w:themeColor="accent1" w:themeShade="80"/>
            </w:tcBorders>
            <w:vAlign w:val="center"/>
          </w:tcPr>
          <w:p w14:paraId="73907DA5" w14:textId="77777777" w:rsidR="00C42353" w:rsidRPr="000D525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936" w:type="dxa"/>
            <w:tcBorders>
              <w:top w:val="single" w:sz="2" w:space="0" w:color="1F4E79" w:themeColor="accent1" w:themeShade="80"/>
              <w:left w:val="single" w:sz="2" w:space="0" w:color="1F4E79" w:themeColor="accent1" w:themeShade="80"/>
              <w:bottom w:val="nil"/>
            </w:tcBorders>
            <w:vAlign w:val="center"/>
          </w:tcPr>
          <w:p w14:paraId="09311536" w14:textId="77777777" w:rsidR="00C42353" w:rsidRPr="00BD64C0"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bCs/>
                <w:szCs w:val="14"/>
              </w:rPr>
              <w:t>BB Corretora de Seguros e Adm. de Bens S.A. (</w:t>
            </w:r>
            <w:r w:rsidRPr="00BD64C0">
              <w:rPr>
                <w:rFonts w:cs="Arial"/>
                <w:szCs w:val="14"/>
              </w:rPr>
              <w:t>BB Corretora)</w:t>
            </w:r>
          </w:p>
        </w:tc>
        <w:tc>
          <w:tcPr>
            <w:tcW w:w="2575" w:type="dxa"/>
            <w:tcBorders>
              <w:top w:val="single" w:sz="2" w:space="0" w:color="1F4E79" w:themeColor="accent1" w:themeShade="80"/>
              <w:bottom w:val="nil"/>
            </w:tcBorders>
            <w:vAlign w:val="center"/>
          </w:tcPr>
          <w:p w14:paraId="3B076C3E" w14:textId="77777777" w:rsidR="00C42353" w:rsidRPr="007749DB" w:rsidRDefault="00C42353" w:rsidP="00BD64C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7749DB">
              <w:rPr>
                <w:rFonts w:cs="Arial"/>
                <w:szCs w:val="14"/>
              </w:rPr>
              <w:t>Corretagem de seguros dos ramos elementares, vida e saúde, títulos de capitalização, planos de previdência complementar aberta e a administração de bens.</w:t>
            </w:r>
          </w:p>
        </w:tc>
        <w:tc>
          <w:tcPr>
            <w:tcW w:w="1108" w:type="dxa"/>
            <w:tcBorders>
              <w:top w:val="single" w:sz="2" w:space="0" w:color="1F4E79" w:themeColor="accent1" w:themeShade="80"/>
              <w:bottom w:val="nil"/>
            </w:tcBorders>
            <w:vAlign w:val="center"/>
          </w:tcPr>
          <w:p w14:paraId="26D06622" w14:textId="77777777" w:rsidR="00C42353" w:rsidRPr="007749DB"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BRGAAP</w:t>
            </w:r>
          </w:p>
        </w:tc>
        <w:tc>
          <w:tcPr>
            <w:tcW w:w="659" w:type="dxa"/>
            <w:tcBorders>
              <w:top w:val="single" w:sz="2" w:space="0" w:color="1F4E79" w:themeColor="accent1" w:themeShade="80"/>
              <w:bottom w:val="nil"/>
            </w:tcBorders>
            <w:vAlign w:val="center"/>
          </w:tcPr>
          <w:p w14:paraId="23EAF780" w14:textId="77777777" w:rsidR="00C42353" w:rsidRPr="007749DB"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7749DB">
              <w:rPr>
                <w:bCs/>
              </w:rPr>
              <w:t>100,00</w:t>
            </w:r>
          </w:p>
        </w:tc>
        <w:tc>
          <w:tcPr>
            <w:tcW w:w="1169" w:type="dxa"/>
            <w:tcBorders>
              <w:top w:val="single" w:sz="2" w:space="0" w:color="1F4E79" w:themeColor="accent1" w:themeShade="80"/>
              <w:bottom w:val="nil"/>
            </w:tcBorders>
            <w:vAlign w:val="center"/>
          </w:tcPr>
          <w:p w14:paraId="0825B87A" w14:textId="77777777" w:rsidR="00C42353" w:rsidRPr="00AF17C4" w:rsidRDefault="00C42353" w:rsidP="00BD64C0">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7749DB">
              <w:rPr>
                <w:bCs/>
              </w:rPr>
              <w:t>100,00</w:t>
            </w:r>
          </w:p>
        </w:tc>
      </w:tr>
      <w:tr w:rsidR="00C42353" w:rsidRPr="00904F22" w14:paraId="7B9B4750" w14:textId="77777777" w:rsidTr="00B1619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68"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FFFFFF" w:themeFill="background1"/>
          </w:tcPr>
          <w:p w14:paraId="17B92D0A" w14:textId="77777777" w:rsidR="00C42353" w:rsidRPr="00F45619" w:rsidRDefault="00C42353" w:rsidP="00BD64C0">
            <w:pPr>
              <w:pStyle w:val="08-Tabelageral"/>
              <w:ind w:left="113"/>
              <w:jc w:val="left"/>
              <w:rPr>
                <w:rFonts w:cs="Arial"/>
                <w:b w:val="0"/>
                <w:bCs w:val="0"/>
                <w:szCs w:val="14"/>
                <w:highlight w:val="yellow"/>
              </w:rPr>
            </w:pPr>
          </w:p>
        </w:tc>
        <w:tc>
          <w:tcPr>
            <w:tcW w:w="1124" w:type="dxa"/>
            <w:tcBorders>
              <w:top w:val="nil"/>
              <w:left w:val="single" w:sz="2" w:space="0" w:color="1F4E79" w:themeColor="accent1" w:themeShade="80"/>
              <w:bottom w:val="single" w:sz="2" w:space="0" w:color="1F4E79" w:themeColor="accent1" w:themeShade="80"/>
              <w:right w:val="single" w:sz="2" w:space="0" w:color="1F4E79" w:themeColor="accent1" w:themeShade="80"/>
            </w:tcBorders>
            <w:shd w:val="clear" w:color="auto" w:fill="FFFFFF" w:themeFill="background1"/>
            <w:vAlign w:val="center"/>
          </w:tcPr>
          <w:p w14:paraId="360196E6" w14:textId="77777777" w:rsidR="00C42353" w:rsidRPr="000D525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936" w:type="dxa"/>
            <w:tcBorders>
              <w:top w:val="nil"/>
              <w:left w:val="single" w:sz="2" w:space="0" w:color="1F4E79" w:themeColor="accent1" w:themeShade="80"/>
              <w:bottom w:val="single" w:sz="2" w:space="0" w:color="1F4E79" w:themeColor="accent1" w:themeShade="80"/>
            </w:tcBorders>
            <w:shd w:val="clear" w:color="auto" w:fill="FFFFFF" w:themeFill="background1"/>
            <w:vAlign w:val="center"/>
          </w:tcPr>
          <w:p w14:paraId="7606CD38" w14:textId="77777777" w:rsidR="00C42353" w:rsidRPr="00BD64C0"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BD64C0">
              <w:rPr>
                <w:rFonts w:cs="Arial"/>
                <w:bCs/>
                <w:szCs w:val="14"/>
              </w:rPr>
              <w:t>Ciclic Corretora de Seguros S.A. (</w:t>
            </w:r>
            <w:r w:rsidRPr="00BD64C0">
              <w:rPr>
                <w:rFonts w:cs="Arial"/>
                <w:szCs w:val="14"/>
              </w:rPr>
              <w:t>Ciclic)</w:t>
            </w:r>
          </w:p>
        </w:tc>
        <w:tc>
          <w:tcPr>
            <w:tcW w:w="2575" w:type="dxa"/>
            <w:tcBorders>
              <w:top w:val="nil"/>
              <w:bottom w:val="single" w:sz="2" w:space="0" w:color="1F4E79" w:themeColor="accent1" w:themeShade="80"/>
            </w:tcBorders>
            <w:shd w:val="clear" w:color="auto" w:fill="FFFFFF" w:themeFill="background1"/>
            <w:vAlign w:val="center"/>
          </w:tcPr>
          <w:p w14:paraId="7DFBCB1C" w14:textId="77777777" w:rsidR="00C42353" w:rsidRPr="00AF17C4" w:rsidRDefault="00C42353" w:rsidP="00BD64C0">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AF17C4">
              <w:rPr>
                <w:rFonts w:cs="Arial"/>
                <w:szCs w:val="14"/>
              </w:rPr>
              <w:t>Corretagem de produtos de previdência privada, seguros viagem e assistência residencial no canal digital.</w:t>
            </w:r>
          </w:p>
        </w:tc>
        <w:tc>
          <w:tcPr>
            <w:tcW w:w="1108" w:type="dxa"/>
            <w:tcBorders>
              <w:top w:val="nil"/>
              <w:bottom w:val="single" w:sz="2" w:space="0" w:color="1F4E79" w:themeColor="accent1" w:themeShade="80"/>
            </w:tcBorders>
            <w:shd w:val="clear" w:color="auto" w:fill="FFFFFF" w:themeFill="background1"/>
            <w:vAlign w:val="center"/>
          </w:tcPr>
          <w:p w14:paraId="3FABF56C" w14:textId="77777777" w:rsidR="00C42353" w:rsidRPr="0025537E"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Pr>
                <w:bCs/>
              </w:rPr>
              <w:t>BRGAAP</w:t>
            </w:r>
          </w:p>
        </w:tc>
        <w:tc>
          <w:tcPr>
            <w:tcW w:w="659" w:type="dxa"/>
            <w:tcBorders>
              <w:top w:val="nil"/>
              <w:bottom w:val="single" w:sz="2" w:space="0" w:color="1F4E79" w:themeColor="accent1" w:themeShade="80"/>
            </w:tcBorders>
            <w:shd w:val="clear" w:color="auto" w:fill="FFFFFF" w:themeFill="background1"/>
            <w:vAlign w:val="center"/>
          </w:tcPr>
          <w:p w14:paraId="42F2FAA3"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49,99</w:t>
            </w:r>
          </w:p>
        </w:tc>
        <w:tc>
          <w:tcPr>
            <w:tcW w:w="1169" w:type="dxa"/>
            <w:tcBorders>
              <w:top w:val="nil"/>
              <w:bottom w:val="single" w:sz="2" w:space="0" w:color="1F4E79" w:themeColor="accent1" w:themeShade="80"/>
            </w:tcBorders>
            <w:shd w:val="clear" w:color="auto" w:fill="FFFFFF" w:themeFill="background1"/>
            <w:vAlign w:val="center"/>
          </w:tcPr>
          <w:p w14:paraId="7E862736" w14:textId="77777777" w:rsidR="00C42353" w:rsidRPr="00AF17C4" w:rsidRDefault="00C42353" w:rsidP="00BD64C0">
            <w:pPr>
              <w:pStyle w:val="08-Tabelageral"/>
              <w:jc w:val="center"/>
              <w:cnfStyle w:val="000000010000" w:firstRow="0" w:lastRow="0" w:firstColumn="0" w:lastColumn="0" w:oddVBand="0" w:evenVBand="0" w:oddHBand="0" w:evenHBand="1" w:firstRowFirstColumn="0" w:firstRowLastColumn="0" w:lastRowFirstColumn="0" w:lastRowLastColumn="0"/>
              <w:rPr>
                <w:bCs/>
              </w:rPr>
            </w:pPr>
            <w:r w:rsidRPr="00AF17C4">
              <w:rPr>
                <w:bCs/>
              </w:rPr>
              <w:t>74,99</w:t>
            </w:r>
          </w:p>
        </w:tc>
      </w:tr>
    </w:tbl>
    <w:p w14:paraId="0F0BBC48" w14:textId="77777777" w:rsidR="00C42353" w:rsidRDefault="00C42353" w:rsidP="00F457ED">
      <w:pPr>
        <w:pStyle w:val="07-Legenda"/>
        <w:ind w:left="0" w:firstLine="0"/>
        <w:rPr>
          <w:rFonts w:cs="Arial"/>
          <w:spacing w:val="0"/>
          <w:sz w:val="18"/>
          <w:szCs w:val="20"/>
          <w:lang w:eastAsia="zh-CN"/>
        </w:rPr>
      </w:pPr>
    </w:p>
    <w:p w14:paraId="5042BF24" w14:textId="77777777" w:rsidR="00C42353" w:rsidRDefault="00C42353" w:rsidP="00F84BEE">
      <w:pPr>
        <w:pStyle w:val="05-Textonormal"/>
        <w:spacing w:before="0" w:after="80" w:line="240" w:lineRule="auto"/>
        <w:rPr>
          <w:rFonts w:cs="Arial"/>
        </w:rPr>
      </w:pPr>
      <w:r w:rsidRPr="00A00E6B">
        <w:rPr>
          <w:rFonts w:cs="Arial"/>
        </w:rPr>
        <w:t xml:space="preserve">As empresas investidas são avaliadas pelo método de equivalência patrimonial e não há indicativo </w:t>
      </w:r>
      <w:r>
        <w:rPr>
          <w:rFonts w:cs="Arial"/>
        </w:rPr>
        <w:t>de descontinuidade operacional.</w:t>
      </w:r>
    </w:p>
    <w:p w14:paraId="2BABAFA1" w14:textId="77777777" w:rsidR="00C42353" w:rsidRPr="00A00E6B" w:rsidRDefault="00C42353" w:rsidP="00F84BEE">
      <w:pPr>
        <w:pStyle w:val="05-Textonormal"/>
        <w:spacing w:before="0" w:after="80" w:line="240" w:lineRule="auto"/>
        <w:rPr>
          <w:rFonts w:cs="Arial"/>
        </w:rPr>
      </w:pPr>
      <w:r w:rsidRPr="00A00E6B">
        <w:rPr>
          <w:rFonts w:cs="Arial"/>
        </w:rPr>
        <w:t>Os investimentos em participações societárias nas companhias BB Seguros Participações S.A. e BB Corretora de Seguros e Administração de Bens S.A. são avaliados como investimentos em controladas.</w:t>
      </w:r>
    </w:p>
    <w:p w14:paraId="747D8E60" w14:textId="77777777" w:rsidR="00C42353" w:rsidRPr="00A00E6B" w:rsidRDefault="00C42353" w:rsidP="00F84BEE">
      <w:pPr>
        <w:pStyle w:val="05-Textonormal"/>
        <w:spacing w:before="0" w:after="80" w:line="240" w:lineRule="auto"/>
        <w:rPr>
          <w:rFonts w:cs="Arial"/>
        </w:rPr>
      </w:pPr>
      <w:r w:rsidRPr="00A00E6B">
        <w:rPr>
          <w:rFonts w:cs="Arial"/>
        </w:rPr>
        <w:lastRenderedPageBreak/>
        <w:t xml:space="preserve">Os investimentos em participações societárias nas companhias </w:t>
      </w:r>
      <w:r w:rsidRPr="00A00E6B">
        <w:t>BB Mapfre Participações S.A., Brasilprev Seguros e Previdência S.A., Brasilcap Capitalização S.A., Brasildental Operadora de Planos Odontológicos S.A. e Ciclic Corretora de Seguros S.A. são avaliados como investimentos em “coligadas” ou “controladas em conjunto”.</w:t>
      </w:r>
    </w:p>
    <w:p w14:paraId="0FCBDF61" w14:textId="77777777" w:rsidR="00C42353" w:rsidRPr="00A00E6B" w:rsidRDefault="00C42353" w:rsidP="00F457ED">
      <w:pPr>
        <w:pStyle w:val="07-Legenda"/>
        <w:ind w:left="0" w:firstLine="0"/>
        <w:rPr>
          <w:rFonts w:cs="Arial"/>
          <w:spacing w:val="0"/>
          <w:sz w:val="4"/>
          <w:szCs w:val="4"/>
          <w:lang w:eastAsia="zh-CN"/>
        </w:rPr>
      </w:pPr>
    </w:p>
    <w:p w14:paraId="1B45524C" w14:textId="7A431569" w:rsidR="00C42353" w:rsidRDefault="00C42353" w:rsidP="00F457ED">
      <w:pPr>
        <w:pStyle w:val="05-Textonormal"/>
        <w:spacing w:before="0" w:after="80" w:line="240" w:lineRule="auto"/>
        <w:rPr>
          <w:rFonts w:cs="Arial"/>
          <w:lang w:eastAsia="zh-CN"/>
        </w:rPr>
      </w:pPr>
      <w:r w:rsidRPr="00A00E6B">
        <w:rPr>
          <w:rFonts w:cs="Arial"/>
          <w:lang w:eastAsia="zh-CN"/>
        </w:rPr>
        <w:t>Os investimentos em participações societárias, avaliados pelo método de equivalência patrimonial, não possuem ações regularmente negociadas em bolsas de valores</w:t>
      </w:r>
      <w:r w:rsidRPr="00EF774E">
        <w:rPr>
          <w:rFonts w:cs="Arial"/>
          <w:lang w:eastAsia="zh-CN"/>
        </w:rPr>
        <w:t>.</w:t>
      </w:r>
    </w:p>
    <w:p w14:paraId="7A995819" w14:textId="77777777" w:rsidR="00E822B7" w:rsidRDefault="00E822B7" w:rsidP="00F457ED">
      <w:pPr>
        <w:pStyle w:val="05-Textonormal"/>
        <w:spacing w:before="0" w:after="80" w:line="240" w:lineRule="auto"/>
        <w:rPr>
          <w:rFonts w:cs="Arial"/>
          <w:lang w:eastAsia="zh-CN"/>
        </w:rPr>
      </w:pPr>
    </w:p>
    <w:p w14:paraId="4D730114" w14:textId="2FDFF1E8" w:rsidR="00C42353" w:rsidRPr="00E822B7" w:rsidRDefault="00E822B7" w:rsidP="00E822B7">
      <w:pPr>
        <w:pStyle w:val="04-TtuloNegrito"/>
        <w:rPr>
          <w:color w:val="1F4E79" w:themeColor="accent1" w:themeShade="80"/>
          <w:sz w:val="18"/>
          <w:szCs w:val="18"/>
        </w:rPr>
      </w:pPr>
      <w:r>
        <w:rPr>
          <w:color w:val="1F4E79" w:themeColor="accent1" w:themeShade="80"/>
          <w:sz w:val="18"/>
          <w:szCs w:val="18"/>
        </w:rPr>
        <w:t xml:space="preserve">b) </w:t>
      </w:r>
      <w:r w:rsidR="00C42353" w:rsidRPr="00E822B7">
        <w:rPr>
          <w:color w:val="1F4E79" w:themeColor="accent1" w:themeShade="80"/>
          <w:sz w:val="18"/>
          <w:szCs w:val="18"/>
        </w:rPr>
        <w:t>Participações Societárias avaliadas pelo Método de Equivalência Patrimonial</w:t>
      </w:r>
    </w:p>
    <w:p w14:paraId="4FFD4371" w14:textId="77777777" w:rsidR="00C42353" w:rsidRPr="00B77F46" w:rsidRDefault="00C42353" w:rsidP="004D7E01">
      <w:pPr>
        <w:pStyle w:val="01-TtulodeNota"/>
        <w:spacing w:before="0" w:after="0"/>
        <w:ind w:right="-1"/>
        <w:jc w:val="right"/>
        <w:rPr>
          <w:sz w:val="14"/>
          <w:szCs w:val="14"/>
        </w:rPr>
      </w:pPr>
      <w:r w:rsidRPr="00B77F46">
        <w:rPr>
          <w:sz w:val="14"/>
          <w:szCs w:val="14"/>
        </w:rPr>
        <w:t>R$ mil</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C42353" w:rsidRPr="00544F81" w14:paraId="5FB52638" w14:textId="77777777" w:rsidTr="00522DA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FFFFFF" w:themeFill="background1"/>
            <w:vAlign w:val="center"/>
          </w:tcPr>
          <w:p w14:paraId="42112476" w14:textId="77777777" w:rsidR="00C42353" w:rsidRPr="00F52A6C" w:rsidRDefault="00C42353" w:rsidP="007C2DBC">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FFFFFF" w:themeFill="background1"/>
            <w:vAlign w:val="center"/>
          </w:tcPr>
          <w:p w14:paraId="26B0979D" w14:textId="77777777" w:rsidR="00C42353" w:rsidRPr="00F52A6C" w:rsidRDefault="00C42353" w:rsidP="00E50B2D">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Controlador</w:t>
            </w:r>
          </w:p>
        </w:tc>
      </w:tr>
      <w:tr w:rsidR="00C42353" w:rsidRPr="00544F81" w14:paraId="66EB5B91" w14:textId="77777777" w:rsidTr="00F52A6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vAlign w:val="center"/>
          </w:tcPr>
          <w:p w14:paraId="4388176C" w14:textId="77777777" w:rsidR="00C42353" w:rsidRPr="00F52A6C" w:rsidRDefault="00C42353" w:rsidP="00797D52">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vAlign w:val="center"/>
          </w:tcPr>
          <w:p w14:paraId="56F76559" w14:textId="77777777" w:rsidR="00C42353" w:rsidRPr="00F52A6C" w:rsidRDefault="00C42353" w:rsidP="00797D52">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vAlign w:val="center"/>
          </w:tcPr>
          <w:p w14:paraId="6BF7DC60" w14:textId="77777777" w:rsidR="00C42353" w:rsidRPr="00F52A6C" w:rsidRDefault="00C42353" w:rsidP="00797D52">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vAlign w:val="center"/>
          </w:tcPr>
          <w:p w14:paraId="1ECE2EEF" w14:textId="77777777" w:rsidR="00C42353" w:rsidRPr="00F52A6C" w:rsidRDefault="00C42353" w:rsidP="00797D52">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C42353" w:rsidRPr="00C0254E" w14:paraId="0023A136" w14:textId="77777777" w:rsidTr="00FB2B7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8EAADB" w:themeColor="accent5" w:themeTint="99"/>
              <w:bottom w:val="nil"/>
            </w:tcBorders>
            <w:shd w:val="clear" w:color="auto" w:fill="FFFFFF" w:themeFill="background1"/>
            <w:vAlign w:val="center"/>
          </w:tcPr>
          <w:p w14:paraId="6E24B439" w14:textId="77777777" w:rsidR="00C42353" w:rsidRPr="00F52A6C" w:rsidRDefault="00C42353" w:rsidP="00797D52">
            <w:pPr>
              <w:rPr>
                <w:rFonts w:cs="Arial"/>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12</w:t>
            </w:r>
            <w:r w:rsidRPr="00F52A6C">
              <w:rPr>
                <w:rFonts w:cs="Arial"/>
                <w:sz w:val="14"/>
                <w:szCs w:val="14"/>
              </w:rPr>
              <w:t>.2021</w:t>
            </w:r>
          </w:p>
        </w:tc>
        <w:tc>
          <w:tcPr>
            <w:tcW w:w="5597" w:type="dxa"/>
            <w:gridSpan w:val="3"/>
            <w:tcBorders>
              <w:top w:val="single" w:sz="2" w:space="0" w:color="8EAADB" w:themeColor="accent5" w:themeTint="99"/>
              <w:bottom w:val="nil"/>
            </w:tcBorders>
            <w:shd w:val="clear" w:color="auto" w:fill="FFFFFF" w:themeFill="background1"/>
            <w:vAlign w:val="center"/>
          </w:tcPr>
          <w:p w14:paraId="1122D3CA" w14:textId="77777777" w:rsidR="00C42353" w:rsidRPr="00F52A6C" w:rsidRDefault="00C42353" w:rsidP="00CA4D7C">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auto"/>
                <w:szCs w:val="14"/>
              </w:rPr>
            </w:pPr>
          </w:p>
        </w:tc>
      </w:tr>
      <w:tr w:rsidR="00C42353" w:rsidRPr="00C0254E" w14:paraId="658B0D0A" w14:textId="77777777" w:rsidTr="00522DA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vAlign w:val="center"/>
          </w:tcPr>
          <w:p w14:paraId="71EC4A43" w14:textId="77777777" w:rsidR="00C42353" w:rsidRPr="00F52A6C" w:rsidRDefault="00C42353" w:rsidP="000448B2">
            <w:pPr>
              <w:rPr>
                <w:b w:val="0"/>
                <w:bCs w:val="0"/>
                <w:color w:val="FF0000"/>
                <w:sz w:val="14"/>
                <w:szCs w:val="14"/>
              </w:rPr>
            </w:pPr>
            <w:r w:rsidRPr="00F52A6C">
              <w:rPr>
                <w:rFonts w:cs="Arial"/>
                <w:b w:val="0"/>
                <w:bCs w:val="0"/>
                <w:color w:val="auto"/>
                <w:sz w:val="14"/>
                <w:szCs w:val="14"/>
              </w:rPr>
              <w:t>Capital Social</w:t>
            </w:r>
          </w:p>
        </w:tc>
        <w:tc>
          <w:tcPr>
            <w:tcW w:w="2020" w:type="dxa"/>
            <w:tcBorders>
              <w:top w:val="nil"/>
            </w:tcBorders>
            <w:vAlign w:val="center"/>
          </w:tcPr>
          <w:p w14:paraId="10E9EEA5" w14:textId="77777777" w:rsidR="00C42353" w:rsidRPr="00F52A6C" w:rsidRDefault="00C42353" w:rsidP="000448B2">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4.210.872</w:t>
            </w:r>
          </w:p>
        </w:tc>
        <w:tc>
          <w:tcPr>
            <w:tcW w:w="1753" w:type="dxa"/>
            <w:tcBorders>
              <w:top w:val="nil"/>
            </w:tcBorders>
            <w:vAlign w:val="center"/>
          </w:tcPr>
          <w:p w14:paraId="7974ED01" w14:textId="77777777" w:rsidR="00C42353" w:rsidRPr="00F52A6C" w:rsidRDefault="00C42353" w:rsidP="000448B2">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1.000</w:t>
            </w:r>
          </w:p>
        </w:tc>
        <w:tc>
          <w:tcPr>
            <w:tcW w:w="1824" w:type="dxa"/>
            <w:tcBorders>
              <w:top w:val="nil"/>
            </w:tcBorders>
            <w:vAlign w:val="center"/>
          </w:tcPr>
          <w:p w14:paraId="15B540FE" w14:textId="77777777" w:rsidR="00C42353" w:rsidRPr="00F52A6C" w:rsidRDefault="00C42353" w:rsidP="000448B2">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sidRPr="00F52A6C">
              <w:rPr>
                <w:b/>
                <w:bCs/>
                <w:color w:val="auto"/>
                <w:szCs w:val="14"/>
              </w:rPr>
              <w:t>--</w:t>
            </w:r>
          </w:p>
        </w:tc>
      </w:tr>
      <w:tr w:rsidR="00C42353" w:rsidRPr="00C0254E" w14:paraId="53D7D627" w14:textId="77777777" w:rsidTr="00FB2B7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FFFFFF" w:themeFill="background1"/>
            <w:vAlign w:val="center"/>
          </w:tcPr>
          <w:p w14:paraId="22801E63" w14:textId="77777777" w:rsidR="00C42353" w:rsidRPr="00F52A6C" w:rsidRDefault="00C42353" w:rsidP="000448B2">
            <w:pPr>
              <w:rPr>
                <w:b w:val="0"/>
                <w:bCs w:val="0"/>
                <w:color w:val="FF0000"/>
                <w:sz w:val="14"/>
                <w:szCs w:val="14"/>
              </w:rPr>
            </w:pPr>
            <w:r w:rsidRPr="00F52A6C">
              <w:rPr>
                <w:rFonts w:cs="Arial"/>
                <w:b w:val="0"/>
                <w:bCs w:val="0"/>
                <w:color w:val="auto"/>
                <w:sz w:val="14"/>
                <w:szCs w:val="14"/>
              </w:rPr>
              <w:t>Patrimônio Líquido</w:t>
            </w:r>
          </w:p>
        </w:tc>
        <w:tc>
          <w:tcPr>
            <w:tcW w:w="2020" w:type="dxa"/>
            <w:shd w:val="clear" w:color="auto" w:fill="FFFFFF" w:themeFill="background1"/>
            <w:vAlign w:val="center"/>
          </w:tcPr>
          <w:p w14:paraId="281A8911" w14:textId="77777777" w:rsidR="00C42353" w:rsidRPr="00F52A6C" w:rsidRDefault="00C42353" w:rsidP="000448B2">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szCs w:val="14"/>
              </w:rPr>
              <w:t xml:space="preserve">7.074.640 </w:t>
            </w:r>
          </w:p>
        </w:tc>
        <w:tc>
          <w:tcPr>
            <w:tcW w:w="1753" w:type="dxa"/>
            <w:shd w:val="clear" w:color="auto" w:fill="FFFFFF" w:themeFill="background1"/>
            <w:vAlign w:val="center"/>
          </w:tcPr>
          <w:p w14:paraId="1D09277F" w14:textId="77777777" w:rsidR="00C42353" w:rsidRPr="00F52A6C" w:rsidRDefault="00C42353" w:rsidP="000448B2">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szCs w:val="14"/>
              </w:rPr>
              <w:t xml:space="preserve">6.009 </w:t>
            </w:r>
          </w:p>
        </w:tc>
        <w:tc>
          <w:tcPr>
            <w:tcW w:w="1824" w:type="dxa"/>
            <w:shd w:val="clear" w:color="auto" w:fill="FFFFFF" w:themeFill="background1"/>
            <w:vAlign w:val="center"/>
          </w:tcPr>
          <w:p w14:paraId="033CF035" w14:textId="77777777" w:rsidR="00C42353" w:rsidRPr="00F52A6C" w:rsidRDefault="00C42353" w:rsidP="000448B2">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sidRPr="00F52A6C">
              <w:rPr>
                <w:b/>
                <w:bCs/>
                <w:color w:val="auto"/>
                <w:szCs w:val="14"/>
              </w:rPr>
              <w:t>--</w:t>
            </w:r>
          </w:p>
        </w:tc>
      </w:tr>
      <w:tr w:rsidR="00C42353" w:rsidRPr="00C0254E" w14:paraId="73D3E766" w14:textId="77777777" w:rsidTr="00522DA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1A3F7927" w14:textId="77777777" w:rsidR="00C42353" w:rsidRPr="00F52A6C" w:rsidRDefault="00C42353" w:rsidP="00797D52">
            <w:pPr>
              <w:pStyle w:val="08-Tabelageral"/>
              <w:jc w:val="left"/>
              <w:rPr>
                <w:rFonts w:cs="Arial"/>
                <w:bCs w:val="0"/>
                <w:szCs w:val="14"/>
              </w:rPr>
            </w:pPr>
            <w:r w:rsidRPr="00F52A6C">
              <w:rPr>
                <w:rFonts w:cs="Arial"/>
                <w:szCs w:val="14"/>
              </w:rPr>
              <w:t>Saldo em 31.12.2020</w:t>
            </w:r>
          </w:p>
        </w:tc>
        <w:tc>
          <w:tcPr>
            <w:tcW w:w="5597" w:type="dxa"/>
            <w:gridSpan w:val="3"/>
            <w:vAlign w:val="center"/>
          </w:tcPr>
          <w:p w14:paraId="101795A0" w14:textId="77777777" w:rsidR="00C42353" w:rsidRPr="00F52A6C" w:rsidRDefault="00C42353" w:rsidP="00CA4D7C">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C42353" w:rsidRPr="00634FFE" w14:paraId="4A5C23CF" w14:textId="77777777" w:rsidTr="00FB2B7E">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FFFFFF" w:themeFill="background1"/>
            <w:vAlign w:val="center"/>
          </w:tcPr>
          <w:p w14:paraId="236130D0" w14:textId="77777777" w:rsidR="00C42353" w:rsidRPr="00F52A6C" w:rsidRDefault="00C42353" w:rsidP="00B27050">
            <w:pPr>
              <w:pStyle w:val="08-Tabelageral"/>
              <w:jc w:val="left"/>
              <w:rPr>
                <w:rFonts w:cs="Arial"/>
                <w:b w:val="0"/>
                <w:bCs w:val="0"/>
                <w:szCs w:val="14"/>
              </w:rPr>
            </w:pPr>
            <w:r w:rsidRPr="00F52A6C">
              <w:rPr>
                <w:rFonts w:cs="Arial"/>
                <w:b w:val="0"/>
                <w:bCs w:val="0"/>
                <w:color w:val="auto"/>
                <w:szCs w:val="14"/>
              </w:rPr>
              <w:t>Capital Social</w:t>
            </w:r>
          </w:p>
        </w:tc>
        <w:tc>
          <w:tcPr>
            <w:tcW w:w="2020" w:type="dxa"/>
            <w:shd w:val="clear" w:color="auto" w:fill="FFFFFF" w:themeFill="background1"/>
            <w:vAlign w:val="center"/>
          </w:tcPr>
          <w:p w14:paraId="629A5FAC" w14:textId="77777777" w:rsidR="00C42353" w:rsidRPr="00F52A6C" w:rsidRDefault="00C42353" w:rsidP="00B27050">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sidRPr="00F52A6C">
              <w:rPr>
                <w:rFonts w:cs="Arial"/>
                <w:color w:val="auto"/>
                <w:szCs w:val="14"/>
              </w:rPr>
              <w:t>4.210.872</w:t>
            </w:r>
          </w:p>
        </w:tc>
        <w:tc>
          <w:tcPr>
            <w:tcW w:w="1753" w:type="dxa"/>
            <w:shd w:val="clear" w:color="auto" w:fill="FFFFFF" w:themeFill="background1"/>
            <w:vAlign w:val="center"/>
          </w:tcPr>
          <w:p w14:paraId="57552798" w14:textId="77777777" w:rsidR="00C42353" w:rsidRPr="00F52A6C" w:rsidRDefault="00C42353" w:rsidP="00B27050">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sidRPr="00F52A6C">
              <w:rPr>
                <w:color w:val="auto"/>
                <w:szCs w:val="14"/>
              </w:rPr>
              <w:t>36.211</w:t>
            </w:r>
          </w:p>
        </w:tc>
        <w:tc>
          <w:tcPr>
            <w:tcW w:w="1824" w:type="dxa"/>
            <w:shd w:val="clear" w:color="auto" w:fill="FFFFFF" w:themeFill="background1"/>
            <w:vAlign w:val="center"/>
          </w:tcPr>
          <w:p w14:paraId="78DCD173" w14:textId="77777777" w:rsidR="00C42353" w:rsidRPr="00F52A6C" w:rsidRDefault="00C42353" w:rsidP="00B27050">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sidRPr="00F52A6C">
              <w:rPr>
                <w:b/>
                <w:bCs/>
                <w:color w:val="auto"/>
                <w:szCs w:val="14"/>
              </w:rPr>
              <w:t>--</w:t>
            </w:r>
          </w:p>
        </w:tc>
      </w:tr>
      <w:tr w:rsidR="00C42353" w:rsidRPr="00634FFE" w14:paraId="0211DF93" w14:textId="77777777" w:rsidTr="00522DA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4BD69FEE" w14:textId="77777777" w:rsidR="00C42353" w:rsidRPr="00F52A6C" w:rsidRDefault="00C42353" w:rsidP="00B27050">
            <w:pPr>
              <w:pStyle w:val="08-Tabelageral"/>
              <w:jc w:val="left"/>
              <w:rPr>
                <w:rFonts w:cs="Arial"/>
                <w:b w:val="0"/>
                <w:bCs w:val="0"/>
                <w:szCs w:val="14"/>
              </w:rPr>
            </w:pPr>
            <w:r w:rsidRPr="00F52A6C">
              <w:rPr>
                <w:rFonts w:cs="Arial"/>
                <w:b w:val="0"/>
                <w:bCs w:val="0"/>
                <w:color w:val="auto"/>
                <w:szCs w:val="14"/>
              </w:rPr>
              <w:t>Patrimônio Líquido</w:t>
            </w:r>
          </w:p>
        </w:tc>
        <w:tc>
          <w:tcPr>
            <w:tcW w:w="2020" w:type="dxa"/>
            <w:vAlign w:val="center"/>
          </w:tcPr>
          <w:p w14:paraId="03C23E3D" w14:textId="77777777" w:rsidR="00C42353" w:rsidRPr="00F52A6C" w:rsidRDefault="00C42353" w:rsidP="00B27050">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sidRPr="00F52A6C">
              <w:rPr>
                <w:color w:val="auto"/>
                <w:szCs w:val="14"/>
              </w:rPr>
              <w:t>5.924.821</w:t>
            </w:r>
          </w:p>
        </w:tc>
        <w:tc>
          <w:tcPr>
            <w:tcW w:w="1753" w:type="dxa"/>
            <w:vAlign w:val="center"/>
          </w:tcPr>
          <w:p w14:paraId="4DDA564B" w14:textId="77777777" w:rsidR="00C42353" w:rsidRPr="00F52A6C" w:rsidRDefault="00C42353" w:rsidP="00B27050">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sidRPr="00F52A6C">
              <w:rPr>
                <w:color w:val="auto"/>
                <w:szCs w:val="14"/>
              </w:rPr>
              <w:t>46.908</w:t>
            </w:r>
          </w:p>
        </w:tc>
        <w:tc>
          <w:tcPr>
            <w:tcW w:w="1824" w:type="dxa"/>
            <w:vAlign w:val="center"/>
          </w:tcPr>
          <w:p w14:paraId="4C2D548F" w14:textId="77777777" w:rsidR="00C42353" w:rsidRPr="00F52A6C" w:rsidRDefault="00C42353" w:rsidP="00B27050">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sidRPr="00F52A6C">
              <w:rPr>
                <w:b/>
                <w:bCs/>
                <w:color w:val="auto"/>
                <w:szCs w:val="14"/>
              </w:rPr>
              <w:t>--</w:t>
            </w:r>
          </w:p>
        </w:tc>
      </w:tr>
      <w:tr w:rsidR="00C42353" w:rsidRPr="00C0254E" w14:paraId="1DECD314" w14:textId="77777777" w:rsidTr="00F52A6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FFFFFF" w:themeFill="background1"/>
            <w:vAlign w:val="center"/>
          </w:tcPr>
          <w:p w14:paraId="02BAB3EB" w14:textId="77777777" w:rsidR="00C42353" w:rsidRPr="00F52A6C" w:rsidRDefault="00C42353" w:rsidP="00797D52">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FFFFFF" w:themeFill="background1"/>
            <w:vAlign w:val="center"/>
          </w:tcPr>
          <w:p w14:paraId="4F94E39D" w14:textId="77777777" w:rsidR="00C42353" w:rsidRPr="00F52A6C" w:rsidRDefault="00C42353" w:rsidP="00797D52">
            <w:pPr>
              <w:pStyle w:val="08-Tabelageral"/>
              <w:ind w:left="113"/>
              <w:jc w:val="center"/>
              <w:cnfStyle w:val="000000010000" w:firstRow="0" w:lastRow="0" w:firstColumn="0" w:lastColumn="0" w:oddVBand="0" w:evenVBand="0" w:oddHBand="0" w:evenHBand="1" w:firstRowFirstColumn="0" w:firstRowLastColumn="0" w:lastRowFirstColumn="0" w:lastRowLastColumn="0"/>
              <w:rPr>
                <w:b/>
                <w:color w:val="FF0000"/>
                <w:szCs w:val="14"/>
              </w:rPr>
            </w:pPr>
          </w:p>
        </w:tc>
      </w:tr>
      <w:tr w:rsidR="00C42353" w:rsidRPr="00C0254E" w14:paraId="07CB0228" w14:textId="77777777" w:rsidTr="00F52A6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vAlign w:val="center"/>
          </w:tcPr>
          <w:p w14:paraId="216A5852" w14:textId="77777777" w:rsidR="00C42353" w:rsidRPr="00F52A6C" w:rsidRDefault="00C42353" w:rsidP="00522DAA">
            <w:pPr>
              <w:pStyle w:val="08-Tabelageral"/>
              <w:jc w:val="center"/>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12</w:t>
            </w:r>
            <w:r w:rsidRPr="00F52A6C">
              <w:rPr>
                <w:rFonts w:cs="Arial"/>
                <w:color w:val="auto"/>
                <w:szCs w:val="14"/>
              </w:rPr>
              <w:t>.2021</w:t>
            </w:r>
          </w:p>
        </w:tc>
      </w:tr>
      <w:tr w:rsidR="00C42353" w:rsidRPr="00634FFE" w14:paraId="3D4BE8DE" w14:textId="77777777" w:rsidTr="00F52A6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FFFFFF" w:themeFill="background1"/>
            <w:vAlign w:val="center"/>
          </w:tcPr>
          <w:p w14:paraId="121E6D22" w14:textId="77777777" w:rsidR="00C42353" w:rsidRPr="00F52A6C" w:rsidRDefault="00C42353" w:rsidP="007E0C4E">
            <w:pPr>
              <w:pStyle w:val="08-Tabelageral"/>
              <w:jc w:val="left"/>
              <w:rPr>
                <w:color w:val="FF0000"/>
                <w:szCs w:val="14"/>
              </w:rPr>
            </w:pPr>
            <w:r w:rsidRPr="00F52A6C">
              <w:rPr>
                <w:rFonts w:cs="Arial"/>
                <w:szCs w:val="14"/>
              </w:rPr>
              <w:t>Saldo Contábil 31.12.2020</w:t>
            </w:r>
          </w:p>
        </w:tc>
        <w:tc>
          <w:tcPr>
            <w:tcW w:w="2020" w:type="dxa"/>
            <w:tcBorders>
              <w:top w:val="single" w:sz="2" w:space="0" w:color="1F4E79" w:themeColor="accent1" w:themeShade="80"/>
            </w:tcBorders>
            <w:shd w:val="clear" w:color="auto" w:fill="FFFFFF" w:themeFill="background1"/>
            <w:vAlign w:val="center"/>
          </w:tcPr>
          <w:p w14:paraId="344D7876" w14:textId="77777777" w:rsidR="00C42353" w:rsidRPr="00F52A6C" w:rsidRDefault="00C42353" w:rsidP="007E0C4E">
            <w:pPr>
              <w:pStyle w:val="08-Tabelageral"/>
              <w:ind w:left="113"/>
              <w:cnfStyle w:val="000000010000" w:firstRow="0" w:lastRow="0" w:firstColumn="0" w:lastColumn="0" w:oddVBand="0" w:evenVBand="0" w:oddHBand="0" w:evenHBand="1" w:firstRowFirstColumn="0" w:firstRowLastColumn="0" w:lastRowFirstColumn="0" w:lastRowLastColumn="0"/>
              <w:rPr>
                <w:b/>
                <w:bCs/>
                <w:color w:val="FF0000"/>
                <w:szCs w:val="14"/>
              </w:rPr>
            </w:pPr>
            <w:r w:rsidRPr="00F52A6C">
              <w:rPr>
                <w:rFonts w:cs="Arial"/>
                <w:b/>
                <w:color w:val="000000"/>
                <w:szCs w:val="14"/>
              </w:rPr>
              <w:t>5.924.821</w:t>
            </w:r>
          </w:p>
        </w:tc>
        <w:tc>
          <w:tcPr>
            <w:tcW w:w="1753" w:type="dxa"/>
            <w:tcBorders>
              <w:top w:val="single" w:sz="2" w:space="0" w:color="1F4E79" w:themeColor="accent1" w:themeShade="80"/>
            </w:tcBorders>
            <w:shd w:val="clear" w:color="auto" w:fill="FFFFFF" w:themeFill="background1"/>
            <w:vAlign w:val="center"/>
          </w:tcPr>
          <w:p w14:paraId="1B1308CF" w14:textId="77777777" w:rsidR="00C42353" w:rsidRPr="00F52A6C" w:rsidRDefault="00C42353" w:rsidP="007E0C4E">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rPr>
            </w:pPr>
            <w:r w:rsidRPr="00F52A6C">
              <w:rPr>
                <w:rFonts w:cs="Arial"/>
                <w:b/>
                <w:color w:val="000000"/>
                <w:szCs w:val="14"/>
              </w:rPr>
              <w:t>46.908</w:t>
            </w:r>
          </w:p>
        </w:tc>
        <w:tc>
          <w:tcPr>
            <w:tcW w:w="1824" w:type="dxa"/>
            <w:tcBorders>
              <w:top w:val="single" w:sz="2" w:space="0" w:color="1F4E79" w:themeColor="accent1" w:themeShade="80"/>
            </w:tcBorders>
            <w:shd w:val="clear" w:color="auto" w:fill="FFFFFF" w:themeFill="background1"/>
            <w:vAlign w:val="center"/>
          </w:tcPr>
          <w:p w14:paraId="44459AAE" w14:textId="77777777" w:rsidR="00C42353" w:rsidRPr="00F52A6C" w:rsidRDefault="00C42353" w:rsidP="007E0C4E">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52A6C">
              <w:rPr>
                <w:rFonts w:cs="Arial"/>
                <w:b/>
                <w:bCs/>
                <w:color w:val="000000"/>
                <w:szCs w:val="14"/>
              </w:rPr>
              <w:t>5.971.729</w:t>
            </w:r>
          </w:p>
        </w:tc>
      </w:tr>
      <w:tr w:rsidR="00C42353" w:rsidRPr="00CC0C15" w14:paraId="48913CEF" w14:textId="77777777" w:rsidTr="00522DA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24315674" w14:textId="77777777" w:rsidR="00C42353" w:rsidRPr="00F52A6C" w:rsidRDefault="00C42353" w:rsidP="000448B2">
            <w:pPr>
              <w:pStyle w:val="08-Tabelageral"/>
              <w:jc w:val="left"/>
              <w:rPr>
                <w:rFonts w:cs="Arial"/>
                <w:b w:val="0"/>
                <w:bCs w:val="0"/>
                <w:szCs w:val="14"/>
              </w:rPr>
            </w:pPr>
            <w:r w:rsidRPr="00F52A6C">
              <w:rPr>
                <w:rFonts w:cs="Arial"/>
                <w:b w:val="0"/>
                <w:bCs w:val="0"/>
                <w:szCs w:val="14"/>
              </w:rPr>
              <w:t>Dividendos/ JCP</w:t>
            </w:r>
          </w:p>
        </w:tc>
        <w:tc>
          <w:tcPr>
            <w:tcW w:w="2020" w:type="dxa"/>
            <w:vAlign w:val="center"/>
          </w:tcPr>
          <w:p w14:paraId="13CE76C3" w14:textId="77777777" w:rsidR="00C42353" w:rsidRPr="00F52A6C" w:rsidRDefault="00C42353" w:rsidP="000448B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Pr>
                <w:rFonts w:cs="Arial"/>
                <w:color w:val="000000"/>
                <w:sz w:val="14"/>
                <w:szCs w:val="14"/>
              </w:rPr>
              <w:t>(440.389)</w:t>
            </w:r>
          </w:p>
        </w:tc>
        <w:tc>
          <w:tcPr>
            <w:tcW w:w="1753" w:type="dxa"/>
            <w:vAlign w:val="center"/>
          </w:tcPr>
          <w:p w14:paraId="72AEC96A" w14:textId="77777777" w:rsidR="00C42353" w:rsidRPr="00F52A6C" w:rsidRDefault="00C42353" w:rsidP="000448B2">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color w:val="000000"/>
                <w:szCs w:val="14"/>
              </w:rPr>
              <w:t>(2.162.039)</w:t>
            </w:r>
          </w:p>
        </w:tc>
        <w:tc>
          <w:tcPr>
            <w:tcW w:w="1824" w:type="dxa"/>
            <w:vAlign w:val="center"/>
          </w:tcPr>
          <w:p w14:paraId="3671D8A7" w14:textId="77777777" w:rsidR="00C42353" w:rsidRPr="00F52A6C" w:rsidRDefault="00C42353" w:rsidP="000448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 xml:space="preserve">(2.602.428) </w:t>
            </w:r>
          </w:p>
        </w:tc>
      </w:tr>
      <w:tr w:rsidR="00C42353" w:rsidRPr="00C0254E" w14:paraId="60462FC9" w14:textId="77777777" w:rsidTr="001C1DD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FFFFFF" w:themeFill="background1"/>
            <w:vAlign w:val="center"/>
          </w:tcPr>
          <w:p w14:paraId="06DB747E" w14:textId="77777777" w:rsidR="00C42353" w:rsidRPr="00F52A6C" w:rsidRDefault="00C42353" w:rsidP="000448B2">
            <w:pPr>
              <w:pStyle w:val="08-Tabelageral"/>
              <w:jc w:val="left"/>
              <w:rPr>
                <w:b w:val="0"/>
                <w:color w:val="FF0000"/>
                <w:szCs w:val="14"/>
              </w:rPr>
            </w:pPr>
            <w:r w:rsidRPr="00F52A6C">
              <w:rPr>
                <w:rFonts w:cs="Arial"/>
                <w:b w:val="0"/>
                <w:szCs w:val="14"/>
              </w:rPr>
              <w:t>Ajustes de Avaliação Patrimonial</w:t>
            </w:r>
          </w:p>
        </w:tc>
        <w:tc>
          <w:tcPr>
            <w:tcW w:w="2020" w:type="dxa"/>
            <w:shd w:val="clear" w:color="auto" w:fill="FFFFFF" w:themeFill="background1"/>
            <w:vAlign w:val="center"/>
          </w:tcPr>
          <w:p w14:paraId="2C10CD2F" w14:textId="77777777" w:rsidR="00C42353" w:rsidRPr="00F52A6C" w:rsidRDefault="00C42353" w:rsidP="000448B2">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4"/>
                <w:szCs w:val="14"/>
              </w:rPr>
            </w:pPr>
            <w:r>
              <w:rPr>
                <w:rFonts w:cs="Arial"/>
                <w:color w:val="000000"/>
                <w:sz w:val="14"/>
                <w:szCs w:val="14"/>
              </w:rPr>
              <w:t xml:space="preserve">(171.346) </w:t>
            </w:r>
          </w:p>
        </w:tc>
        <w:tc>
          <w:tcPr>
            <w:tcW w:w="1753" w:type="dxa"/>
            <w:shd w:val="clear" w:color="auto" w:fill="FFFFFF" w:themeFill="background1"/>
            <w:vAlign w:val="center"/>
          </w:tcPr>
          <w:p w14:paraId="1B9C3B86" w14:textId="77777777" w:rsidR="00C42353" w:rsidRPr="00F52A6C" w:rsidRDefault="00C42353" w:rsidP="000448B2">
            <w:pPr>
              <w:pStyle w:val="08-Tabelageral"/>
              <w:cnfStyle w:val="000000010000" w:firstRow="0" w:lastRow="0" w:firstColumn="0" w:lastColumn="0" w:oddVBand="0" w:evenVBand="0" w:oddHBand="0" w:evenHBand="1" w:firstRowFirstColumn="0" w:firstRowLastColumn="0" w:lastRowFirstColumn="0" w:lastRowLastColumn="0"/>
              <w:rPr>
                <w:szCs w:val="14"/>
              </w:rPr>
            </w:pPr>
            <w:r>
              <w:rPr>
                <w:rFonts w:cs="Arial"/>
                <w:color w:val="000000"/>
                <w:szCs w:val="14"/>
              </w:rPr>
              <w:t>--</w:t>
            </w:r>
          </w:p>
        </w:tc>
        <w:tc>
          <w:tcPr>
            <w:tcW w:w="1824" w:type="dxa"/>
            <w:shd w:val="clear" w:color="auto" w:fill="FFFFFF" w:themeFill="background1"/>
            <w:vAlign w:val="center"/>
          </w:tcPr>
          <w:p w14:paraId="53A4470A" w14:textId="77777777" w:rsidR="00C42353" w:rsidRPr="00F52A6C" w:rsidRDefault="00C42353" w:rsidP="000448B2">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Pr>
                <w:rFonts w:cs="Arial"/>
                <w:b/>
                <w:bCs/>
                <w:color w:val="000000"/>
                <w:sz w:val="14"/>
                <w:szCs w:val="14"/>
              </w:rPr>
              <w:t>(171.346)</w:t>
            </w:r>
          </w:p>
        </w:tc>
      </w:tr>
      <w:tr w:rsidR="00C42353" w:rsidRPr="00C0254E" w14:paraId="38A40BE6" w14:textId="77777777" w:rsidTr="001C1DD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7FA41419" w14:textId="77777777" w:rsidR="00C42353" w:rsidRPr="00F52A6C" w:rsidRDefault="00C42353" w:rsidP="000448B2">
            <w:pPr>
              <w:pStyle w:val="08-Tabelageral"/>
              <w:jc w:val="left"/>
              <w:rPr>
                <w:rFonts w:cs="Arial"/>
                <w:szCs w:val="14"/>
              </w:rPr>
            </w:pPr>
            <w:r w:rsidRPr="000448B2">
              <w:rPr>
                <w:rFonts w:cs="Arial"/>
                <w:b w:val="0"/>
                <w:szCs w:val="14"/>
              </w:rPr>
              <w:t>Outros Eventos</w:t>
            </w:r>
          </w:p>
        </w:tc>
        <w:tc>
          <w:tcPr>
            <w:tcW w:w="2020" w:type="dxa"/>
            <w:vAlign w:val="center"/>
          </w:tcPr>
          <w:p w14:paraId="54A3FA5E" w14:textId="77777777" w:rsidR="00C42353" w:rsidRDefault="00C42353" w:rsidP="000448B2">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753" w:type="dxa"/>
            <w:vAlign w:val="center"/>
          </w:tcPr>
          <w:p w14:paraId="31C8C895" w14:textId="77777777" w:rsidR="00C42353" w:rsidRDefault="00C42353" w:rsidP="000448B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(40.899)</w:t>
            </w:r>
          </w:p>
        </w:tc>
        <w:tc>
          <w:tcPr>
            <w:tcW w:w="1824" w:type="dxa"/>
            <w:vAlign w:val="center"/>
          </w:tcPr>
          <w:p w14:paraId="7EC3CD33" w14:textId="77777777" w:rsidR="00C42353" w:rsidRDefault="00C42353" w:rsidP="000448B2">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(40.899)</w:t>
            </w:r>
          </w:p>
        </w:tc>
      </w:tr>
      <w:tr w:rsidR="00C42353" w:rsidRPr="00C0254E" w14:paraId="3AC972C3" w14:textId="77777777" w:rsidTr="000448B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08693F77" w14:textId="77777777" w:rsidR="00C42353" w:rsidRPr="00F52A6C" w:rsidRDefault="00C42353" w:rsidP="000448B2">
            <w:pPr>
              <w:rPr>
                <w:b w:val="0"/>
                <w:color w:val="FF0000"/>
                <w:sz w:val="14"/>
                <w:szCs w:val="14"/>
              </w:rPr>
            </w:pPr>
            <w:r w:rsidRPr="00F52A6C">
              <w:rPr>
                <w:rFonts w:cs="Arial"/>
                <w:b w:val="0"/>
                <w:sz w:val="14"/>
                <w:szCs w:val="14"/>
              </w:rPr>
              <w:t>Resultado de Equivalência Patrimonial</w:t>
            </w:r>
          </w:p>
        </w:tc>
        <w:tc>
          <w:tcPr>
            <w:tcW w:w="2020" w:type="dxa"/>
            <w:shd w:val="clear" w:color="auto" w:fill="auto"/>
            <w:vAlign w:val="center"/>
          </w:tcPr>
          <w:p w14:paraId="48B46197" w14:textId="77777777" w:rsidR="00C42353" w:rsidRPr="00F52A6C" w:rsidRDefault="00C42353" w:rsidP="000448B2">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4"/>
                <w:szCs w:val="14"/>
              </w:rPr>
            </w:pPr>
            <w:r>
              <w:rPr>
                <w:rFonts w:cs="Arial"/>
                <w:sz w:val="14"/>
                <w:szCs w:val="14"/>
              </w:rPr>
              <w:t>1.761.554</w:t>
            </w:r>
          </w:p>
        </w:tc>
        <w:tc>
          <w:tcPr>
            <w:tcW w:w="1753" w:type="dxa"/>
            <w:shd w:val="clear" w:color="auto" w:fill="auto"/>
            <w:vAlign w:val="center"/>
          </w:tcPr>
          <w:p w14:paraId="4B10C1E2" w14:textId="77777777" w:rsidR="00C42353" w:rsidRPr="00F52A6C" w:rsidRDefault="00C42353" w:rsidP="000448B2">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4"/>
                <w:szCs w:val="14"/>
              </w:rPr>
            </w:pPr>
            <w:r>
              <w:rPr>
                <w:rFonts w:cs="Arial"/>
                <w:sz w:val="14"/>
                <w:szCs w:val="14"/>
              </w:rPr>
              <w:t xml:space="preserve">2.162.039 </w:t>
            </w:r>
          </w:p>
        </w:tc>
        <w:tc>
          <w:tcPr>
            <w:tcW w:w="1824" w:type="dxa"/>
            <w:shd w:val="clear" w:color="auto" w:fill="auto"/>
            <w:vAlign w:val="center"/>
          </w:tcPr>
          <w:p w14:paraId="5CEAE7BF" w14:textId="77777777" w:rsidR="00C42353" w:rsidRPr="00F52A6C" w:rsidRDefault="00C42353" w:rsidP="000448B2">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Pr>
                <w:rFonts w:cs="Arial"/>
                <w:b/>
                <w:bCs/>
                <w:color w:val="000000"/>
                <w:sz w:val="14"/>
                <w:szCs w:val="14"/>
              </w:rPr>
              <w:t>3.923.593</w:t>
            </w:r>
          </w:p>
        </w:tc>
      </w:tr>
      <w:tr w:rsidR="00C42353" w:rsidRPr="00634FFE" w14:paraId="66530A8C" w14:textId="77777777" w:rsidTr="000448B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D447DA7" w14:textId="77777777" w:rsidR="00C42353" w:rsidRPr="00F52A6C" w:rsidRDefault="00C42353" w:rsidP="000448B2">
            <w:pPr>
              <w:pStyle w:val="08-Tabelageral"/>
              <w:jc w:val="left"/>
              <w:rPr>
                <w:bCs w:val="0"/>
                <w:color w:val="FF0000"/>
                <w:szCs w:val="14"/>
              </w:rPr>
            </w:pPr>
            <w:r w:rsidRPr="00F52A6C">
              <w:rPr>
                <w:rFonts w:cs="Arial"/>
                <w:bCs w:val="0"/>
                <w:szCs w:val="14"/>
              </w:rPr>
              <w:t>Saldo Contábil 3</w:t>
            </w:r>
            <w:r>
              <w:rPr>
                <w:rFonts w:cs="Arial"/>
                <w:bCs w:val="0"/>
                <w:szCs w:val="14"/>
              </w:rPr>
              <w:t>1</w:t>
            </w:r>
            <w:r w:rsidRPr="00F52A6C">
              <w:rPr>
                <w:rFonts w:cs="Arial"/>
                <w:bCs w:val="0"/>
                <w:szCs w:val="14"/>
              </w:rPr>
              <w:t>.</w:t>
            </w:r>
            <w:r>
              <w:rPr>
                <w:rFonts w:cs="Arial"/>
                <w:bCs w:val="0"/>
                <w:szCs w:val="14"/>
              </w:rPr>
              <w:t>12</w:t>
            </w:r>
            <w:r w:rsidRPr="00F52A6C">
              <w:rPr>
                <w:rFonts w:cs="Arial"/>
                <w:bCs w:val="0"/>
                <w:szCs w:val="14"/>
              </w:rPr>
              <w:t>.2021</w:t>
            </w:r>
          </w:p>
        </w:tc>
        <w:tc>
          <w:tcPr>
            <w:tcW w:w="2020" w:type="dxa"/>
            <w:shd w:val="clear" w:color="auto" w:fill="auto"/>
            <w:vAlign w:val="center"/>
          </w:tcPr>
          <w:p w14:paraId="27954F34" w14:textId="77777777" w:rsidR="00C42353" w:rsidRPr="00F52A6C" w:rsidRDefault="00C42353" w:rsidP="000448B2">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7.074.640</w:t>
            </w:r>
          </w:p>
        </w:tc>
        <w:tc>
          <w:tcPr>
            <w:tcW w:w="1753" w:type="dxa"/>
            <w:shd w:val="clear" w:color="auto" w:fill="auto"/>
            <w:vAlign w:val="center"/>
          </w:tcPr>
          <w:p w14:paraId="260C4812" w14:textId="77777777" w:rsidR="00C42353" w:rsidRPr="00F52A6C" w:rsidRDefault="00C42353" w:rsidP="000448B2">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6.009</w:t>
            </w:r>
          </w:p>
        </w:tc>
        <w:tc>
          <w:tcPr>
            <w:tcW w:w="1824" w:type="dxa"/>
            <w:shd w:val="clear" w:color="auto" w:fill="auto"/>
            <w:vAlign w:val="center"/>
          </w:tcPr>
          <w:p w14:paraId="4035ADA3" w14:textId="77777777" w:rsidR="00C42353" w:rsidRPr="00F52A6C" w:rsidRDefault="00C42353" w:rsidP="000448B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7.080.649</w:t>
            </w:r>
          </w:p>
        </w:tc>
      </w:tr>
      <w:tr w:rsidR="00C42353" w:rsidRPr="00C0254E" w14:paraId="27D3E1AE" w14:textId="77777777" w:rsidTr="000448B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1AC88FE0" w14:textId="77777777" w:rsidR="00C42353" w:rsidRPr="00F52A6C" w:rsidRDefault="00C42353" w:rsidP="00AE396B">
            <w:pPr>
              <w:pStyle w:val="08-Tabelageral"/>
              <w:jc w:val="left"/>
              <w:rPr>
                <w:color w:val="FF0000"/>
                <w:szCs w:val="14"/>
              </w:rPr>
            </w:pPr>
          </w:p>
        </w:tc>
        <w:tc>
          <w:tcPr>
            <w:tcW w:w="5597" w:type="dxa"/>
            <w:gridSpan w:val="3"/>
            <w:tcBorders>
              <w:bottom w:val="single" w:sz="2" w:space="0" w:color="1F4E79" w:themeColor="accent1" w:themeShade="80"/>
            </w:tcBorders>
            <w:shd w:val="clear" w:color="auto" w:fill="auto"/>
            <w:vAlign w:val="center"/>
          </w:tcPr>
          <w:p w14:paraId="1B445740" w14:textId="77777777" w:rsidR="00C42353" w:rsidRPr="00F52A6C" w:rsidRDefault="00C42353" w:rsidP="00AE396B">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r>
      <w:tr w:rsidR="00C42353" w:rsidRPr="00C0254E" w14:paraId="50B9E7D1" w14:textId="77777777" w:rsidTr="000448B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0685A93B" w14:textId="77777777" w:rsidR="00C42353" w:rsidRPr="00F52A6C" w:rsidRDefault="00C42353" w:rsidP="00522DAA">
            <w:pPr>
              <w:pStyle w:val="08-Tabelageral"/>
              <w:jc w:val="center"/>
              <w:rPr>
                <w:b w:val="0"/>
                <w:bCs w:val="0"/>
                <w:szCs w:val="14"/>
              </w:rPr>
            </w:pPr>
            <w:r w:rsidRPr="00F52A6C">
              <w:rPr>
                <w:color w:val="auto"/>
                <w:szCs w:val="14"/>
              </w:rPr>
              <w:t>Resultado de Equivalência Patrimonial</w:t>
            </w:r>
          </w:p>
        </w:tc>
      </w:tr>
      <w:tr w:rsidR="00C42353" w:rsidRPr="00634FFE" w14:paraId="53E7F1E4" w14:textId="77777777" w:rsidTr="000448B2">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06FF1D4A" w14:textId="77777777" w:rsidR="00C42353" w:rsidRPr="00F52A6C" w:rsidRDefault="00C42353" w:rsidP="00D86C2C">
            <w:pPr>
              <w:pStyle w:val="08-Tabelageral"/>
              <w:jc w:val="left"/>
              <w:rPr>
                <w:color w:val="auto"/>
                <w:szCs w:val="14"/>
              </w:rPr>
            </w:pPr>
            <w:bookmarkStart w:id="69" w:name="_Hlk60676302"/>
            <w:r>
              <w:rPr>
                <w:color w:val="auto"/>
                <w:szCs w:val="14"/>
              </w:rPr>
              <w:t>Exercício 2021</w:t>
            </w:r>
          </w:p>
        </w:tc>
        <w:tc>
          <w:tcPr>
            <w:tcW w:w="2020" w:type="dxa"/>
            <w:tcBorders>
              <w:top w:val="single" w:sz="2" w:space="0" w:color="1F4E79" w:themeColor="accent1" w:themeShade="80"/>
              <w:bottom w:val="nil"/>
            </w:tcBorders>
            <w:shd w:val="clear" w:color="auto" w:fill="auto"/>
            <w:vAlign w:val="center"/>
          </w:tcPr>
          <w:p w14:paraId="041343A1"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Pr>
                <w:rFonts w:cs="Arial"/>
                <w:b/>
                <w:bCs/>
                <w:color w:val="000000"/>
                <w:sz w:val="14"/>
                <w:szCs w:val="14"/>
              </w:rPr>
              <w:t xml:space="preserve">1.761.554 </w:t>
            </w:r>
          </w:p>
        </w:tc>
        <w:tc>
          <w:tcPr>
            <w:tcW w:w="1753" w:type="dxa"/>
            <w:tcBorders>
              <w:top w:val="single" w:sz="2" w:space="0" w:color="1F4E79" w:themeColor="accent1" w:themeShade="80"/>
              <w:bottom w:val="nil"/>
            </w:tcBorders>
            <w:shd w:val="clear" w:color="auto" w:fill="auto"/>
            <w:vAlign w:val="center"/>
          </w:tcPr>
          <w:p w14:paraId="72161D40"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Pr>
                <w:rFonts w:cs="Arial"/>
                <w:b/>
                <w:bCs/>
                <w:color w:val="000000"/>
                <w:sz w:val="14"/>
                <w:szCs w:val="14"/>
              </w:rPr>
              <w:t xml:space="preserve">2.162.039 </w:t>
            </w:r>
          </w:p>
        </w:tc>
        <w:tc>
          <w:tcPr>
            <w:tcW w:w="1824" w:type="dxa"/>
            <w:tcBorders>
              <w:top w:val="single" w:sz="2" w:space="0" w:color="1F4E79" w:themeColor="accent1" w:themeShade="80"/>
              <w:bottom w:val="nil"/>
            </w:tcBorders>
            <w:shd w:val="clear" w:color="auto" w:fill="auto"/>
            <w:vAlign w:val="center"/>
          </w:tcPr>
          <w:p w14:paraId="556D0F11"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Pr>
                <w:rFonts w:cs="Arial"/>
                <w:b/>
                <w:bCs/>
                <w:color w:val="000000"/>
                <w:sz w:val="14"/>
                <w:szCs w:val="14"/>
              </w:rPr>
              <w:t xml:space="preserve">3.923.593 </w:t>
            </w:r>
          </w:p>
        </w:tc>
      </w:tr>
      <w:bookmarkEnd w:id="69"/>
      <w:tr w:rsidR="00C42353" w:rsidRPr="00634FFE" w14:paraId="37B592B9" w14:textId="77777777" w:rsidTr="00F52A6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vAlign w:val="center"/>
          </w:tcPr>
          <w:p w14:paraId="04379531" w14:textId="77777777" w:rsidR="00C42353" w:rsidRPr="00F52A6C" w:rsidRDefault="00C42353" w:rsidP="000465C2">
            <w:pPr>
              <w:pStyle w:val="08-Tabelageral"/>
              <w:jc w:val="left"/>
              <w:rPr>
                <w:szCs w:val="14"/>
              </w:rPr>
            </w:pPr>
            <w:r>
              <w:rPr>
                <w:color w:val="auto"/>
                <w:szCs w:val="14"/>
              </w:rPr>
              <w:t>Exercício 2020</w:t>
            </w:r>
          </w:p>
        </w:tc>
        <w:tc>
          <w:tcPr>
            <w:tcW w:w="2020" w:type="dxa"/>
            <w:tcBorders>
              <w:top w:val="nil"/>
              <w:bottom w:val="single" w:sz="2" w:space="0" w:color="1F4E79" w:themeColor="accent1" w:themeShade="80"/>
            </w:tcBorders>
            <w:vAlign w:val="center"/>
          </w:tcPr>
          <w:p w14:paraId="636338B6" w14:textId="77777777" w:rsidR="00C42353" w:rsidRPr="00F52A6C" w:rsidRDefault="00C42353" w:rsidP="000465C2">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634FFE">
              <w:rPr>
                <w:rFonts w:cs="Arial"/>
                <w:b/>
                <w:bCs/>
                <w:color w:val="000000"/>
                <w:szCs w:val="14"/>
              </w:rPr>
              <w:t>1.864.279</w:t>
            </w:r>
          </w:p>
        </w:tc>
        <w:tc>
          <w:tcPr>
            <w:tcW w:w="1753" w:type="dxa"/>
            <w:tcBorders>
              <w:top w:val="nil"/>
              <w:bottom w:val="single" w:sz="2" w:space="0" w:color="1F4E79" w:themeColor="accent1" w:themeShade="80"/>
            </w:tcBorders>
            <w:vAlign w:val="center"/>
          </w:tcPr>
          <w:p w14:paraId="70839BFE" w14:textId="77777777" w:rsidR="00C42353" w:rsidRPr="00F52A6C" w:rsidRDefault="00C42353" w:rsidP="000465C2">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634FFE">
              <w:rPr>
                <w:rFonts w:cs="Arial"/>
                <w:b/>
                <w:bCs/>
                <w:color w:val="000000"/>
                <w:szCs w:val="14"/>
              </w:rPr>
              <w:t>1.969.105</w:t>
            </w:r>
          </w:p>
        </w:tc>
        <w:tc>
          <w:tcPr>
            <w:tcW w:w="1824" w:type="dxa"/>
            <w:tcBorders>
              <w:top w:val="nil"/>
              <w:bottom w:val="single" w:sz="2" w:space="0" w:color="1F4E79" w:themeColor="accent1" w:themeShade="80"/>
            </w:tcBorders>
            <w:vAlign w:val="center"/>
          </w:tcPr>
          <w:p w14:paraId="04046579" w14:textId="77777777" w:rsidR="00C42353" w:rsidRPr="00F52A6C" w:rsidRDefault="00C42353" w:rsidP="000465C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634FFE">
              <w:rPr>
                <w:rFonts w:cs="Arial"/>
                <w:b/>
                <w:bCs/>
                <w:color w:val="000000"/>
                <w:szCs w:val="14"/>
              </w:rPr>
              <w:t>3.833.384</w:t>
            </w:r>
          </w:p>
        </w:tc>
      </w:tr>
    </w:tbl>
    <w:p w14:paraId="4BCA8CC9" w14:textId="77777777" w:rsidR="00C42353" w:rsidRDefault="00C42353" w:rsidP="00ED7E0F">
      <w:pPr>
        <w:pStyle w:val="01-TtulodeNota"/>
        <w:spacing w:before="0" w:after="0"/>
        <w:ind w:right="-31"/>
        <w:jc w:val="right"/>
      </w:pPr>
    </w:p>
    <w:p w14:paraId="3487E319" w14:textId="77777777" w:rsidR="00C42353" w:rsidRPr="00B77F46" w:rsidRDefault="00C42353" w:rsidP="00C00279">
      <w:pPr>
        <w:pStyle w:val="01-TtulodeNota"/>
        <w:keepNext/>
        <w:keepLines/>
        <w:spacing w:before="0" w:after="0"/>
        <w:jc w:val="right"/>
        <w:rPr>
          <w:sz w:val="14"/>
          <w:szCs w:val="14"/>
        </w:rPr>
      </w:pPr>
      <w:r w:rsidRPr="00B77F46">
        <w:rPr>
          <w:sz w:val="14"/>
          <w:szCs w:val="14"/>
        </w:rPr>
        <w:t>R$ mil</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896"/>
        <w:gridCol w:w="1129"/>
        <w:gridCol w:w="1128"/>
        <w:gridCol w:w="1067"/>
        <w:gridCol w:w="1128"/>
        <w:gridCol w:w="1128"/>
        <w:gridCol w:w="1132"/>
        <w:gridCol w:w="31"/>
      </w:tblGrid>
      <w:tr w:rsidR="00C42353" w:rsidRPr="00544F81" w14:paraId="4C7FD05F" w14:textId="77777777" w:rsidTr="00F52A6C">
        <w:trPr>
          <w:gridAfter w:val="1"/>
          <w:cnfStyle w:val="100000000000" w:firstRow="1" w:lastRow="0" w:firstColumn="0" w:lastColumn="0" w:oddVBand="0" w:evenVBand="0" w:oddHBand="0"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bottom w:val="nil"/>
            </w:tcBorders>
            <w:shd w:val="clear" w:color="auto" w:fill="FFFFFF" w:themeFill="background1"/>
            <w:vAlign w:val="center"/>
          </w:tcPr>
          <w:p w14:paraId="5C1FF505" w14:textId="77777777" w:rsidR="00C42353" w:rsidRPr="00F52A6C" w:rsidRDefault="00C42353" w:rsidP="00E8748D">
            <w:pPr>
              <w:rPr>
                <w:rFonts w:cs="Arial"/>
                <w:color w:val="FF0000"/>
                <w:sz w:val="14"/>
                <w:szCs w:val="14"/>
              </w:rPr>
            </w:pPr>
          </w:p>
        </w:tc>
        <w:tc>
          <w:tcPr>
            <w:tcW w:w="112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5107B0D5"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28"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2F17CA6D"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67"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3EBD726B"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28"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04DB3CE7"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Consolidado</w:t>
            </w:r>
          </w:p>
        </w:tc>
        <w:tc>
          <w:tcPr>
            <w:tcW w:w="1128"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69BC2F13"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32"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366DED7" w14:textId="77777777" w:rsidR="00C42353" w:rsidRPr="00F52A6C" w:rsidRDefault="00C42353" w:rsidP="00E8748D">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r>
      <w:tr w:rsidR="00C42353" w:rsidRPr="00544F81" w14:paraId="600FF2A2" w14:textId="77777777" w:rsidTr="00F52A6C">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vAlign w:val="center"/>
          </w:tcPr>
          <w:p w14:paraId="5E69A680" w14:textId="77777777" w:rsidR="00C42353" w:rsidRPr="00F52A6C" w:rsidRDefault="00C42353" w:rsidP="00E8748D">
            <w:pPr>
              <w:rPr>
                <w:rFonts w:cs="Arial"/>
                <w:color w:val="FF0000"/>
                <w:sz w:val="14"/>
                <w:szCs w:val="14"/>
              </w:rPr>
            </w:pPr>
            <w:r w:rsidRPr="00F52A6C">
              <w:rPr>
                <w:rFonts w:cs="Arial"/>
                <w:color w:val="FF0000"/>
                <w:sz w:val="14"/>
                <w:szCs w:val="14"/>
              </w:rPr>
              <w:t xml:space="preserve"> </w:t>
            </w:r>
          </w:p>
        </w:tc>
        <w:tc>
          <w:tcPr>
            <w:tcW w:w="1129" w:type="dxa"/>
            <w:tcBorders>
              <w:top w:val="single" w:sz="2" w:space="0" w:color="1F4E79" w:themeColor="accent1" w:themeShade="80"/>
              <w:bottom w:val="single" w:sz="2" w:space="0" w:color="1F4E79" w:themeColor="accent1" w:themeShade="80"/>
            </w:tcBorders>
            <w:vAlign w:val="center"/>
          </w:tcPr>
          <w:p w14:paraId="16255C1D"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Mapfre</w:t>
            </w:r>
          </w:p>
        </w:tc>
        <w:tc>
          <w:tcPr>
            <w:tcW w:w="1128" w:type="dxa"/>
            <w:tcBorders>
              <w:top w:val="single" w:sz="2" w:space="0" w:color="1F4E79" w:themeColor="accent1" w:themeShade="80"/>
              <w:bottom w:val="single" w:sz="2" w:space="0" w:color="1F4E79" w:themeColor="accent1" w:themeShade="80"/>
            </w:tcBorders>
            <w:vAlign w:val="center"/>
          </w:tcPr>
          <w:p w14:paraId="324B6F52"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Brasilprev</w:t>
            </w:r>
          </w:p>
        </w:tc>
        <w:tc>
          <w:tcPr>
            <w:tcW w:w="1067" w:type="dxa"/>
            <w:tcBorders>
              <w:top w:val="single" w:sz="2" w:space="0" w:color="1F4E79" w:themeColor="accent1" w:themeShade="80"/>
              <w:bottom w:val="single" w:sz="2" w:space="0" w:color="1F4E79" w:themeColor="accent1" w:themeShade="80"/>
            </w:tcBorders>
            <w:vAlign w:val="center"/>
          </w:tcPr>
          <w:p w14:paraId="12FA6BC4"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Brasilcap</w:t>
            </w:r>
          </w:p>
        </w:tc>
        <w:tc>
          <w:tcPr>
            <w:tcW w:w="1128" w:type="dxa"/>
            <w:tcBorders>
              <w:top w:val="single" w:sz="2" w:space="0" w:color="1F4E79" w:themeColor="accent1" w:themeShade="80"/>
              <w:bottom w:val="single" w:sz="2" w:space="0" w:color="1F4E79" w:themeColor="accent1" w:themeShade="80"/>
            </w:tcBorders>
            <w:vAlign w:val="center"/>
          </w:tcPr>
          <w:p w14:paraId="2C0502EA"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Brasildental</w:t>
            </w:r>
          </w:p>
        </w:tc>
        <w:tc>
          <w:tcPr>
            <w:tcW w:w="1128" w:type="dxa"/>
            <w:tcBorders>
              <w:top w:val="single" w:sz="2" w:space="0" w:color="1F4E79" w:themeColor="accent1" w:themeShade="80"/>
              <w:bottom w:val="single" w:sz="2" w:space="0" w:color="1F4E79" w:themeColor="accent1" w:themeShade="80"/>
            </w:tcBorders>
            <w:vAlign w:val="center"/>
          </w:tcPr>
          <w:p w14:paraId="574D9423"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Ciclic</w:t>
            </w:r>
          </w:p>
        </w:tc>
        <w:tc>
          <w:tcPr>
            <w:tcW w:w="1132" w:type="dxa"/>
            <w:tcBorders>
              <w:top w:val="single" w:sz="2" w:space="0" w:color="1F4E79" w:themeColor="accent1" w:themeShade="80"/>
              <w:bottom w:val="single" w:sz="2" w:space="0" w:color="1F4E79" w:themeColor="accent1" w:themeShade="80"/>
            </w:tcBorders>
            <w:vAlign w:val="center"/>
          </w:tcPr>
          <w:p w14:paraId="5638E758" w14:textId="77777777" w:rsidR="00C42353" w:rsidRPr="00F52A6C" w:rsidRDefault="00C42353" w:rsidP="00E8748D">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C42353" w:rsidRPr="00FB2B7E" w14:paraId="39135A79" w14:textId="77777777" w:rsidTr="00F52A6C">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tcBorders>
            <w:shd w:val="clear" w:color="auto" w:fill="FFFFFF" w:themeFill="background1"/>
            <w:vAlign w:val="center"/>
          </w:tcPr>
          <w:p w14:paraId="5EDC1E9F" w14:textId="77777777" w:rsidR="00C42353" w:rsidRPr="00F52A6C" w:rsidRDefault="00C42353" w:rsidP="00272CE1">
            <w:pPr>
              <w:rPr>
                <w:rFonts w:cs="Arial"/>
                <w:b w:val="0"/>
                <w:bCs w:val="0"/>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12</w:t>
            </w:r>
            <w:r w:rsidRPr="00F52A6C">
              <w:rPr>
                <w:rFonts w:cs="Arial"/>
                <w:sz w:val="14"/>
                <w:szCs w:val="14"/>
              </w:rPr>
              <w:t>.2021</w:t>
            </w:r>
          </w:p>
        </w:tc>
        <w:tc>
          <w:tcPr>
            <w:tcW w:w="1129" w:type="dxa"/>
            <w:tcBorders>
              <w:top w:val="single" w:sz="2" w:space="0" w:color="1F4E79" w:themeColor="accent1" w:themeShade="80"/>
            </w:tcBorders>
            <w:shd w:val="clear" w:color="auto" w:fill="FFFFFF" w:themeFill="background1"/>
            <w:vAlign w:val="center"/>
          </w:tcPr>
          <w:p w14:paraId="3D8F9793" w14:textId="77777777" w:rsidR="00C42353" w:rsidRPr="00F52A6C" w:rsidRDefault="00C42353" w:rsidP="00134574">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p>
        </w:tc>
        <w:tc>
          <w:tcPr>
            <w:tcW w:w="1128" w:type="dxa"/>
            <w:tcBorders>
              <w:top w:val="single" w:sz="2" w:space="0" w:color="1F4E79" w:themeColor="accent1" w:themeShade="80"/>
            </w:tcBorders>
            <w:shd w:val="clear" w:color="auto" w:fill="FFFFFF" w:themeFill="background1"/>
            <w:vAlign w:val="center"/>
          </w:tcPr>
          <w:p w14:paraId="48B6A5C3" w14:textId="77777777" w:rsidR="00C42353" w:rsidRPr="00F52A6C" w:rsidRDefault="00C42353" w:rsidP="00272CE1">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067" w:type="dxa"/>
            <w:tcBorders>
              <w:top w:val="single" w:sz="2" w:space="0" w:color="1F4E79" w:themeColor="accent1" w:themeShade="80"/>
            </w:tcBorders>
            <w:shd w:val="clear" w:color="auto" w:fill="FFFFFF" w:themeFill="background1"/>
            <w:vAlign w:val="center"/>
          </w:tcPr>
          <w:p w14:paraId="22020EFF" w14:textId="77777777" w:rsidR="00C42353" w:rsidRPr="00F52A6C" w:rsidRDefault="00C42353" w:rsidP="00272CE1">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28" w:type="dxa"/>
            <w:tcBorders>
              <w:top w:val="single" w:sz="2" w:space="0" w:color="1F4E79" w:themeColor="accent1" w:themeShade="80"/>
            </w:tcBorders>
            <w:shd w:val="clear" w:color="auto" w:fill="FFFFFF" w:themeFill="background1"/>
            <w:vAlign w:val="center"/>
          </w:tcPr>
          <w:p w14:paraId="4406085B" w14:textId="77777777" w:rsidR="00C42353" w:rsidRPr="00F52A6C" w:rsidRDefault="00C42353" w:rsidP="00272CE1">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28" w:type="dxa"/>
            <w:tcBorders>
              <w:top w:val="single" w:sz="2" w:space="0" w:color="1F4E79" w:themeColor="accent1" w:themeShade="80"/>
            </w:tcBorders>
            <w:shd w:val="clear" w:color="auto" w:fill="FFFFFF" w:themeFill="background1"/>
            <w:vAlign w:val="center"/>
          </w:tcPr>
          <w:p w14:paraId="367B5BFB" w14:textId="77777777" w:rsidR="00C42353" w:rsidRPr="00F52A6C" w:rsidRDefault="00C42353" w:rsidP="00272CE1">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32" w:type="dxa"/>
            <w:tcBorders>
              <w:top w:val="single" w:sz="2" w:space="0" w:color="1F4E79" w:themeColor="accent1" w:themeShade="80"/>
            </w:tcBorders>
            <w:shd w:val="clear" w:color="auto" w:fill="FFFFFF" w:themeFill="background1"/>
            <w:vAlign w:val="center"/>
          </w:tcPr>
          <w:p w14:paraId="35848C9E" w14:textId="77777777" w:rsidR="00C42353" w:rsidRPr="00F52A6C" w:rsidRDefault="00C42353" w:rsidP="00272CE1">
            <w:pPr>
              <w:pStyle w:val="08-Tabelageral"/>
              <w:ind w:left="113"/>
              <w:cnfStyle w:val="000000010000" w:firstRow="0" w:lastRow="0" w:firstColumn="0" w:lastColumn="0" w:oddVBand="0" w:evenVBand="0" w:oddHBand="0" w:evenHBand="1" w:firstRowFirstColumn="0" w:firstRowLastColumn="0" w:lastRowFirstColumn="0" w:lastRowLastColumn="0"/>
              <w:rPr>
                <w:b/>
                <w:bCs/>
                <w:szCs w:val="14"/>
              </w:rPr>
            </w:pPr>
          </w:p>
        </w:tc>
      </w:tr>
      <w:tr w:rsidR="00C42353" w:rsidRPr="00FB2B7E" w14:paraId="6FB79F70"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36829BF7" w14:textId="77777777" w:rsidR="00C42353" w:rsidRPr="00F52A6C" w:rsidRDefault="00C42353" w:rsidP="00D86C2C">
            <w:pPr>
              <w:rPr>
                <w:b w:val="0"/>
                <w:bCs w:val="0"/>
                <w:color w:val="auto"/>
                <w:sz w:val="14"/>
                <w:szCs w:val="14"/>
              </w:rPr>
            </w:pPr>
            <w:r w:rsidRPr="00F52A6C">
              <w:rPr>
                <w:rFonts w:cs="Arial"/>
                <w:b w:val="0"/>
                <w:bCs w:val="0"/>
                <w:color w:val="auto"/>
                <w:sz w:val="14"/>
                <w:szCs w:val="14"/>
              </w:rPr>
              <w:t>Capital Social</w:t>
            </w:r>
          </w:p>
        </w:tc>
        <w:tc>
          <w:tcPr>
            <w:tcW w:w="1129" w:type="dxa"/>
            <w:vAlign w:val="center"/>
          </w:tcPr>
          <w:p w14:paraId="4BA61B8F"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128" w:type="dxa"/>
            <w:vAlign w:val="center"/>
          </w:tcPr>
          <w:p w14:paraId="3E7C2C11"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2.929.258</w:t>
            </w:r>
          </w:p>
        </w:tc>
        <w:tc>
          <w:tcPr>
            <w:tcW w:w="1067" w:type="dxa"/>
            <w:vAlign w:val="center"/>
          </w:tcPr>
          <w:p w14:paraId="3CB37054"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254.393</w:t>
            </w:r>
          </w:p>
        </w:tc>
        <w:tc>
          <w:tcPr>
            <w:tcW w:w="1128" w:type="dxa"/>
            <w:vAlign w:val="center"/>
          </w:tcPr>
          <w:p w14:paraId="4AE90C6C"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1128" w:type="dxa"/>
            <w:vAlign w:val="center"/>
          </w:tcPr>
          <w:p w14:paraId="698E7721"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132" w:type="dxa"/>
            <w:vAlign w:val="center"/>
          </w:tcPr>
          <w:p w14:paraId="197D1C69" w14:textId="77777777" w:rsidR="00C42353" w:rsidRPr="00F52A6C" w:rsidRDefault="00C42353" w:rsidP="00D86C2C">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C42353" w:rsidRPr="00FB2B7E" w14:paraId="1515962C" w14:textId="77777777" w:rsidTr="00522DAA">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726C8DD6" w14:textId="77777777" w:rsidR="00C42353" w:rsidRPr="00F52A6C" w:rsidRDefault="00C42353" w:rsidP="00D86C2C">
            <w:pPr>
              <w:rPr>
                <w:rFonts w:cs="Arial"/>
                <w:b w:val="0"/>
                <w:bCs w:val="0"/>
                <w:color w:val="auto"/>
                <w:sz w:val="14"/>
                <w:szCs w:val="14"/>
              </w:rPr>
            </w:pPr>
            <w:r w:rsidRPr="00F52A6C">
              <w:rPr>
                <w:rFonts w:cs="Arial"/>
                <w:b w:val="0"/>
                <w:bCs w:val="0"/>
                <w:color w:val="auto"/>
                <w:sz w:val="14"/>
                <w:szCs w:val="14"/>
              </w:rPr>
              <w:t>Patrimônio Líquido</w:t>
            </w:r>
          </w:p>
        </w:tc>
        <w:tc>
          <w:tcPr>
            <w:tcW w:w="1129" w:type="dxa"/>
            <w:shd w:val="clear" w:color="auto" w:fill="FFFFFF" w:themeFill="background1"/>
            <w:vAlign w:val="center"/>
          </w:tcPr>
          <w:p w14:paraId="498A3836"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2.436.424</w:t>
            </w:r>
          </w:p>
        </w:tc>
        <w:tc>
          <w:tcPr>
            <w:tcW w:w="1128" w:type="dxa"/>
            <w:shd w:val="clear" w:color="auto" w:fill="FFFFFF" w:themeFill="background1"/>
            <w:vAlign w:val="center"/>
          </w:tcPr>
          <w:p w14:paraId="569B57FE"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5.833.438</w:t>
            </w:r>
          </w:p>
        </w:tc>
        <w:tc>
          <w:tcPr>
            <w:tcW w:w="1067" w:type="dxa"/>
            <w:shd w:val="clear" w:color="auto" w:fill="FFFFFF" w:themeFill="background1"/>
            <w:vAlign w:val="center"/>
          </w:tcPr>
          <w:p w14:paraId="208B8617" w14:textId="77777777" w:rsidR="00C42353" w:rsidRPr="00D920B4" w:rsidRDefault="00C42353" w:rsidP="00D920B4">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4"/>
                <w:szCs w:val="14"/>
              </w:rPr>
            </w:pPr>
            <w:r>
              <w:rPr>
                <w:rFonts w:cs="Arial"/>
                <w:color w:val="000000"/>
                <w:sz w:val="14"/>
                <w:szCs w:val="14"/>
              </w:rPr>
              <w:t>474.965</w:t>
            </w:r>
          </w:p>
        </w:tc>
        <w:tc>
          <w:tcPr>
            <w:tcW w:w="1128" w:type="dxa"/>
            <w:shd w:val="clear" w:color="auto" w:fill="FFFFFF" w:themeFill="background1"/>
            <w:vAlign w:val="center"/>
          </w:tcPr>
          <w:p w14:paraId="23A3D987"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21.451</w:t>
            </w:r>
          </w:p>
        </w:tc>
        <w:tc>
          <w:tcPr>
            <w:tcW w:w="1128" w:type="dxa"/>
            <w:shd w:val="clear" w:color="auto" w:fill="FFFFFF" w:themeFill="background1"/>
            <w:vAlign w:val="center"/>
          </w:tcPr>
          <w:p w14:paraId="5FDCDA38"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2.466</w:t>
            </w:r>
          </w:p>
        </w:tc>
        <w:tc>
          <w:tcPr>
            <w:tcW w:w="1132" w:type="dxa"/>
            <w:shd w:val="clear" w:color="auto" w:fill="FFFFFF" w:themeFill="background1"/>
            <w:vAlign w:val="center"/>
          </w:tcPr>
          <w:p w14:paraId="36AC8FCE" w14:textId="77777777" w:rsidR="00C42353" w:rsidRPr="00F52A6C" w:rsidRDefault="00C42353" w:rsidP="00D86C2C">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Pr>
                <w:rFonts w:cs="Arial"/>
                <w:b/>
                <w:bCs/>
                <w:color w:val="000000"/>
                <w:szCs w:val="14"/>
              </w:rPr>
              <w:t>--</w:t>
            </w:r>
          </w:p>
        </w:tc>
      </w:tr>
      <w:tr w:rsidR="00C42353" w:rsidRPr="00FB2B7E" w14:paraId="5C519A22"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782EE2A2" w14:textId="77777777" w:rsidR="00C42353" w:rsidRPr="00F52A6C" w:rsidRDefault="00C42353" w:rsidP="00F96730">
            <w:pPr>
              <w:pStyle w:val="08-Tabelageral"/>
              <w:jc w:val="left"/>
              <w:rPr>
                <w:rFonts w:cs="Arial"/>
                <w:b w:val="0"/>
                <w:szCs w:val="14"/>
              </w:rPr>
            </w:pPr>
            <w:r w:rsidRPr="00F52A6C">
              <w:rPr>
                <w:rFonts w:cs="Arial"/>
                <w:szCs w:val="14"/>
              </w:rPr>
              <w:t>Saldo em 31.12.2020</w:t>
            </w:r>
          </w:p>
        </w:tc>
        <w:tc>
          <w:tcPr>
            <w:tcW w:w="1129" w:type="dxa"/>
            <w:vAlign w:val="center"/>
          </w:tcPr>
          <w:p w14:paraId="39B95A16"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vAlign w:val="center"/>
          </w:tcPr>
          <w:p w14:paraId="16C1D3F0"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067" w:type="dxa"/>
            <w:vAlign w:val="center"/>
          </w:tcPr>
          <w:p w14:paraId="24EC5EC7"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vAlign w:val="center"/>
          </w:tcPr>
          <w:p w14:paraId="1AFCC1CD"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vAlign w:val="center"/>
          </w:tcPr>
          <w:p w14:paraId="6DA39037"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32" w:type="dxa"/>
            <w:vAlign w:val="center"/>
          </w:tcPr>
          <w:p w14:paraId="36E07768"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r>
      <w:tr w:rsidR="00C42353" w:rsidRPr="00FB2B7E" w14:paraId="07D19EC6" w14:textId="77777777" w:rsidTr="008116ED">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419303E3" w14:textId="77777777" w:rsidR="00C42353" w:rsidRPr="00F52A6C" w:rsidRDefault="00C42353" w:rsidP="00F96730">
            <w:pPr>
              <w:pStyle w:val="08-Tabelageral"/>
              <w:jc w:val="left"/>
              <w:rPr>
                <w:rFonts w:cs="Arial"/>
                <w:b w:val="0"/>
                <w:szCs w:val="14"/>
              </w:rPr>
            </w:pPr>
            <w:r w:rsidRPr="00F52A6C">
              <w:rPr>
                <w:rFonts w:cs="Arial"/>
                <w:b w:val="0"/>
                <w:color w:val="auto"/>
                <w:szCs w:val="14"/>
              </w:rPr>
              <w:t>Capital Social</w:t>
            </w:r>
          </w:p>
        </w:tc>
        <w:tc>
          <w:tcPr>
            <w:tcW w:w="1129" w:type="dxa"/>
            <w:shd w:val="clear" w:color="auto" w:fill="FFFFFF" w:themeFill="background1"/>
            <w:vAlign w:val="center"/>
          </w:tcPr>
          <w:p w14:paraId="4008E6C5"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color w:val="auto"/>
                <w:sz w:val="14"/>
                <w:szCs w:val="14"/>
              </w:rPr>
              <w:t>1.469.848</w:t>
            </w:r>
          </w:p>
        </w:tc>
        <w:tc>
          <w:tcPr>
            <w:tcW w:w="1128" w:type="dxa"/>
            <w:shd w:val="clear" w:color="auto" w:fill="FFFFFF" w:themeFill="background1"/>
            <w:vAlign w:val="center"/>
          </w:tcPr>
          <w:p w14:paraId="3089DC19"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color w:val="auto"/>
                <w:sz w:val="14"/>
                <w:szCs w:val="14"/>
              </w:rPr>
              <w:t>1.418.669</w:t>
            </w:r>
          </w:p>
        </w:tc>
        <w:tc>
          <w:tcPr>
            <w:tcW w:w="1067" w:type="dxa"/>
            <w:shd w:val="clear" w:color="auto" w:fill="FFFFFF" w:themeFill="background1"/>
            <w:vAlign w:val="center"/>
          </w:tcPr>
          <w:p w14:paraId="33CD7E54"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color w:val="auto"/>
                <w:sz w:val="14"/>
                <w:szCs w:val="14"/>
              </w:rPr>
              <w:t>231.264</w:t>
            </w:r>
          </w:p>
        </w:tc>
        <w:tc>
          <w:tcPr>
            <w:tcW w:w="1128" w:type="dxa"/>
            <w:shd w:val="clear" w:color="auto" w:fill="FFFFFF" w:themeFill="background1"/>
            <w:vAlign w:val="center"/>
          </w:tcPr>
          <w:p w14:paraId="6D742EC9"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color w:val="auto"/>
                <w:sz w:val="14"/>
                <w:szCs w:val="14"/>
              </w:rPr>
              <w:t>9.500</w:t>
            </w:r>
          </w:p>
        </w:tc>
        <w:tc>
          <w:tcPr>
            <w:tcW w:w="1128" w:type="dxa"/>
            <w:shd w:val="clear" w:color="auto" w:fill="FFFFFF" w:themeFill="background1"/>
            <w:vAlign w:val="center"/>
          </w:tcPr>
          <w:p w14:paraId="1D33BFCB"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color w:val="auto"/>
                <w:sz w:val="14"/>
                <w:szCs w:val="14"/>
              </w:rPr>
              <w:t>61.133</w:t>
            </w:r>
          </w:p>
        </w:tc>
        <w:tc>
          <w:tcPr>
            <w:tcW w:w="1132" w:type="dxa"/>
            <w:shd w:val="clear" w:color="auto" w:fill="FFFFFF" w:themeFill="background1"/>
            <w:vAlign w:val="center"/>
          </w:tcPr>
          <w:p w14:paraId="6551A270"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C42353" w:rsidRPr="00FB2B7E" w14:paraId="5AD9B526"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0FC4BD9E" w14:textId="77777777" w:rsidR="00C42353" w:rsidRPr="00F52A6C" w:rsidRDefault="00C42353" w:rsidP="00F96730">
            <w:pPr>
              <w:pStyle w:val="08-Tabelageral"/>
              <w:jc w:val="left"/>
              <w:rPr>
                <w:rFonts w:cs="Arial"/>
                <w:b w:val="0"/>
                <w:szCs w:val="14"/>
              </w:rPr>
            </w:pPr>
            <w:r w:rsidRPr="00F52A6C">
              <w:rPr>
                <w:rFonts w:cs="Arial"/>
                <w:b w:val="0"/>
                <w:color w:val="auto"/>
                <w:szCs w:val="14"/>
              </w:rPr>
              <w:t>Patrimônio Líquido</w:t>
            </w:r>
          </w:p>
        </w:tc>
        <w:tc>
          <w:tcPr>
            <w:tcW w:w="1129" w:type="dxa"/>
            <w:vAlign w:val="center"/>
          </w:tcPr>
          <w:p w14:paraId="09AB05E8"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color w:val="auto"/>
                <w:sz w:val="14"/>
                <w:szCs w:val="14"/>
              </w:rPr>
              <w:t>2.294.376</w:t>
            </w:r>
          </w:p>
        </w:tc>
        <w:tc>
          <w:tcPr>
            <w:tcW w:w="1128" w:type="dxa"/>
            <w:vAlign w:val="center"/>
          </w:tcPr>
          <w:p w14:paraId="010E4EE8"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color w:val="auto"/>
                <w:sz w:val="14"/>
                <w:szCs w:val="14"/>
              </w:rPr>
              <w:t>4.328.467</w:t>
            </w:r>
          </w:p>
        </w:tc>
        <w:tc>
          <w:tcPr>
            <w:tcW w:w="1067" w:type="dxa"/>
            <w:vAlign w:val="center"/>
          </w:tcPr>
          <w:p w14:paraId="1CF5C18C"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color w:val="auto"/>
                <w:sz w:val="14"/>
                <w:szCs w:val="14"/>
              </w:rPr>
              <w:t>539.537</w:t>
            </w:r>
          </w:p>
        </w:tc>
        <w:tc>
          <w:tcPr>
            <w:tcW w:w="1128" w:type="dxa"/>
            <w:vAlign w:val="center"/>
          </w:tcPr>
          <w:p w14:paraId="1B0ED23B"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color w:val="auto"/>
                <w:sz w:val="14"/>
                <w:szCs w:val="14"/>
              </w:rPr>
              <w:t>20.775</w:t>
            </w:r>
          </w:p>
        </w:tc>
        <w:tc>
          <w:tcPr>
            <w:tcW w:w="1128" w:type="dxa"/>
            <w:vAlign w:val="center"/>
          </w:tcPr>
          <w:p w14:paraId="22A3F385"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color w:val="auto"/>
                <w:sz w:val="14"/>
                <w:szCs w:val="14"/>
              </w:rPr>
              <w:t>19.311</w:t>
            </w:r>
          </w:p>
        </w:tc>
        <w:tc>
          <w:tcPr>
            <w:tcW w:w="1132" w:type="dxa"/>
            <w:vAlign w:val="center"/>
          </w:tcPr>
          <w:p w14:paraId="06C1FB7E" w14:textId="77777777" w:rsidR="00C42353" w:rsidRPr="00F52A6C" w:rsidRDefault="00C42353" w:rsidP="00F96730">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C42353" w:rsidRPr="000F5532" w14:paraId="5940B07D" w14:textId="77777777" w:rsidTr="008116ED">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6D0766FB" w14:textId="77777777" w:rsidR="00C42353" w:rsidRPr="00F52A6C" w:rsidRDefault="00C42353" w:rsidP="00F96730">
            <w:pPr>
              <w:pStyle w:val="08-Tabelageral"/>
              <w:jc w:val="left"/>
              <w:rPr>
                <w:rFonts w:cs="Arial"/>
                <w:szCs w:val="14"/>
              </w:rPr>
            </w:pPr>
          </w:p>
        </w:tc>
        <w:tc>
          <w:tcPr>
            <w:tcW w:w="1129" w:type="dxa"/>
            <w:shd w:val="clear" w:color="auto" w:fill="FFFFFF" w:themeFill="background1"/>
            <w:vAlign w:val="center"/>
          </w:tcPr>
          <w:p w14:paraId="50068A31"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shd w:val="clear" w:color="auto" w:fill="FFFFFF" w:themeFill="background1"/>
            <w:vAlign w:val="center"/>
          </w:tcPr>
          <w:p w14:paraId="25F05FEE"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067" w:type="dxa"/>
            <w:shd w:val="clear" w:color="auto" w:fill="FFFFFF" w:themeFill="background1"/>
            <w:vAlign w:val="center"/>
          </w:tcPr>
          <w:p w14:paraId="119CF70B"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shd w:val="clear" w:color="auto" w:fill="FFFFFF" w:themeFill="background1"/>
            <w:vAlign w:val="center"/>
          </w:tcPr>
          <w:p w14:paraId="4DBE22B5"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28" w:type="dxa"/>
            <w:shd w:val="clear" w:color="auto" w:fill="FFFFFF" w:themeFill="background1"/>
            <w:vAlign w:val="center"/>
          </w:tcPr>
          <w:p w14:paraId="12465F0F"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32" w:type="dxa"/>
            <w:shd w:val="clear" w:color="auto" w:fill="FFFFFF" w:themeFill="background1"/>
            <w:vAlign w:val="center"/>
          </w:tcPr>
          <w:p w14:paraId="30B98C1B"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r>
      <w:tr w:rsidR="00C42353" w:rsidRPr="00C0254E" w14:paraId="4C816D3F" w14:textId="77777777" w:rsidTr="00F52A6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vAlign w:val="center"/>
          </w:tcPr>
          <w:p w14:paraId="21BF8C98" w14:textId="77777777" w:rsidR="00C42353" w:rsidRPr="00F52A6C" w:rsidRDefault="00C42353" w:rsidP="00BB5C03">
            <w:pPr>
              <w:pStyle w:val="08-Tabelageral"/>
              <w:jc w:val="center"/>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12</w:t>
            </w:r>
            <w:r w:rsidRPr="00F52A6C">
              <w:rPr>
                <w:rFonts w:cs="Arial"/>
                <w:color w:val="auto"/>
                <w:szCs w:val="14"/>
              </w:rPr>
              <w:t>.2021</w:t>
            </w:r>
          </w:p>
        </w:tc>
      </w:tr>
      <w:tr w:rsidR="00C42353" w:rsidRPr="000F5532" w14:paraId="03AA6B43" w14:textId="77777777" w:rsidTr="008116ED">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1C48F569" w14:textId="77777777" w:rsidR="00C42353" w:rsidRPr="00F52A6C" w:rsidRDefault="00C42353" w:rsidP="00F96730">
            <w:pPr>
              <w:pStyle w:val="08-Tabelageral"/>
              <w:jc w:val="left"/>
              <w:rPr>
                <w:color w:val="FF0000"/>
                <w:szCs w:val="14"/>
              </w:rPr>
            </w:pPr>
            <w:r w:rsidRPr="00F52A6C">
              <w:rPr>
                <w:rFonts w:cs="Arial"/>
                <w:szCs w:val="14"/>
              </w:rPr>
              <w:t>Saldo Contábil 31.12.2020</w:t>
            </w:r>
          </w:p>
        </w:tc>
        <w:tc>
          <w:tcPr>
            <w:tcW w:w="1129" w:type="dxa"/>
            <w:shd w:val="clear" w:color="auto" w:fill="FFFFFF" w:themeFill="background1"/>
            <w:vAlign w:val="center"/>
          </w:tcPr>
          <w:p w14:paraId="35FB89B9"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2.245.714</w:t>
            </w:r>
          </w:p>
        </w:tc>
        <w:tc>
          <w:tcPr>
            <w:tcW w:w="1128" w:type="dxa"/>
            <w:shd w:val="clear" w:color="auto" w:fill="FFFFFF" w:themeFill="background1"/>
            <w:vAlign w:val="center"/>
          </w:tcPr>
          <w:p w14:paraId="0DDF4A1D"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3.338.239</w:t>
            </w:r>
          </w:p>
        </w:tc>
        <w:tc>
          <w:tcPr>
            <w:tcW w:w="1067" w:type="dxa"/>
            <w:shd w:val="clear" w:color="auto" w:fill="FFFFFF" w:themeFill="background1"/>
            <w:vAlign w:val="center"/>
          </w:tcPr>
          <w:p w14:paraId="4A2AEE16"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470.327</w:t>
            </w:r>
          </w:p>
        </w:tc>
        <w:tc>
          <w:tcPr>
            <w:tcW w:w="1128" w:type="dxa"/>
            <w:shd w:val="clear" w:color="auto" w:fill="FFFFFF" w:themeFill="background1"/>
            <w:vAlign w:val="center"/>
          </w:tcPr>
          <w:p w14:paraId="6BFC9AA1"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15.582</w:t>
            </w:r>
          </w:p>
        </w:tc>
        <w:tc>
          <w:tcPr>
            <w:tcW w:w="1128" w:type="dxa"/>
            <w:shd w:val="clear" w:color="auto" w:fill="FFFFFF" w:themeFill="background1"/>
            <w:vAlign w:val="center"/>
          </w:tcPr>
          <w:p w14:paraId="54C50E1E"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F52A6C">
              <w:rPr>
                <w:rFonts w:cs="Arial"/>
                <w:b/>
                <w:bCs/>
                <w:color w:val="auto"/>
                <w:sz w:val="14"/>
                <w:szCs w:val="14"/>
              </w:rPr>
              <w:t>14.483</w:t>
            </w:r>
          </w:p>
        </w:tc>
        <w:tc>
          <w:tcPr>
            <w:tcW w:w="1132" w:type="dxa"/>
            <w:shd w:val="clear" w:color="auto" w:fill="FFFFFF" w:themeFill="background1"/>
            <w:vAlign w:val="center"/>
          </w:tcPr>
          <w:p w14:paraId="26BB8A03" w14:textId="77777777" w:rsidR="00C42353" w:rsidRPr="009C42F2" w:rsidRDefault="00C42353" w:rsidP="00F96730">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9C42F2">
              <w:rPr>
                <w:rFonts w:cs="Arial"/>
                <w:b/>
                <w:bCs/>
                <w:color w:val="auto"/>
                <w:sz w:val="14"/>
                <w:szCs w:val="14"/>
              </w:rPr>
              <w:t>6.084.345</w:t>
            </w:r>
          </w:p>
        </w:tc>
      </w:tr>
      <w:tr w:rsidR="00C42353" w:rsidRPr="00C0254E" w14:paraId="42C95C03"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3BE19878" w14:textId="77777777" w:rsidR="00C42353" w:rsidRPr="00F52A6C" w:rsidRDefault="00C42353" w:rsidP="00D86C2C">
            <w:pPr>
              <w:rPr>
                <w:b w:val="0"/>
                <w:color w:val="FF0000"/>
                <w:sz w:val="14"/>
                <w:szCs w:val="14"/>
              </w:rPr>
            </w:pPr>
            <w:r w:rsidRPr="00F52A6C">
              <w:rPr>
                <w:rFonts w:cs="Arial"/>
                <w:b w:val="0"/>
                <w:sz w:val="14"/>
                <w:szCs w:val="14"/>
              </w:rPr>
              <w:t>Dividendos/JCP</w:t>
            </w:r>
          </w:p>
        </w:tc>
        <w:tc>
          <w:tcPr>
            <w:tcW w:w="1129" w:type="dxa"/>
            <w:vAlign w:val="center"/>
          </w:tcPr>
          <w:p w14:paraId="58A31719"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(897.034)</w:t>
            </w:r>
          </w:p>
        </w:tc>
        <w:tc>
          <w:tcPr>
            <w:tcW w:w="1128" w:type="dxa"/>
            <w:vAlign w:val="center"/>
          </w:tcPr>
          <w:p w14:paraId="03B9FC51" w14:textId="77777777" w:rsidR="00C42353" w:rsidRPr="00F52A6C" w:rsidRDefault="00C42353" w:rsidP="00D86C2C">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 xml:space="preserve">(189.137) </w:t>
            </w:r>
          </w:p>
        </w:tc>
        <w:tc>
          <w:tcPr>
            <w:tcW w:w="1067" w:type="dxa"/>
            <w:vAlign w:val="center"/>
          </w:tcPr>
          <w:p w14:paraId="111167ED" w14:textId="77777777" w:rsidR="00C42353" w:rsidRPr="00F52A6C" w:rsidRDefault="00C42353" w:rsidP="00D86C2C">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(19.998)</w:t>
            </w:r>
          </w:p>
        </w:tc>
        <w:tc>
          <w:tcPr>
            <w:tcW w:w="1128" w:type="dxa"/>
            <w:vAlign w:val="center"/>
          </w:tcPr>
          <w:p w14:paraId="63CCA0EC" w14:textId="77777777" w:rsidR="00C42353" w:rsidRPr="00F52A6C" w:rsidRDefault="00C42353" w:rsidP="00D86C2C">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(16.577)</w:t>
            </w:r>
          </w:p>
        </w:tc>
        <w:tc>
          <w:tcPr>
            <w:tcW w:w="1128" w:type="dxa"/>
            <w:vAlign w:val="center"/>
          </w:tcPr>
          <w:p w14:paraId="3C4675EB" w14:textId="77777777" w:rsidR="00C42353" w:rsidRPr="00F52A6C" w:rsidRDefault="00C42353" w:rsidP="0015546A">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w:t>
            </w:r>
          </w:p>
        </w:tc>
        <w:tc>
          <w:tcPr>
            <w:tcW w:w="1132" w:type="dxa"/>
            <w:vAlign w:val="center"/>
          </w:tcPr>
          <w:p w14:paraId="76269FB2" w14:textId="77777777" w:rsidR="00C42353" w:rsidRPr="009C42F2" w:rsidRDefault="00C42353" w:rsidP="00D86C2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9C42F2">
              <w:rPr>
                <w:rFonts w:cs="Arial"/>
                <w:b/>
                <w:bCs/>
                <w:color w:val="000000"/>
                <w:szCs w:val="14"/>
              </w:rPr>
              <w:t>(1.122.746)</w:t>
            </w:r>
          </w:p>
        </w:tc>
      </w:tr>
      <w:tr w:rsidR="00C42353" w:rsidRPr="00C0254E" w14:paraId="0940E877" w14:textId="77777777" w:rsidTr="008116ED">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41DBABBE" w14:textId="77777777" w:rsidR="00C42353" w:rsidRPr="00F52A6C" w:rsidRDefault="00C42353" w:rsidP="00D86C2C">
            <w:pPr>
              <w:pStyle w:val="08-Tabelageral"/>
              <w:jc w:val="left"/>
              <w:rPr>
                <w:b w:val="0"/>
                <w:color w:val="FF0000"/>
                <w:szCs w:val="14"/>
              </w:rPr>
            </w:pPr>
            <w:r w:rsidRPr="00F52A6C">
              <w:rPr>
                <w:rFonts w:cs="Arial"/>
                <w:b w:val="0"/>
                <w:szCs w:val="14"/>
              </w:rPr>
              <w:t>Ajustes de Avaliação Patrimonial</w:t>
            </w:r>
          </w:p>
        </w:tc>
        <w:tc>
          <w:tcPr>
            <w:tcW w:w="1129" w:type="dxa"/>
            <w:shd w:val="clear" w:color="auto" w:fill="FFFFFF" w:themeFill="background1"/>
            <w:vAlign w:val="center"/>
          </w:tcPr>
          <w:p w14:paraId="23586AE5"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(78.614)</w:t>
            </w:r>
          </w:p>
        </w:tc>
        <w:tc>
          <w:tcPr>
            <w:tcW w:w="1128" w:type="dxa"/>
            <w:shd w:val="clear" w:color="auto" w:fill="FFFFFF" w:themeFill="background1"/>
            <w:vAlign w:val="center"/>
          </w:tcPr>
          <w:p w14:paraId="1209A8FD"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(1.238)</w:t>
            </w:r>
          </w:p>
        </w:tc>
        <w:tc>
          <w:tcPr>
            <w:tcW w:w="1067" w:type="dxa"/>
            <w:shd w:val="clear" w:color="auto" w:fill="FFFFFF" w:themeFill="background1"/>
            <w:vAlign w:val="center"/>
          </w:tcPr>
          <w:p w14:paraId="17A4A491"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(91.494)</w:t>
            </w:r>
          </w:p>
        </w:tc>
        <w:tc>
          <w:tcPr>
            <w:tcW w:w="1128" w:type="dxa"/>
            <w:shd w:val="clear" w:color="auto" w:fill="FFFFFF" w:themeFill="background1"/>
            <w:vAlign w:val="center"/>
          </w:tcPr>
          <w:p w14:paraId="2249FA10" w14:textId="77777777" w:rsidR="00C42353" w:rsidRPr="00F52A6C" w:rsidRDefault="00C42353" w:rsidP="0015546A">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w:t>
            </w:r>
          </w:p>
        </w:tc>
        <w:tc>
          <w:tcPr>
            <w:tcW w:w="1128" w:type="dxa"/>
            <w:shd w:val="clear" w:color="auto" w:fill="FFFFFF" w:themeFill="background1"/>
            <w:vAlign w:val="center"/>
          </w:tcPr>
          <w:p w14:paraId="0B0AF1D0" w14:textId="77777777" w:rsidR="00C42353" w:rsidRPr="00F52A6C" w:rsidRDefault="00C42353" w:rsidP="00D86C2C">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w:t>
            </w:r>
          </w:p>
        </w:tc>
        <w:tc>
          <w:tcPr>
            <w:tcW w:w="1132" w:type="dxa"/>
            <w:shd w:val="clear" w:color="auto" w:fill="FFFFFF" w:themeFill="background1"/>
            <w:vAlign w:val="center"/>
          </w:tcPr>
          <w:p w14:paraId="3DEB5C4E" w14:textId="77777777" w:rsidR="00C42353" w:rsidRPr="009C42F2" w:rsidRDefault="00C42353" w:rsidP="00D86C2C">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9C42F2">
              <w:rPr>
                <w:rFonts w:cs="Arial"/>
                <w:b/>
                <w:color w:val="000000"/>
                <w:sz w:val="14"/>
                <w:szCs w:val="14"/>
              </w:rPr>
              <w:t>(171.346)</w:t>
            </w:r>
          </w:p>
        </w:tc>
      </w:tr>
      <w:tr w:rsidR="00C42353" w:rsidRPr="00C0254E" w14:paraId="2DD849B9"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1A22E5B0" w14:textId="77777777" w:rsidR="00C42353" w:rsidRPr="00F52A6C" w:rsidRDefault="00C42353" w:rsidP="00D86C2C">
            <w:pPr>
              <w:rPr>
                <w:rFonts w:cs="Arial"/>
                <w:b w:val="0"/>
                <w:bCs w:val="0"/>
                <w:sz w:val="14"/>
                <w:szCs w:val="14"/>
              </w:rPr>
            </w:pPr>
            <w:r w:rsidRPr="00F52A6C">
              <w:rPr>
                <w:rFonts w:cs="Arial"/>
                <w:b w:val="0"/>
                <w:bCs w:val="0"/>
                <w:sz w:val="14"/>
                <w:szCs w:val="14"/>
              </w:rPr>
              <w:t>Outros Eventos</w:t>
            </w:r>
          </w:p>
        </w:tc>
        <w:tc>
          <w:tcPr>
            <w:tcW w:w="1129" w:type="dxa"/>
            <w:vAlign w:val="center"/>
          </w:tcPr>
          <w:p w14:paraId="47D25D37"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Pr>
                <w:rFonts w:cs="Arial"/>
                <w:color w:val="000000"/>
                <w:sz w:val="14"/>
                <w:szCs w:val="14"/>
              </w:rPr>
              <w:t>--</w:t>
            </w:r>
          </w:p>
        </w:tc>
        <w:tc>
          <w:tcPr>
            <w:tcW w:w="1128" w:type="dxa"/>
            <w:vAlign w:val="center"/>
          </w:tcPr>
          <w:p w14:paraId="6C4EDD5F"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 xml:space="preserve">449.969 </w:t>
            </w:r>
          </w:p>
        </w:tc>
        <w:tc>
          <w:tcPr>
            <w:tcW w:w="1067" w:type="dxa"/>
            <w:vAlign w:val="center"/>
          </w:tcPr>
          <w:p w14:paraId="288F6FE9"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 xml:space="preserve">66.664 </w:t>
            </w:r>
          </w:p>
        </w:tc>
        <w:tc>
          <w:tcPr>
            <w:tcW w:w="1128" w:type="dxa"/>
            <w:vAlign w:val="center"/>
          </w:tcPr>
          <w:p w14:paraId="21C514CA"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w:t>
            </w:r>
          </w:p>
        </w:tc>
        <w:tc>
          <w:tcPr>
            <w:tcW w:w="1128" w:type="dxa"/>
            <w:vAlign w:val="center"/>
          </w:tcPr>
          <w:p w14:paraId="20BB4660" w14:textId="77777777" w:rsidR="00C42353" w:rsidRPr="00F52A6C" w:rsidRDefault="00C42353" w:rsidP="00D86C2C">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w:t>
            </w:r>
          </w:p>
        </w:tc>
        <w:tc>
          <w:tcPr>
            <w:tcW w:w="1132" w:type="dxa"/>
            <w:vAlign w:val="center"/>
          </w:tcPr>
          <w:p w14:paraId="4B87A52B"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9C42F2">
              <w:rPr>
                <w:rFonts w:cs="Arial"/>
                <w:b/>
                <w:bCs/>
                <w:color w:val="000000"/>
                <w:sz w:val="14"/>
                <w:szCs w:val="14"/>
              </w:rPr>
              <w:t>516.633</w:t>
            </w:r>
          </w:p>
        </w:tc>
      </w:tr>
      <w:tr w:rsidR="00C42353" w:rsidRPr="00C0254E" w14:paraId="4B93A6BE" w14:textId="77777777" w:rsidTr="00701167">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5D9115A6" w14:textId="77777777" w:rsidR="00C42353" w:rsidRPr="00F52A6C" w:rsidRDefault="00C42353" w:rsidP="00D86C2C">
            <w:pPr>
              <w:rPr>
                <w:b w:val="0"/>
                <w:color w:val="FF0000"/>
                <w:sz w:val="14"/>
                <w:szCs w:val="14"/>
              </w:rPr>
            </w:pPr>
            <w:r w:rsidRPr="00F52A6C">
              <w:rPr>
                <w:rFonts w:cs="Arial"/>
                <w:b w:val="0"/>
                <w:sz w:val="14"/>
                <w:szCs w:val="14"/>
              </w:rPr>
              <w:t>Resultado de Equivalência Patrimonial</w:t>
            </w:r>
          </w:p>
        </w:tc>
        <w:tc>
          <w:tcPr>
            <w:tcW w:w="1129" w:type="dxa"/>
            <w:shd w:val="clear" w:color="auto" w:fill="FFFFFF" w:themeFill="background1"/>
            <w:vAlign w:val="center"/>
          </w:tcPr>
          <w:p w14:paraId="21F85A2C"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1.067.020</w:t>
            </w:r>
          </w:p>
        </w:tc>
        <w:tc>
          <w:tcPr>
            <w:tcW w:w="1128" w:type="dxa"/>
            <w:shd w:val="clear" w:color="auto" w:fill="FFFFFF" w:themeFill="background1"/>
            <w:vAlign w:val="center"/>
          </w:tcPr>
          <w:p w14:paraId="4FA80DCB"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756.544</w:t>
            </w:r>
          </w:p>
        </w:tc>
        <w:tc>
          <w:tcPr>
            <w:tcW w:w="1067" w:type="dxa"/>
            <w:shd w:val="clear" w:color="auto" w:fill="FFFFFF" w:themeFill="background1"/>
            <w:vAlign w:val="center"/>
          </w:tcPr>
          <w:p w14:paraId="7D260D58"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2.341</w:t>
            </w:r>
          </w:p>
        </w:tc>
        <w:tc>
          <w:tcPr>
            <w:tcW w:w="1128" w:type="dxa"/>
            <w:shd w:val="clear" w:color="auto" w:fill="FFFFFF" w:themeFill="background1"/>
            <w:vAlign w:val="center"/>
          </w:tcPr>
          <w:p w14:paraId="37DAD8B0"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 xml:space="preserve">17.083 </w:t>
            </w:r>
          </w:p>
        </w:tc>
        <w:tc>
          <w:tcPr>
            <w:tcW w:w="1128" w:type="dxa"/>
            <w:shd w:val="clear" w:color="auto" w:fill="FFFFFF" w:themeFill="background1"/>
            <w:vAlign w:val="center"/>
          </w:tcPr>
          <w:p w14:paraId="61B7AB2E" w14:textId="77777777" w:rsidR="00C42353" w:rsidRPr="00F52A6C" w:rsidRDefault="00C42353" w:rsidP="00D86C2C">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(12.633)</w:t>
            </w:r>
          </w:p>
        </w:tc>
        <w:tc>
          <w:tcPr>
            <w:tcW w:w="1132" w:type="dxa"/>
            <w:shd w:val="clear" w:color="auto" w:fill="FFFFFF" w:themeFill="background1"/>
            <w:vAlign w:val="center"/>
          </w:tcPr>
          <w:p w14:paraId="5E2EFC58" w14:textId="77777777" w:rsidR="00C42353" w:rsidRPr="009C42F2" w:rsidRDefault="00C42353" w:rsidP="00D86C2C">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9C42F2">
              <w:rPr>
                <w:rFonts w:cs="Arial"/>
                <w:b/>
                <w:bCs/>
                <w:color w:val="000000"/>
                <w:sz w:val="14"/>
                <w:szCs w:val="14"/>
              </w:rPr>
              <w:t>1.830.355</w:t>
            </w:r>
          </w:p>
        </w:tc>
      </w:tr>
      <w:tr w:rsidR="00C42353" w:rsidRPr="00FE64D2" w14:paraId="6CA2C4E5" w14:textId="77777777" w:rsidTr="00522DAA">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7A709AA4" w14:textId="77777777" w:rsidR="00C42353" w:rsidRPr="00F52A6C" w:rsidRDefault="00C42353" w:rsidP="00D86C2C">
            <w:pPr>
              <w:pStyle w:val="08-Tabelageral"/>
              <w:jc w:val="left"/>
              <w:rPr>
                <w:bCs w:val="0"/>
                <w:color w:val="FF0000"/>
                <w:szCs w:val="14"/>
              </w:rPr>
            </w:pPr>
            <w:r w:rsidRPr="00F52A6C">
              <w:rPr>
                <w:rFonts w:cs="Arial"/>
                <w:bCs w:val="0"/>
                <w:szCs w:val="14"/>
              </w:rPr>
              <w:t>Saldo Contábil 3</w:t>
            </w:r>
            <w:r>
              <w:rPr>
                <w:rFonts w:cs="Arial"/>
                <w:bCs w:val="0"/>
                <w:szCs w:val="14"/>
              </w:rPr>
              <w:t>1</w:t>
            </w:r>
            <w:r w:rsidRPr="00F52A6C">
              <w:rPr>
                <w:rFonts w:cs="Arial"/>
                <w:bCs w:val="0"/>
                <w:szCs w:val="14"/>
              </w:rPr>
              <w:t>.</w:t>
            </w:r>
            <w:r>
              <w:rPr>
                <w:rFonts w:cs="Arial"/>
                <w:bCs w:val="0"/>
                <w:szCs w:val="14"/>
              </w:rPr>
              <w:t>12</w:t>
            </w:r>
            <w:r w:rsidRPr="00F52A6C">
              <w:rPr>
                <w:rFonts w:cs="Arial"/>
                <w:bCs w:val="0"/>
                <w:szCs w:val="14"/>
              </w:rPr>
              <w:t>.2021</w:t>
            </w:r>
          </w:p>
        </w:tc>
        <w:tc>
          <w:tcPr>
            <w:tcW w:w="1129" w:type="dxa"/>
            <w:vAlign w:val="center"/>
          </w:tcPr>
          <w:p w14:paraId="4CE97AB1"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14"/>
                <w:szCs w:val="14"/>
              </w:rPr>
            </w:pPr>
            <w:r w:rsidRPr="009C42F2">
              <w:rPr>
                <w:rFonts w:cs="Arial"/>
                <w:b/>
                <w:bCs/>
                <w:color w:val="000000"/>
                <w:sz w:val="14"/>
                <w:szCs w:val="14"/>
              </w:rPr>
              <w:t>2.337.086</w:t>
            </w:r>
          </w:p>
        </w:tc>
        <w:tc>
          <w:tcPr>
            <w:tcW w:w="1128" w:type="dxa"/>
            <w:vAlign w:val="center"/>
          </w:tcPr>
          <w:p w14:paraId="3414AE8B"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sidRPr="009C42F2">
              <w:rPr>
                <w:rFonts w:cs="Arial"/>
                <w:b/>
                <w:bCs/>
                <w:color w:val="000000"/>
                <w:sz w:val="14"/>
                <w:szCs w:val="14"/>
              </w:rPr>
              <w:t>4.354.377</w:t>
            </w:r>
          </w:p>
        </w:tc>
        <w:tc>
          <w:tcPr>
            <w:tcW w:w="1067" w:type="dxa"/>
            <w:vAlign w:val="center"/>
          </w:tcPr>
          <w:p w14:paraId="1878E6F6"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sidRPr="009C42F2">
              <w:rPr>
                <w:rFonts w:cs="Arial"/>
                <w:b/>
                <w:bCs/>
                <w:color w:val="000000"/>
                <w:sz w:val="14"/>
                <w:szCs w:val="14"/>
              </w:rPr>
              <w:t>427.840</w:t>
            </w:r>
          </w:p>
        </w:tc>
        <w:tc>
          <w:tcPr>
            <w:tcW w:w="1128" w:type="dxa"/>
            <w:vAlign w:val="center"/>
          </w:tcPr>
          <w:p w14:paraId="71412463"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sidRPr="009C42F2">
              <w:rPr>
                <w:rFonts w:cs="Arial"/>
                <w:b/>
                <w:bCs/>
                <w:color w:val="000000"/>
                <w:sz w:val="14"/>
                <w:szCs w:val="14"/>
              </w:rPr>
              <w:t>16.088</w:t>
            </w:r>
          </w:p>
        </w:tc>
        <w:tc>
          <w:tcPr>
            <w:tcW w:w="1128" w:type="dxa"/>
            <w:vAlign w:val="center"/>
          </w:tcPr>
          <w:p w14:paraId="6B1DCC91"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sidRPr="009C42F2">
              <w:rPr>
                <w:rFonts w:cs="Arial"/>
                <w:b/>
                <w:color w:val="000000"/>
                <w:sz w:val="14"/>
                <w:szCs w:val="14"/>
              </w:rPr>
              <w:t>1.850</w:t>
            </w:r>
          </w:p>
        </w:tc>
        <w:tc>
          <w:tcPr>
            <w:tcW w:w="1132" w:type="dxa"/>
            <w:vAlign w:val="center"/>
          </w:tcPr>
          <w:p w14:paraId="713DD860" w14:textId="77777777" w:rsidR="00C42353" w:rsidRPr="009C42F2" w:rsidRDefault="00C42353" w:rsidP="00D86C2C">
            <w:pPr>
              <w:jc w:val="right"/>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9C42F2">
              <w:rPr>
                <w:rFonts w:cs="Arial"/>
                <w:b/>
                <w:bCs/>
                <w:color w:val="000000"/>
                <w:sz w:val="14"/>
                <w:szCs w:val="14"/>
              </w:rPr>
              <w:t>7.137.241</w:t>
            </w:r>
          </w:p>
        </w:tc>
      </w:tr>
      <w:tr w:rsidR="00C42353" w:rsidRPr="00C0254E" w14:paraId="59FE24EC" w14:textId="77777777" w:rsidTr="00701167">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3B68864B" w14:textId="77777777" w:rsidR="00C42353" w:rsidRPr="00F52A6C" w:rsidRDefault="00C42353" w:rsidP="00F96730">
            <w:pPr>
              <w:pStyle w:val="08-Tabelageral"/>
              <w:jc w:val="left"/>
              <w:rPr>
                <w:szCs w:val="14"/>
              </w:rPr>
            </w:pPr>
          </w:p>
        </w:tc>
        <w:tc>
          <w:tcPr>
            <w:tcW w:w="1129" w:type="dxa"/>
            <w:shd w:val="clear" w:color="auto" w:fill="FFFFFF" w:themeFill="background1"/>
            <w:vAlign w:val="center"/>
          </w:tcPr>
          <w:p w14:paraId="33F4C3E3" w14:textId="77777777" w:rsidR="00C42353" w:rsidRPr="00F52A6C" w:rsidRDefault="00C42353" w:rsidP="00F96730">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p>
        </w:tc>
        <w:tc>
          <w:tcPr>
            <w:tcW w:w="1128" w:type="dxa"/>
            <w:shd w:val="clear" w:color="auto" w:fill="FFFFFF" w:themeFill="background1"/>
            <w:vAlign w:val="center"/>
          </w:tcPr>
          <w:p w14:paraId="500BB0BC" w14:textId="77777777" w:rsidR="00C42353" w:rsidRPr="00F52A6C" w:rsidRDefault="00C42353" w:rsidP="00F96730">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067" w:type="dxa"/>
            <w:shd w:val="clear" w:color="auto" w:fill="FFFFFF" w:themeFill="background1"/>
            <w:vAlign w:val="center"/>
          </w:tcPr>
          <w:p w14:paraId="6B87EAE5" w14:textId="77777777" w:rsidR="00C42353" w:rsidRPr="00F52A6C" w:rsidRDefault="00C42353" w:rsidP="00F96730">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28" w:type="dxa"/>
            <w:shd w:val="clear" w:color="auto" w:fill="FFFFFF" w:themeFill="background1"/>
            <w:vAlign w:val="center"/>
          </w:tcPr>
          <w:p w14:paraId="584B41C9" w14:textId="77777777" w:rsidR="00C42353" w:rsidRPr="00F52A6C" w:rsidRDefault="00C42353" w:rsidP="00F96730">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28" w:type="dxa"/>
            <w:shd w:val="clear" w:color="auto" w:fill="FFFFFF" w:themeFill="background1"/>
            <w:vAlign w:val="center"/>
          </w:tcPr>
          <w:p w14:paraId="5A2799C1" w14:textId="77777777" w:rsidR="00C42353" w:rsidRPr="00F52A6C" w:rsidRDefault="00C42353" w:rsidP="00F96730">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32" w:type="dxa"/>
            <w:shd w:val="clear" w:color="auto" w:fill="FFFFFF" w:themeFill="background1"/>
            <w:vAlign w:val="center"/>
          </w:tcPr>
          <w:p w14:paraId="3C4263DF" w14:textId="77777777" w:rsidR="00C42353" w:rsidRPr="00F52A6C" w:rsidRDefault="00C42353" w:rsidP="00F96730">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rPr>
            </w:pPr>
          </w:p>
        </w:tc>
      </w:tr>
      <w:tr w:rsidR="00C42353" w:rsidRPr="00C0254E" w14:paraId="4A1CEA7F" w14:textId="77777777" w:rsidTr="00F52A6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vAlign w:val="center"/>
          </w:tcPr>
          <w:p w14:paraId="05DB5372" w14:textId="77777777" w:rsidR="00C42353" w:rsidRPr="00F52A6C" w:rsidRDefault="00C42353" w:rsidP="00BB5C03">
            <w:pPr>
              <w:pStyle w:val="08-Tabelageral"/>
              <w:jc w:val="center"/>
              <w:rPr>
                <w:b w:val="0"/>
                <w:bCs w:val="0"/>
                <w:szCs w:val="14"/>
              </w:rPr>
            </w:pPr>
            <w:r w:rsidRPr="00F52A6C">
              <w:rPr>
                <w:color w:val="auto"/>
                <w:szCs w:val="14"/>
              </w:rPr>
              <w:t>Resultado de Equivalência Patrimonial</w:t>
            </w:r>
          </w:p>
        </w:tc>
      </w:tr>
      <w:tr w:rsidR="00C42353" w:rsidRPr="00C0254E" w14:paraId="1CC96160" w14:textId="77777777" w:rsidTr="00701167">
        <w:trPr>
          <w:gridAfter w:val="1"/>
          <w:cnfStyle w:val="000000010000" w:firstRow="0" w:lastRow="0" w:firstColumn="0" w:lastColumn="0" w:oddVBand="0" w:evenVBand="0" w:oddHBand="0" w:evenHBand="1"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FFFFFF" w:themeFill="background1"/>
            <w:vAlign w:val="center"/>
          </w:tcPr>
          <w:p w14:paraId="525CD8D0" w14:textId="77777777" w:rsidR="00C42353" w:rsidRPr="00F52A6C" w:rsidRDefault="00C42353" w:rsidP="009C42F2">
            <w:pPr>
              <w:pStyle w:val="08-Tabelageral"/>
              <w:jc w:val="left"/>
              <w:rPr>
                <w:szCs w:val="14"/>
              </w:rPr>
            </w:pPr>
            <w:r>
              <w:rPr>
                <w:color w:val="auto"/>
                <w:szCs w:val="14"/>
              </w:rPr>
              <w:t>Exercício 2021</w:t>
            </w:r>
          </w:p>
        </w:tc>
        <w:tc>
          <w:tcPr>
            <w:tcW w:w="1129" w:type="dxa"/>
            <w:shd w:val="clear" w:color="auto" w:fill="FFFFFF" w:themeFill="background1"/>
            <w:vAlign w:val="center"/>
          </w:tcPr>
          <w:p w14:paraId="4EF672C3"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auto"/>
                <w:sz w:val="14"/>
                <w:szCs w:val="14"/>
              </w:rPr>
            </w:pPr>
            <w:r>
              <w:rPr>
                <w:rFonts w:cs="Arial"/>
                <w:b/>
                <w:bCs/>
                <w:color w:val="000000"/>
                <w:sz w:val="14"/>
                <w:szCs w:val="14"/>
              </w:rPr>
              <w:t>1.067.020</w:t>
            </w:r>
          </w:p>
        </w:tc>
        <w:tc>
          <w:tcPr>
            <w:tcW w:w="1128" w:type="dxa"/>
            <w:shd w:val="clear" w:color="auto" w:fill="FFFFFF" w:themeFill="background1"/>
            <w:vAlign w:val="center"/>
          </w:tcPr>
          <w:p w14:paraId="5F9D7C74"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b/>
                <w:bCs/>
                <w:color w:val="auto"/>
                <w:sz w:val="14"/>
                <w:szCs w:val="14"/>
              </w:rPr>
            </w:pPr>
            <w:r>
              <w:rPr>
                <w:rFonts w:cs="Arial"/>
                <w:b/>
                <w:bCs/>
                <w:color w:val="000000"/>
                <w:sz w:val="14"/>
                <w:szCs w:val="14"/>
              </w:rPr>
              <w:t>756.544</w:t>
            </w:r>
          </w:p>
        </w:tc>
        <w:tc>
          <w:tcPr>
            <w:tcW w:w="1067" w:type="dxa"/>
            <w:shd w:val="clear" w:color="auto" w:fill="FFFFFF" w:themeFill="background1"/>
            <w:vAlign w:val="center"/>
          </w:tcPr>
          <w:p w14:paraId="37BC5146"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b/>
                <w:bCs/>
                <w:color w:val="auto"/>
                <w:sz w:val="14"/>
                <w:szCs w:val="14"/>
              </w:rPr>
            </w:pPr>
            <w:r>
              <w:rPr>
                <w:rFonts w:cs="Arial"/>
                <w:b/>
                <w:bCs/>
                <w:color w:val="000000"/>
                <w:sz w:val="14"/>
                <w:szCs w:val="14"/>
              </w:rPr>
              <w:t>2.341</w:t>
            </w:r>
          </w:p>
        </w:tc>
        <w:tc>
          <w:tcPr>
            <w:tcW w:w="1128" w:type="dxa"/>
            <w:shd w:val="clear" w:color="auto" w:fill="FFFFFF" w:themeFill="background1"/>
            <w:vAlign w:val="center"/>
          </w:tcPr>
          <w:p w14:paraId="4E86A9D2"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b/>
                <w:bCs/>
                <w:color w:val="auto"/>
                <w:sz w:val="14"/>
                <w:szCs w:val="14"/>
              </w:rPr>
            </w:pPr>
            <w:r>
              <w:rPr>
                <w:rFonts w:cs="Arial"/>
                <w:b/>
                <w:bCs/>
                <w:color w:val="000000"/>
                <w:sz w:val="14"/>
                <w:szCs w:val="14"/>
              </w:rPr>
              <w:t>17.083</w:t>
            </w:r>
          </w:p>
        </w:tc>
        <w:tc>
          <w:tcPr>
            <w:tcW w:w="1128" w:type="dxa"/>
            <w:shd w:val="clear" w:color="auto" w:fill="FFFFFF" w:themeFill="background1"/>
            <w:vAlign w:val="center"/>
          </w:tcPr>
          <w:p w14:paraId="1F2DAA65"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b/>
                <w:bCs/>
                <w:color w:val="auto"/>
                <w:sz w:val="14"/>
                <w:szCs w:val="14"/>
              </w:rPr>
            </w:pPr>
            <w:r>
              <w:rPr>
                <w:rFonts w:cs="Arial"/>
                <w:b/>
                <w:bCs/>
                <w:color w:val="000000"/>
                <w:sz w:val="14"/>
                <w:szCs w:val="14"/>
              </w:rPr>
              <w:t>(12.633)</w:t>
            </w:r>
          </w:p>
        </w:tc>
        <w:tc>
          <w:tcPr>
            <w:tcW w:w="1132" w:type="dxa"/>
            <w:shd w:val="clear" w:color="auto" w:fill="FFFFFF" w:themeFill="background1"/>
            <w:vAlign w:val="center"/>
          </w:tcPr>
          <w:p w14:paraId="35EE94A5" w14:textId="77777777" w:rsidR="00C42353" w:rsidRPr="00F52A6C" w:rsidRDefault="00C42353" w:rsidP="009C42F2">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1.830.355</w:t>
            </w:r>
          </w:p>
        </w:tc>
      </w:tr>
      <w:tr w:rsidR="00C42353" w:rsidRPr="00C0254E" w14:paraId="1E22A1FA" w14:textId="77777777" w:rsidTr="00ED0EBD">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vAlign w:val="center"/>
          </w:tcPr>
          <w:p w14:paraId="74A954C6" w14:textId="77777777" w:rsidR="00C42353" w:rsidRPr="00F52A6C" w:rsidRDefault="00C42353" w:rsidP="005C1F2B">
            <w:pPr>
              <w:pStyle w:val="08-Tabelageral"/>
              <w:jc w:val="left"/>
              <w:rPr>
                <w:color w:val="auto"/>
                <w:szCs w:val="14"/>
              </w:rPr>
            </w:pPr>
            <w:r>
              <w:rPr>
                <w:color w:val="auto"/>
                <w:szCs w:val="14"/>
              </w:rPr>
              <w:t>Exercício 2020</w:t>
            </w:r>
          </w:p>
        </w:tc>
        <w:tc>
          <w:tcPr>
            <w:tcW w:w="1129" w:type="dxa"/>
            <w:tcBorders>
              <w:top w:val="nil"/>
              <w:bottom w:val="single" w:sz="2" w:space="0" w:color="1F4E79" w:themeColor="accent1" w:themeShade="80"/>
            </w:tcBorders>
            <w:vAlign w:val="center"/>
          </w:tcPr>
          <w:p w14:paraId="1F2612EA" w14:textId="77777777" w:rsidR="00C42353" w:rsidRPr="00F52A6C" w:rsidRDefault="00C42353" w:rsidP="005C1F2B">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FB2B7E">
              <w:rPr>
                <w:rFonts w:cs="Arial"/>
                <w:b/>
                <w:bCs/>
                <w:color w:val="auto"/>
                <w:szCs w:val="14"/>
              </w:rPr>
              <w:t xml:space="preserve">  1.086.543 </w:t>
            </w:r>
          </w:p>
        </w:tc>
        <w:tc>
          <w:tcPr>
            <w:tcW w:w="1128" w:type="dxa"/>
            <w:tcBorders>
              <w:top w:val="nil"/>
              <w:bottom w:val="single" w:sz="2" w:space="0" w:color="1F4E79" w:themeColor="accent1" w:themeShade="80"/>
            </w:tcBorders>
            <w:vAlign w:val="center"/>
          </w:tcPr>
          <w:p w14:paraId="12B04C8A" w14:textId="77777777" w:rsidR="00C42353" w:rsidRPr="00F52A6C" w:rsidRDefault="00C42353" w:rsidP="005C1F2B">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FB2B7E">
              <w:rPr>
                <w:b/>
                <w:bCs/>
                <w:color w:val="auto"/>
              </w:rPr>
              <w:t>686.379</w:t>
            </w:r>
          </w:p>
        </w:tc>
        <w:tc>
          <w:tcPr>
            <w:tcW w:w="1067" w:type="dxa"/>
            <w:tcBorders>
              <w:top w:val="nil"/>
              <w:bottom w:val="single" w:sz="2" w:space="0" w:color="1F4E79" w:themeColor="accent1" w:themeShade="80"/>
            </w:tcBorders>
            <w:vAlign w:val="center"/>
          </w:tcPr>
          <w:p w14:paraId="10750016" w14:textId="77777777" w:rsidR="00C42353" w:rsidRPr="00F52A6C" w:rsidRDefault="00C42353" w:rsidP="005C1F2B">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FB2B7E">
              <w:rPr>
                <w:b/>
                <w:bCs/>
                <w:color w:val="auto"/>
              </w:rPr>
              <w:t>105.780</w:t>
            </w:r>
          </w:p>
        </w:tc>
        <w:tc>
          <w:tcPr>
            <w:tcW w:w="1128" w:type="dxa"/>
            <w:tcBorders>
              <w:top w:val="nil"/>
              <w:bottom w:val="single" w:sz="2" w:space="0" w:color="1F4E79" w:themeColor="accent1" w:themeShade="80"/>
            </w:tcBorders>
            <w:vAlign w:val="center"/>
          </w:tcPr>
          <w:p w14:paraId="7390F713" w14:textId="77777777" w:rsidR="00C42353" w:rsidRPr="00F52A6C" w:rsidRDefault="00C42353" w:rsidP="005C1F2B">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r w:rsidRPr="00FB2B7E">
              <w:rPr>
                <w:b/>
                <w:bCs/>
                <w:color w:val="auto"/>
              </w:rPr>
              <w:t>17.702</w:t>
            </w:r>
          </w:p>
        </w:tc>
        <w:tc>
          <w:tcPr>
            <w:tcW w:w="1128" w:type="dxa"/>
            <w:tcBorders>
              <w:top w:val="nil"/>
              <w:bottom w:val="single" w:sz="2" w:space="0" w:color="1F4E79" w:themeColor="accent1" w:themeShade="80"/>
            </w:tcBorders>
            <w:vAlign w:val="center"/>
          </w:tcPr>
          <w:p w14:paraId="1B637EC1" w14:textId="77777777" w:rsidR="00C42353" w:rsidRPr="00F52A6C" w:rsidRDefault="00C42353" w:rsidP="005C1F2B">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FB2B7E">
              <w:rPr>
                <w:b/>
                <w:bCs/>
                <w:color w:val="auto"/>
              </w:rPr>
              <w:t>(15.914)</w:t>
            </w:r>
          </w:p>
        </w:tc>
        <w:tc>
          <w:tcPr>
            <w:tcW w:w="1132" w:type="dxa"/>
            <w:tcBorders>
              <w:top w:val="nil"/>
              <w:bottom w:val="single" w:sz="2" w:space="0" w:color="1F4E79" w:themeColor="accent1" w:themeShade="80"/>
            </w:tcBorders>
            <w:vAlign w:val="center"/>
          </w:tcPr>
          <w:p w14:paraId="5302667D" w14:textId="77777777" w:rsidR="00C42353" w:rsidRPr="00F52A6C" w:rsidRDefault="00C42353" w:rsidP="005C1F2B">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FB2B7E">
              <w:rPr>
                <w:rFonts w:cs="Arial"/>
                <w:b/>
                <w:bCs/>
                <w:color w:val="auto"/>
                <w:szCs w:val="14"/>
              </w:rPr>
              <w:t>1.880.490</w:t>
            </w:r>
          </w:p>
        </w:tc>
      </w:tr>
    </w:tbl>
    <w:p w14:paraId="31ACC21F" w14:textId="77777777" w:rsidR="00C42353" w:rsidRDefault="00C42353" w:rsidP="00E97358">
      <w:pPr>
        <w:pStyle w:val="01-TtulodeNota"/>
        <w:spacing w:before="0" w:after="0"/>
        <w:ind w:right="-31"/>
        <w:jc w:val="right"/>
        <w:rPr>
          <w:sz w:val="14"/>
          <w:szCs w:val="14"/>
        </w:rPr>
      </w:pPr>
    </w:p>
    <w:p w14:paraId="4B9FF1FB" w14:textId="77777777" w:rsidR="00C42353" w:rsidRDefault="00C42353" w:rsidP="001A5A2A">
      <w:pPr>
        <w:pStyle w:val="05-Textonormal"/>
        <w:spacing w:before="0" w:after="80" w:line="240" w:lineRule="auto"/>
        <w:rPr>
          <w:rFonts w:cs="Arial"/>
        </w:rPr>
      </w:pPr>
      <w:r>
        <w:rPr>
          <w:rFonts w:cs="Arial"/>
        </w:rPr>
        <w:t xml:space="preserve">Os </w:t>
      </w:r>
      <w:r w:rsidRPr="001A5A2A">
        <w:rPr>
          <w:rFonts w:cs="Arial"/>
        </w:rPr>
        <w:t>Patrimônio</w:t>
      </w:r>
      <w:r>
        <w:rPr>
          <w:rFonts w:cs="Arial"/>
        </w:rPr>
        <w:t>s</w:t>
      </w:r>
      <w:r w:rsidRPr="001A5A2A">
        <w:rPr>
          <w:rFonts w:cs="Arial"/>
        </w:rPr>
        <w:t xml:space="preserve"> líquido</w:t>
      </w:r>
      <w:r>
        <w:rPr>
          <w:rFonts w:cs="Arial"/>
        </w:rPr>
        <w:t>s</w:t>
      </w:r>
      <w:r w:rsidRPr="001A5A2A">
        <w:rPr>
          <w:rFonts w:cs="Arial"/>
        </w:rPr>
        <w:t>, em 3</w:t>
      </w:r>
      <w:r>
        <w:rPr>
          <w:rFonts w:cs="Arial"/>
        </w:rPr>
        <w:t>1</w:t>
      </w:r>
      <w:r w:rsidRPr="001A5A2A">
        <w:rPr>
          <w:rFonts w:cs="Arial"/>
        </w:rPr>
        <w:t>.</w:t>
      </w:r>
      <w:r>
        <w:rPr>
          <w:rFonts w:cs="Arial"/>
        </w:rPr>
        <w:t>12</w:t>
      </w:r>
      <w:r w:rsidRPr="001A5A2A">
        <w:rPr>
          <w:rFonts w:cs="Arial"/>
        </w:rPr>
        <w:t>.202</w:t>
      </w:r>
      <w:r>
        <w:rPr>
          <w:rFonts w:cs="Arial"/>
        </w:rPr>
        <w:t>1 e 31.12.2020</w:t>
      </w:r>
      <w:r w:rsidRPr="001A5A2A">
        <w:rPr>
          <w:rFonts w:cs="Arial"/>
        </w:rPr>
        <w:t>,</w:t>
      </w:r>
      <w:r>
        <w:rPr>
          <w:rFonts w:cs="Arial"/>
        </w:rPr>
        <w:t xml:space="preserve"> acima apresentados, </w:t>
      </w:r>
      <w:r w:rsidRPr="001A5A2A">
        <w:rPr>
          <w:rFonts w:cs="Arial"/>
        </w:rPr>
        <w:t xml:space="preserve">não </w:t>
      </w:r>
      <w:r>
        <w:rPr>
          <w:rFonts w:cs="Arial"/>
        </w:rPr>
        <w:t xml:space="preserve">foram </w:t>
      </w:r>
      <w:r w:rsidRPr="001A5A2A">
        <w:rPr>
          <w:rFonts w:cs="Arial"/>
        </w:rPr>
        <w:t>ajustado</w:t>
      </w:r>
      <w:r>
        <w:rPr>
          <w:rFonts w:cs="Arial"/>
        </w:rPr>
        <w:t>s</w:t>
      </w:r>
      <w:r w:rsidRPr="001A5A2A">
        <w:rPr>
          <w:rFonts w:cs="Arial"/>
        </w:rPr>
        <w:t xml:space="preserve"> pelo</w:t>
      </w:r>
      <w:r>
        <w:rPr>
          <w:rFonts w:cs="Arial"/>
        </w:rPr>
        <w:t>s</w:t>
      </w:r>
      <w:r w:rsidRPr="001A5A2A">
        <w:rPr>
          <w:rFonts w:cs="Arial"/>
        </w:rPr>
        <w:t xml:space="preserve"> percentua</w:t>
      </w:r>
      <w:r>
        <w:rPr>
          <w:rFonts w:cs="Arial"/>
        </w:rPr>
        <w:t>is</w:t>
      </w:r>
      <w:r w:rsidRPr="001A5A2A">
        <w:rPr>
          <w:rFonts w:cs="Arial"/>
        </w:rPr>
        <w:t xml:space="preserve"> de participação societária detido pela BB Seguridade.</w:t>
      </w:r>
    </w:p>
    <w:p w14:paraId="52131867" w14:textId="77777777" w:rsidR="00C42353" w:rsidRDefault="00C42353" w:rsidP="001A5A2A">
      <w:pPr>
        <w:pStyle w:val="05-Textonormal"/>
        <w:spacing w:before="0" w:after="80" w:line="240" w:lineRule="auto"/>
        <w:rPr>
          <w:rFonts w:cs="Arial"/>
          <w:lang w:eastAsia="zh-CN"/>
        </w:rPr>
      </w:pPr>
      <w:r>
        <w:rPr>
          <w:rFonts w:cs="Arial"/>
        </w:rPr>
        <w:t>O saldo contábil em 31.12.2021, do investimento na BB Mapfre, de R$ 2.337.086 mil</w:t>
      </w:r>
      <w:r w:rsidRPr="001A5A2A">
        <w:rPr>
          <w:rFonts w:cs="Arial"/>
        </w:rPr>
        <w:t>,</w:t>
      </w:r>
      <w:r>
        <w:rPr>
          <w:rFonts w:cs="Arial"/>
        </w:rPr>
        <w:t xml:space="preserve"> inclui</w:t>
      </w:r>
      <w:r w:rsidRPr="001A5A2A">
        <w:rPr>
          <w:rFonts w:cs="Arial"/>
        </w:rPr>
        <w:t xml:space="preserve"> intangível de vida útil definida no montante líquido de amortizações de R$ </w:t>
      </w:r>
      <w:r>
        <w:rPr>
          <w:rFonts w:cs="Arial"/>
        </w:rPr>
        <w:t xml:space="preserve">171.008 </w:t>
      </w:r>
      <w:r w:rsidRPr="001A5A2A">
        <w:rPr>
          <w:rFonts w:cs="Arial"/>
        </w:rPr>
        <w:t>mil</w:t>
      </w:r>
      <w:r>
        <w:rPr>
          <w:rFonts w:cs="Arial"/>
        </w:rPr>
        <w:t xml:space="preserve"> (R$ </w:t>
      </w:r>
      <w:r>
        <w:t xml:space="preserve">186.157 </w:t>
      </w:r>
      <w:r>
        <w:rPr>
          <w:rFonts w:cs="Arial"/>
        </w:rPr>
        <w:t xml:space="preserve">mil em 31.12.2020), </w:t>
      </w:r>
      <w:r w:rsidRPr="001A5A2A">
        <w:rPr>
          <w:rFonts w:cs="Arial"/>
        </w:rPr>
        <w:t xml:space="preserve">sendo o valor da amortização de R$ </w:t>
      </w:r>
      <w:r>
        <w:rPr>
          <w:rFonts w:cs="Arial"/>
        </w:rPr>
        <w:t xml:space="preserve">15.149 mil no exercício de 2021 </w:t>
      </w:r>
      <w:r w:rsidRPr="00C3382D">
        <w:rPr>
          <w:rFonts w:cs="Arial"/>
        </w:rPr>
        <w:t>(</w:t>
      </w:r>
      <w:r w:rsidRPr="001A5A2A">
        <w:rPr>
          <w:rFonts w:cs="Arial"/>
        </w:rPr>
        <w:t xml:space="preserve">R$ </w:t>
      </w:r>
      <w:r>
        <w:rPr>
          <w:rFonts w:cs="Arial"/>
        </w:rPr>
        <w:t>13.738</w:t>
      </w:r>
      <w:r w:rsidRPr="001A5A2A">
        <w:rPr>
          <w:rFonts w:cs="Arial"/>
        </w:rPr>
        <w:t xml:space="preserve"> mil </w:t>
      </w:r>
      <w:r>
        <w:rPr>
          <w:rFonts w:cs="Arial"/>
        </w:rPr>
        <w:t>no exercício de 2020) e</w:t>
      </w:r>
      <w:r w:rsidRPr="001A5A2A">
        <w:rPr>
          <w:rFonts w:cs="Arial"/>
        </w:rPr>
        <w:t xml:space="preserve"> intangível de vida útil indefinida no montante de R$ 339.004 mil oriundo do acordo de parceria com </w:t>
      </w:r>
      <w:r>
        <w:rPr>
          <w:rFonts w:cs="Arial"/>
        </w:rPr>
        <w:t>o Grupo</w:t>
      </w:r>
      <w:r w:rsidRPr="001A5A2A">
        <w:rPr>
          <w:rFonts w:cs="Arial"/>
        </w:rPr>
        <w:t xml:space="preserve"> Mapfre</w:t>
      </w:r>
      <w:r w:rsidRPr="001A5A2A">
        <w:rPr>
          <w:rFonts w:cs="Arial"/>
          <w:lang w:eastAsia="zh-CN"/>
        </w:rPr>
        <w:t>.</w:t>
      </w:r>
    </w:p>
    <w:p w14:paraId="419C08AD" w14:textId="77777777" w:rsidR="00C42353" w:rsidRDefault="00C42353" w:rsidP="0092393B">
      <w:pPr>
        <w:pStyle w:val="05-Textonormal"/>
        <w:spacing w:before="0" w:after="80" w:line="240" w:lineRule="auto"/>
        <w:rPr>
          <w:rFonts w:cs="Arial"/>
        </w:rPr>
      </w:pPr>
      <w:r>
        <w:rPr>
          <w:rFonts w:cs="Arial"/>
        </w:rPr>
        <w:t>O saldo contábil, em 31.12.2021, do investimento na Brasilprev, de R$ 4.354.377 mil, i</w:t>
      </w:r>
      <w:r w:rsidRPr="001A5A2A">
        <w:rPr>
          <w:rFonts w:cs="Arial"/>
        </w:rPr>
        <w:t>nclui</w:t>
      </w:r>
      <w:r>
        <w:rPr>
          <w:rFonts w:cs="Arial"/>
        </w:rPr>
        <w:t xml:space="preserve"> </w:t>
      </w:r>
      <w:r w:rsidRPr="00922B33">
        <w:rPr>
          <w:rFonts w:cs="Arial"/>
        </w:rPr>
        <w:t>R$ 2.421</w:t>
      </w:r>
      <w:r>
        <w:rPr>
          <w:rFonts w:cs="Arial"/>
        </w:rPr>
        <w:t xml:space="preserve"> </w:t>
      </w:r>
      <w:r w:rsidRPr="001A5A2A">
        <w:rPr>
          <w:rFonts w:cs="Arial"/>
        </w:rPr>
        <w:t>mil de ajustes para fins de uniformização de divergência de prática contábil adotada pela investida</w:t>
      </w:r>
      <w:r>
        <w:rPr>
          <w:rFonts w:cs="Arial"/>
        </w:rPr>
        <w:t xml:space="preserve"> de anos anteriores.</w:t>
      </w:r>
    </w:p>
    <w:p w14:paraId="1A05A5D9" w14:textId="77777777" w:rsidR="00C42353" w:rsidRDefault="00C42353" w:rsidP="00E822B7">
      <w:pPr>
        <w:pStyle w:val="05-Textonormal"/>
        <w:keepNext/>
        <w:keepLines/>
        <w:pageBreakBefore/>
        <w:spacing w:before="0" w:after="80" w:line="240" w:lineRule="auto"/>
        <w:rPr>
          <w:rFonts w:cs="Arial"/>
        </w:rPr>
      </w:pPr>
      <w:r w:rsidRPr="00246D7F">
        <w:rPr>
          <w:rFonts w:cs="Arial"/>
        </w:rPr>
        <w:lastRenderedPageBreak/>
        <w:t>O saldo contábil, em 31.12.2021, do investimento na Brasilcap</w:t>
      </w:r>
      <w:r>
        <w:rPr>
          <w:rFonts w:cs="Arial"/>
        </w:rPr>
        <w:t>,</w:t>
      </w:r>
      <w:r w:rsidRPr="00246D7F">
        <w:rPr>
          <w:rFonts w:cs="Arial"/>
        </w:rPr>
        <w:t xml:space="preserve"> de R$ 427.840 mil, inclui o ágio de R$ 110.749 mil, na</w:t>
      </w:r>
      <w:r w:rsidRPr="001A5A2A">
        <w:rPr>
          <w:rFonts w:cs="Arial"/>
        </w:rPr>
        <w:t xml:space="preserve"> </w:t>
      </w:r>
      <w:r w:rsidRPr="00221B00">
        <w:rPr>
          <w:rFonts w:cs="Arial"/>
        </w:rPr>
        <w:t xml:space="preserve">aquisição de participação societária da empresa Sulacap pela BB Seguros, ocorrida em 22.07.2011; R$ 556 mil de dividendos a receber não reconhecidos pela BB Seguros, </w:t>
      </w:r>
      <w:r w:rsidRPr="006B6E19">
        <w:rPr>
          <w:rFonts w:cs="Arial"/>
        </w:rPr>
        <w:t>devido a aprovação no âmbito da Brasilcap ter ocorrido pela Diretoria em 25.01.2022; e R$ 75 mil de ajustes para fins de uniformização de divergência de prática contábil adotada pela investida de anos anteriores.</w:t>
      </w:r>
    </w:p>
    <w:p w14:paraId="65B836DE" w14:textId="77777777" w:rsidR="00C42353" w:rsidRPr="00CE55EA" w:rsidRDefault="00C42353" w:rsidP="004E2A2C">
      <w:pPr>
        <w:pStyle w:val="05-Textonormal"/>
        <w:spacing w:before="0" w:after="80" w:line="240" w:lineRule="auto"/>
        <w:rPr>
          <w:rFonts w:cs="Arial"/>
        </w:rPr>
      </w:pPr>
      <w:r w:rsidRPr="00023F6D">
        <w:rPr>
          <w:rFonts w:cs="Arial"/>
        </w:rPr>
        <w:t>A partir de 1° de janeiro de 2021, as investidas Brasilprev e Brasilcap passaram a adotar o CPC 06 (R2)</w:t>
      </w:r>
      <w:r>
        <w:rPr>
          <w:rFonts w:cs="Arial"/>
        </w:rPr>
        <w:t xml:space="preserve"> [IFRS 16]</w:t>
      </w:r>
      <w:r w:rsidRPr="00023F6D">
        <w:rPr>
          <w:rFonts w:cs="Arial"/>
        </w:rPr>
        <w:t xml:space="preserve"> – Arrendamentos, não havendo, a partir de então, </w:t>
      </w:r>
      <w:r>
        <w:rPr>
          <w:rFonts w:cs="Arial"/>
        </w:rPr>
        <w:t xml:space="preserve">novas </w:t>
      </w:r>
      <w:r w:rsidRPr="00023F6D">
        <w:rPr>
          <w:rFonts w:cs="Arial"/>
        </w:rPr>
        <w:t>divergência</w:t>
      </w:r>
      <w:r>
        <w:rPr>
          <w:rFonts w:cs="Arial"/>
        </w:rPr>
        <w:t>s</w:t>
      </w:r>
      <w:r w:rsidRPr="00023F6D">
        <w:rPr>
          <w:rFonts w:cs="Arial"/>
        </w:rPr>
        <w:t xml:space="preserve"> de prática contábil relacionada ao tratamento dos arrendamentos, restando apenas os valores reconhecidos em períodos anteriores, de </w:t>
      </w:r>
      <w:r w:rsidRPr="00922B33">
        <w:rPr>
          <w:rFonts w:cs="Arial"/>
        </w:rPr>
        <w:t>R$ 2.421 mil na Brasilprev e R$ 75 mil na Brasilcap</w:t>
      </w:r>
      <w:r w:rsidRPr="00023F6D">
        <w:rPr>
          <w:rFonts w:cs="Arial"/>
        </w:rPr>
        <w:t>, nos respectivos saldos de investimento na BB Seguros.</w:t>
      </w:r>
    </w:p>
    <w:p w14:paraId="671DD5F6" w14:textId="77777777" w:rsidR="00C42353" w:rsidRPr="001B1ED3" w:rsidRDefault="00C42353" w:rsidP="004E2A2C">
      <w:pPr>
        <w:pStyle w:val="05-Textonormal"/>
        <w:spacing w:before="0" w:after="80" w:line="240" w:lineRule="auto"/>
        <w:rPr>
          <w:rFonts w:cs="Arial"/>
        </w:rPr>
      </w:pPr>
      <w:r w:rsidRPr="001B1ED3">
        <w:rPr>
          <w:rFonts w:cs="Arial"/>
        </w:rPr>
        <w:t xml:space="preserve">Não houve </w:t>
      </w:r>
      <w:r>
        <w:rPr>
          <w:rFonts w:cs="Arial"/>
        </w:rPr>
        <w:t xml:space="preserve">necessidade de </w:t>
      </w:r>
      <w:r w:rsidRPr="001B1ED3">
        <w:rPr>
          <w:rFonts w:cs="Arial"/>
        </w:rPr>
        <w:t>ajustes para fins de uniformização de práticas contábeis adotadas pela</w:t>
      </w:r>
      <w:r>
        <w:rPr>
          <w:rFonts w:cs="Arial"/>
        </w:rPr>
        <w:t>s</w:t>
      </w:r>
      <w:r w:rsidRPr="001B1ED3">
        <w:rPr>
          <w:rFonts w:cs="Arial"/>
        </w:rPr>
        <w:t xml:space="preserve"> investida</w:t>
      </w:r>
      <w:r>
        <w:rPr>
          <w:rFonts w:cs="Arial"/>
        </w:rPr>
        <w:t>s Brasilprev, Brasilcap e</w:t>
      </w:r>
      <w:r w:rsidRPr="001B1ED3">
        <w:rPr>
          <w:rFonts w:cs="Arial"/>
        </w:rPr>
        <w:t xml:space="preserve"> Brasildental</w:t>
      </w:r>
      <w:r>
        <w:rPr>
          <w:rFonts w:cs="Arial"/>
        </w:rPr>
        <w:t>, tendo em vista não ter existido nenhum efeito causado por eventual diferença de prática ao longo do exercício.</w:t>
      </w:r>
    </w:p>
    <w:p w14:paraId="7EA62D1C" w14:textId="77777777" w:rsidR="00C42353" w:rsidRDefault="00C42353" w:rsidP="00E97358">
      <w:pPr>
        <w:pStyle w:val="05-Textonormal"/>
        <w:spacing w:before="0" w:after="80" w:line="240" w:lineRule="auto"/>
        <w:rPr>
          <w:rFonts w:cs="Arial"/>
        </w:rPr>
      </w:pPr>
      <w:r w:rsidRPr="001B1ED3">
        <w:rPr>
          <w:rFonts w:cs="Arial"/>
        </w:rPr>
        <w:t>A BB Mapfre adota BRGAAP em suas informações contábeis. Portanto, efetua os ajustes necessários para uniformização das práticas adotadas pelas suas controladas, Brasilseg e Aliança do Brasil, que adotam as normas contábeis definidas pela SUSEP</w:t>
      </w:r>
      <w:r>
        <w:rPr>
          <w:rFonts w:cs="Arial"/>
        </w:rPr>
        <w:t xml:space="preserve"> (SUSEPGAAP)</w:t>
      </w:r>
      <w:r w:rsidRPr="001B1ED3">
        <w:rPr>
          <w:rFonts w:cs="Arial"/>
        </w:rPr>
        <w:t>.</w:t>
      </w:r>
    </w:p>
    <w:p w14:paraId="481D76D8" w14:textId="77777777" w:rsidR="00C42353" w:rsidRPr="001A5A2A" w:rsidRDefault="00C42353" w:rsidP="0093095C">
      <w:pPr>
        <w:pStyle w:val="05-Textonormal"/>
        <w:spacing w:before="0" w:after="80" w:line="240" w:lineRule="auto"/>
        <w:rPr>
          <w:rFonts w:cs="Arial"/>
        </w:rPr>
      </w:pPr>
      <w:r w:rsidRPr="00C85265">
        <w:rPr>
          <w:rFonts w:cs="Arial"/>
        </w:rPr>
        <w:t>Em Outros Eventos, o saldo de R$ 40.899 mil refere-se à restituição de capital da BB Corretora à BB Seguridade, R$ 449.969 mil refere-se ao aporte de capital social da BB Seguros pela participação na Brasilprev e R$ 66.664 mil refere-se ao aporte de capital social da BB Seguros pela participação na Brasilcap.</w:t>
      </w:r>
    </w:p>
    <w:p w14:paraId="2D65170F" w14:textId="77777777" w:rsidR="00C42353" w:rsidRDefault="00C42353" w:rsidP="0088071C">
      <w:pPr>
        <w:pStyle w:val="05-Textonormal"/>
        <w:spacing w:before="0" w:after="80" w:line="240" w:lineRule="auto"/>
        <w:rPr>
          <w:rFonts w:cs="Arial"/>
        </w:rPr>
      </w:pPr>
      <w:r>
        <w:rPr>
          <w:rFonts w:cs="Arial"/>
        </w:rPr>
        <w:t>Foram recebidos dos investimentos em participações societárias, avaliados pelo método de equivalência patrimonial, R$ 2.093.213 mil de dividendos (R$ 4.239.591 mil no exercício de 2020) pelo Controlador, R$ 963.364 mil de dividendos (R$ 1.573.182 mil no exercício de 2020) e R$ 157.732 mil de JCP (R$ 51.302 mil no exercício 2020) pelo Consolidado.</w:t>
      </w:r>
    </w:p>
    <w:p w14:paraId="1A326515" w14:textId="77777777" w:rsidR="00C42353" w:rsidRDefault="00C42353" w:rsidP="00F52A6C">
      <w:pPr>
        <w:pStyle w:val="01-TtulodeNota"/>
        <w:rPr>
          <w:color w:val="1F4E79" w:themeColor="accent1" w:themeShade="80"/>
          <w:sz w:val="18"/>
          <w:szCs w:val="18"/>
        </w:rPr>
      </w:pPr>
      <w:r>
        <w:rPr>
          <w:color w:val="1F4E79" w:themeColor="accent1" w:themeShade="80"/>
          <w:sz w:val="18"/>
          <w:szCs w:val="18"/>
        </w:rPr>
        <w:t>Restituição de capital da BB Corretora à BB Seguridade</w:t>
      </w:r>
    </w:p>
    <w:p w14:paraId="1A5C86CF" w14:textId="77777777" w:rsidR="00C42353" w:rsidRPr="0056123C" w:rsidRDefault="00C42353" w:rsidP="004633E9">
      <w:pPr>
        <w:pStyle w:val="05-Textonormal"/>
        <w:spacing w:before="0" w:after="80" w:line="240" w:lineRule="auto"/>
        <w:rPr>
          <w:rFonts w:cs="Arial"/>
        </w:rPr>
      </w:pPr>
      <w:r w:rsidRPr="0056123C">
        <w:rPr>
          <w:rFonts w:cs="Arial"/>
        </w:rPr>
        <w:t>Após deliberação da assembleia geral e com parecer favorável do conselho fiscal, a BB Corretora de Seguros e Administradora de Bens S.A. realizou a restituição, em 29 de dezembro de 2021, de R$ 40.899 mil do seu capital social a sua acionista, fundamentada no exce</w:t>
      </w:r>
      <w:r>
        <w:rPr>
          <w:rFonts w:cs="Arial"/>
        </w:rPr>
        <w:t>dente</w:t>
      </w:r>
      <w:r w:rsidRPr="0056123C">
        <w:rPr>
          <w:rFonts w:cs="Arial"/>
        </w:rPr>
        <w:t xml:space="preserve"> de capital. Após a restituição a companhia permanece com R$ 1.000 mil em seu capital social, dividido em 1.000.000 (um milhão) de ações ordinárias nominativas, sem valor nominal.</w:t>
      </w:r>
    </w:p>
    <w:p w14:paraId="6AAC852B" w14:textId="77777777" w:rsidR="00C42353" w:rsidRPr="004633E9" w:rsidRDefault="00C42353" w:rsidP="004633E9">
      <w:pPr>
        <w:pStyle w:val="05-Textonormal"/>
        <w:spacing w:before="0" w:after="80" w:line="240" w:lineRule="auto"/>
        <w:rPr>
          <w:rFonts w:cs="Arial"/>
        </w:rPr>
      </w:pPr>
      <w:r w:rsidRPr="0056123C">
        <w:rPr>
          <w:rFonts w:cs="Arial"/>
        </w:rPr>
        <w:t xml:space="preserve">Cabe citar que não há exigência regulatória para níveis mínimos de liquidez e/ou capital na </w:t>
      </w:r>
      <w:r>
        <w:rPr>
          <w:rFonts w:cs="Arial"/>
        </w:rPr>
        <w:t>BB Corretora</w:t>
      </w:r>
      <w:r w:rsidRPr="0056123C">
        <w:rPr>
          <w:rFonts w:cs="Arial"/>
        </w:rPr>
        <w:t xml:space="preserve"> e que a mesma se encontra com recursos financeiros suficientes para manutenção das suas atividades operacionais.</w:t>
      </w:r>
      <w:r w:rsidRPr="004633E9">
        <w:rPr>
          <w:rFonts w:cs="Arial"/>
        </w:rPr>
        <w:t xml:space="preserve"> </w:t>
      </w:r>
    </w:p>
    <w:p w14:paraId="777DB7E1" w14:textId="77777777" w:rsidR="00C42353" w:rsidRPr="00F52A6C" w:rsidRDefault="00C42353" w:rsidP="00F52A6C">
      <w:pPr>
        <w:pStyle w:val="01-TtulodeNota"/>
        <w:rPr>
          <w:color w:val="1F4E79" w:themeColor="accent1" w:themeShade="80"/>
          <w:sz w:val="18"/>
          <w:szCs w:val="18"/>
        </w:rPr>
      </w:pPr>
      <w:r w:rsidRPr="00F52A6C">
        <w:rPr>
          <w:color w:val="1F4E79" w:themeColor="accent1" w:themeShade="80"/>
          <w:sz w:val="18"/>
          <w:szCs w:val="18"/>
        </w:rPr>
        <w:t>Emissão de Debêntures pela Brasilprev</w:t>
      </w:r>
    </w:p>
    <w:p w14:paraId="2D043D35" w14:textId="77777777" w:rsidR="00C42353" w:rsidRDefault="00C42353" w:rsidP="00D81A09">
      <w:pPr>
        <w:pStyle w:val="05-Textonormal"/>
        <w:spacing w:before="0" w:after="80" w:line="240" w:lineRule="auto"/>
      </w:pPr>
      <w:r w:rsidRPr="007807AF">
        <w:t>Em 07 de junho de 2021 foram emitidas</w:t>
      </w:r>
      <w:r>
        <w:t>,</w:t>
      </w:r>
      <w:r w:rsidRPr="007807AF">
        <w:t xml:space="preserve"> pela Brasilprev</w:t>
      </w:r>
      <w:r>
        <w:t>,</w:t>
      </w:r>
      <w:r w:rsidRPr="007807AF">
        <w:t xml:space="preserve"> debêntures subordinadas, não conversíveis em ações, em série única, no montante de R$ 550.000 mil, nos termos da Instrução CVM nº 476/09. A captação foi composta 550.000 (quinhentos e cinquenta mil) </w:t>
      </w:r>
      <w:r>
        <w:t>d</w:t>
      </w:r>
      <w:r w:rsidRPr="007807AF">
        <w:t>ebêntures</w:t>
      </w:r>
      <w:r>
        <w:t>,</w:t>
      </w:r>
      <w:r w:rsidRPr="007807AF">
        <w:t xml:space="preserve"> com valor nominal unitário de R$ 1.000,00,</w:t>
      </w:r>
      <w:r>
        <w:t xml:space="preserve"> </w:t>
      </w:r>
      <w:r w:rsidRPr="007807AF">
        <w:t>prazo de vigência de 5 (cinco) anos</w:t>
      </w:r>
      <w:r>
        <w:t xml:space="preserve"> e incidência de juros remuneratórios correspondentes a 100% da variação acumulada das taxas médias diárias do DI -Depósito Financeiro de um dia, acrescida exponencialmente de sobretaxa de 2% ao ano.</w:t>
      </w:r>
    </w:p>
    <w:p w14:paraId="16ACE782" w14:textId="77777777" w:rsidR="00C42353" w:rsidRDefault="00C42353" w:rsidP="00D81A09">
      <w:pPr>
        <w:pStyle w:val="05-Textonormal"/>
        <w:spacing w:before="0" w:after="80" w:line="240" w:lineRule="auto"/>
      </w:pPr>
      <w:r>
        <w:t>Os recursos captados por meio da emissão serão utilizados pela Brasilprev conforme o necessário para cobertura do capital mínimo requerido pelas normas da SUSEP.</w:t>
      </w:r>
    </w:p>
    <w:p w14:paraId="023A241F" w14:textId="77777777" w:rsidR="00C42353" w:rsidRPr="00F52A6C" w:rsidRDefault="00C42353" w:rsidP="00F52A6C">
      <w:pPr>
        <w:pStyle w:val="01-TtulodeNota"/>
        <w:rPr>
          <w:color w:val="1F4E79" w:themeColor="accent1" w:themeShade="80"/>
          <w:sz w:val="18"/>
          <w:szCs w:val="18"/>
        </w:rPr>
      </w:pPr>
      <w:r w:rsidRPr="00F52A6C">
        <w:rPr>
          <w:color w:val="1F4E79" w:themeColor="accent1" w:themeShade="80"/>
          <w:sz w:val="18"/>
          <w:szCs w:val="18"/>
        </w:rPr>
        <w:t>Aporte de Capital na Brasilprev</w:t>
      </w:r>
    </w:p>
    <w:p w14:paraId="0B886E17" w14:textId="77777777" w:rsidR="00C42353" w:rsidRPr="007807AF" w:rsidRDefault="00C42353" w:rsidP="00D81A09">
      <w:pPr>
        <w:pStyle w:val="05-Textonormal"/>
        <w:spacing w:before="0" w:after="80" w:line="240" w:lineRule="auto"/>
        <w:rPr>
          <w:rFonts w:cs="Arial"/>
        </w:rPr>
      </w:pPr>
      <w:r w:rsidRPr="007807AF">
        <w:rPr>
          <w:rFonts w:cs="Arial"/>
        </w:rPr>
        <w:t xml:space="preserve">Em complemento aos recursos captados por debêntures subordinadas, em 22 de junho de 2021 foi aprovado </w:t>
      </w:r>
      <w:r>
        <w:rPr>
          <w:rFonts w:cs="Arial"/>
        </w:rPr>
        <w:t xml:space="preserve">pelo Conselho de Administração da BB Seguridade </w:t>
      </w:r>
      <w:r w:rsidRPr="007807AF">
        <w:rPr>
          <w:rFonts w:cs="Arial"/>
        </w:rPr>
        <w:t xml:space="preserve">um aumento de capital social </w:t>
      </w:r>
      <w:r>
        <w:rPr>
          <w:rFonts w:cs="Arial"/>
        </w:rPr>
        <w:t>de até</w:t>
      </w:r>
      <w:r w:rsidRPr="007807AF">
        <w:rPr>
          <w:rFonts w:cs="Arial"/>
        </w:rPr>
        <w:t xml:space="preserve"> R$ 600.000 mil na Brasilprev. O aumento de capital foi totalmente subscrito pelos sócios em junho de 2021, mantendo-se a estrutura de composição acionária entre os acionistas</w:t>
      </w:r>
      <w:r>
        <w:rPr>
          <w:rFonts w:cs="Arial"/>
        </w:rPr>
        <w:t xml:space="preserve"> (participação acionária da BB Seguros de 74,995%)</w:t>
      </w:r>
      <w:r w:rsidRPr="007807AF">
        <w:rPr>
          <w:rFonts w:cs="Arial"/>
        </w:rPr>
        <w:t xml:space="preserve">. </w:t>
      </w:r>
      <w:r w:rsidRPr="003663E6">
        <w:rPr>
          <w:rFonts w:cs="Arial"/>
        </w:rPr>
        <w:t xml:space="preserve">Em 28 de junho de 2021, </w:t>
      </w:r>
      <w:r w:rsidRPr="00FB0442">
        <w:rPr>
          <w:rFonts w:cs="Arial"/>
        </w:rPr>
        <w:t xml:space="preserve">o capital foi integralizado pela </w:t>
      </w:r>
      <w:r w:rsidRPr="003663E6">
        <w:rPr>
          <w:rFonts w:cs="Arial"/>
        </w:rPr>
        <w:t xml:space="preserve">BB Seguros </w:t>
      </w:r>
      <w:r w:rsidRPr="00FB0442">
        <w:rPr>
          <w:rFonts w:cs="Arial"/>
        </w:rPr>
        <w:t>e PFG do Brasil, nos mo</w:t>
      </w:r>
      <w:r w:rsidRPr="003663E6">
        <w:rPr>
          <w:rFonts w:cs="Arial"/>
        </w:rPr>
        <w:t>ntante</w:t>
      </w:r>
      <w:r w:rsidRPr="00FB0442">
        <w:rPr>
          <w:rFonts w:cs="Arial"/>
        </w:rPr>
        <w:t>s</w:t>
      </w:r>
      <w:r w:rsidRPr="003663E6">
        <w:rPr>
          <w:rFonts w:cs="Arial"/>
        </w:rPr>
        <w:t xml:space="preserve"> de R$ 449.969 mil e</w:t>
      </w:r>
      <w:r w:rsidRPr="003663E6">
        <w:t xml:space="preserve"> R$ 150.03</w:t>
      </w:r>
      <w:r w:rsidRPr="00FB0442">
        <w:t>1</w:t>
      </w:r>
      <w:r w:rsidRPr="003663E6">
        <w:t xml:space="preserve"> mil</w:t>
      </w:r>
      <w:r w:rsidRPr="00FB0442">
        <w:rPr>
          <w:rFonts w:cs="Arial"/>
        </w:rPr>
        <w:t>, respectivamente.</w:t>
      </w:r>
      <w:r w:rsidRPr="007807AF">
        <w:rPr>
          <w:rFonts w:cs="Arial"/>
        </w:rPr>
        <w:t xml:space="preserve"> </w:t>
      </w:r>
    </w:p>
    <w:p w14:paraId="0BF41E03" w14:textId="77777777" w:rsidR="00C42353" w:rsidRDefault="00C42353" w:rsidP="0074518C">
      <w:pPr>
        <w:pStyle w:val="01-TtulodeNota"/>
        <w:rPr>
          <w:color w:val="1F4E79" w:themeColor="accent1" w:themeShade="80"/>
          <w:sz w:val="18"/>
          <w:szCs w:val="18"/>
        </w:rPr>
      </w:pPr>
      <w:r w:rsidRPr="00F3509D">
        <w:rPr>
          <w:color w:val="1F4E79" w:themeColor="accent1" w:themeShade="80"/>
          <w:sz w:val="18"/>
          <w:szCs w:val="18"/>
        </w:rPr>
        <w:t>Aporte de Capital na Brasilcap</w:t>
      </w:r>
    </w:p>
    <w:p w14:paraId="2F2FFF4C" w14:textId="77777777" w:rsidR="00C42353" w:rsidRPr="00DB2CEC" w:rsidRDefault="00C42353" w:rsidP="00F3509D">
      <w:pPr>
        <w:pStyle w:val="05-Textonormal"/>
        <w:spacing w:before="0" w:after="80" w:line="240" w:lineRule="auto"/>
        <w:rPr>
          <w:rFonts w:cs="Arial"/>
        </w:rPr>
      </w:pPr>
      <w:r w:rsidRPr="00DB62A8">
        <w:rPr>
          <w:rFonts w:cs="Arial"/>
        </w:rPr>
        <w:t xml:space="preserve">Em 31 de dezembro de 2021, foi realizado aporte de capital na Brasilcap, no valor de R$ 100.005 mil, via créditos decorrentes de Instrumento Particular de Adiantamento para Futuro Aumento de Capital (AFAC), celebrados em 22 de dezembro de 2021, entre a Brasilcap e os acionistas BB Seguros Participações S.A., Icatu Seguros S.A. e Companhia de Seguros Aliança da Bahia, mediante a emissão de 76.340.000 (setenta e seis milhões, trezentas e quarenta mil) ações preferenciais, nominativas e sem valor nominal. </w:t>
      </w:r>
      <w:r>
        <w:rPr>
          <w:rFonts w:cs="Arial"/>
        </w:rPr>
        <w:t xml:space="preserve">O aporte </w:t>
      </w:r>
      <w:r w:rsidRPr="00DB62A8">
        <w:rPr>
          <w:rFonts w:cs="Arial"/>
        </w:rPr>
        <w:t>de capital foi totalmente subscrito e</w:t>
      </w:r>
      <w:r w:rsidRPr="00DB2CEC">
        <w:rPr>
          <w:rFonts w:cs="Arial"/>
        </w:rPr>
        <w:t xml:space="preserve"> integralizado pelos sócios em 31 de dezembro de 2021, sendo que a BB Seguros subscreveu e integralizou R$ 66.664 mil, na proporção de sua atual participação acionária, mantendo inalterada sua participação no capital total da Brasilcap.</w:t>
      </w:r>
    </w:p>
    <w:p w14:paraId="5F61C341" w14:textId="77777777" w:rsidR="00C42353" w:rsidRDefault="00C42353" w:rsidP="001622D0">
      <w:pPr>
        <w:pStyle w:val="04-TtuloNegrito"/>
        <w:rPr>
          <w:color w:val="1F4E79" w:themeColor="accent1" w:themeShade="80"/>
        </w:rPr>
      </w:pPr>
      <w:r>
        <w:rPr>
          <w:color w:val="1F4E79" w:themeColor="accent1" w:themeShade="80"/>
        </w:rPr>
        <w:br w:type="page"/>
      </w:r>
    </w:p>
    <w:p w14:paraId="448C73D9" w14:textId="77777777" w:rsidR="00C42353" w:rsidRPr="00F52A6C" w:rsidRDefault="00C42353" w:rsidP="001622D0">
      <w:pPr>
        <w:pStyle w:val="04-TtuloNegrito"/>
        <w:rPr>
          <w:color w:val="1F4E79" w:themeColor="accent1" w:themeShade="80"/>
          <w:sz w:val="18"/>
          <w:szCs w:val="18"/>
        </w:rPr>
      </w:pPr>
      <w:bookmarkStart w:id="70" w:name="_Hlk86925654"/>
      <w:r w:rsidRPr="00F52A6C">
        <w:rPr>
          <w:color w:val="1F4E79" w:themeColor="accent1" w:themeShade="80"/>
          <w:sz w:val="18"/>
          <w:szCs w:val="18"/>
        </w:rPr>
        <w:lastRenderedPageBreak/>
        <w:t>c) Informações financeiras resumidas dos Investimentos em Participações Societárias</w:t>
      </w:r>
    </w:p>
    <w:p w14:paraId="5B452080" w14:textId="77777777" w:rsidR="00C42353" w:rsidRDefault="00C42353" w:rsidP="00DD41D8">
      <w:pPr>
        <w:pStyle w:val="01-TtulodeNota"/>
        <w:spacing w:before="0" w:after="0"/>
        <w:rPr>
          <w:rFonts w:cs="Arial"/>
          <w:b w:val="0"/>
          <w:sz w:val="18"/>
          <w:lang w:eastAsia="zh-CN"/>
        </w:rPr>
      </w:pPr>
      <w:r w:rsidRPr="00DD41D8">
        <w:rPr>
          <w:rFonts w:cs="Arial"/>
          <w:b w:val="0"/>
          <w:sz w:val="18"/>
          <w:lang w:eastAsia="zh-CN"/>
        </w:rPr>
        <w:t xml:space="preserve">Os valores apresentados </w:t>
      </w:r>
      <w:r>
        <w:rPr>
          <w:rFonts w:cs="Arial"/>
          <w:b w:val="0"/>
          <w:sz w:val="18"/>
          <w:lang w:eastAsia="zh-CN"/>
        </w:rPr>
        <w:t>a seguir</w:t>
      </w:r>
      <w:r w:rsidRPr="00DD41D8">
        <w:rPr>
          <w:rFonts w:cs="Arial"/>
          <w:b w:val="0"/>
          <w:sz w:val="18"/>
          <w:lang w:eastAsia="zh-CN"/>
        </w:rPr>
        <w:t xml:space="preserve"> referem</w:t>
      </w:r>
      <w:r>
        <w:rPr>
          <w:rFonts w:cs="Arial"/>
          <w:b w:val="0"/>
          <w:sz w:val="18"/>
          <w:lang w:eastAsia="zh-CN"/>
        </w:rPr>
        <w:t>-</w:t>
      </w:r>
      <w:r w:rsidRPr="00BE6CB5">
        <w:rPr>
          <w:rFonts w:cs="Arial"/>
          <w:b w:val="0"/>
          <w:sz w:val="18"/>
          <w:lang w:eastAsia="zh-CN"/>
        </w:rPr>
        <w:t xml:space="preserve">se às demonstrações contábeis das investidas, já considerando as harmonizações de práticas contábeis para o </w:t>
      </w:r>
      <w:r>
        <w:rPr>
          <w:rFonts w:cs="Arial"/>
          <w:b w:val="0"/>
          <w:sz w:val="18"/>
          <w:lang w:eastAsia="zh-CN"/>
        </w:rPr>
        <w:t>exercício</w:t>
      </w:r>
      <w:r w:rsidRPr="00BE6CB5">
        <w:rPr>
          <w:rFonts w:cs="Arial"/>
          <w:b w:val="0"/>
          <w:sz w:val="18"/>
          <w:lang w:eastAsia="zh-CN"/>
        </w:rPr>
        <w:t xml:space="preserve"> atual, quando é o caso, e de acordo com as respectivas práticas contábeis, conforme descrito no item “a” acima, com os ajustes das harmonizações destacadas.</w:t>
      </w:r>
    </w:p>
    <w:p w14:paraId="05FCB215" w14:textId="77777777" w:rsidR="00C42353" w:rsidRDefault="00C42353" w:rsidP="001D1736">
      <w:pPr>
        <w:spacing w:after="0" w:line="240" w:lineRule="auto"/>
        <w:rPr>
          <w:rFonts w:eastAsia="Times New Roman" w:cs="Times New Roman"/>
          <w:b/>
          <w:color w:val="1F4E79" w:themeColor="accent1" w:themeShade="80"/>
          <w:spacing w:val="-2"/>
          <w:szCs w:val="20"/>
          <w:lang w:eastAsia="pt-BR"/>
        </w:rPr>
      </w:pPr>
    </w:p>
    <w:p w14:paraId="4A489277" w14:textId="77777777" w:rsidR="00C42353" w:rsidRDefault="00C42353" w:rsidP="000A3E40">
      <w:pPr>
        <w:keepNext/>
        <w:keepLines/>
        <w:spacing w:after="0" w:line="240" w:lineRule="auto"/>
        <w:rPr>
          <w:rFonts w:eastAsia="Times New Roman" w:cs="Times New Roman"/>
          <w:b/>
          <w:color w:val="1F4E79" w:themeColor="accent1" w:themeShade="80"/>
          <w:spacing w:val="-2"/>
          <w:szCs w:val="20"/>
          <w:lang w:eastAsia="pt-BR"/>
        </w:rPr>
      </w:pPr>
      <w:bookmarkStart w:id="71" w:name="_Hlk86328757"/>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.1) BB Mapfre</w:t>
      </w:r>
      <w:r>
        <w:rPr>
          <w:rFonts w:eastAsia="Times New Roman" w:cs="Times New Roman"/>
          <w:b/>
          <w:color w:val="1F4E79" w:themeColor="accent1" w:themeShade="80"/>
          <w:spacing w:val="-2"/>
          <w:szCs w:val="20"/>
          <w:lang w:eastAsia="pt-BR"/>
        </w:rPr>
        <w:t xml:space="preserve"> Participações</w:t>
      </w:r>
    </w:p>
    <w:p w14:paraId="5D27B9F8" w14:textId="77777777" w:rsidR="00C42353" w:rsidRDefault="00C42353" w:rsidP="006F152E">
      <w:pPr>
        <w:spacing w:after="0" w:line="240" w:lineRule="auto"/>
        <w:rPr>
          <w:rFonts w:eastAsia="Times New Roman" w:cs="Times New Roman"/>
          <w:b/>
          <w:color w:val="1F4E79" w:themeColor="accent1" w:themeShade="80"/>
          <w:spacing w:val="-2"/>
          <w:szCs w:val="20"/>
          <w:lang w:eastAsia="pt-BR"/>
        </w:rPr>
      </w:pPr>
    </w:p>
    <w:p w14:paraId="581637A8" w14:textId="77777777" w:rsidR="00C42353" w:rsidRPr="00537AE7" w:rsidRDefault="00C42353" w:rsidP="00537AE7">
      <w:pPr>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t>Informações de Resultado</w:t>
      </w:r>
    </w:p>
    <w:p w14:paraId="67621CB1" w14:textId="77777777" w:rsidR="00C42353" w:rsidRPr="00537AE7" w:rsidRDefault="00C42353" w:rsidP="00537AE7">
      <w:pPr>
        <w:keepNext/>
        <w:keepLines/>
        <w:spacing w:after="0"/>
        <w:jc w:val="right"/>
        <w:rPr>
          <w:rFonts w:cs="Arial"/>
          <w:b/>
          <w:sz w:val="14"/>
          <w:szCs w:val="18"/>
        </w:rPr>
      </w:pPr>
      <w:r w:rsidRPr="00537AE7">
        <w:rPr>
          <w:rFonts w:cs="Arial"/>
          <w:b/>
          <w:sz w:val="14"/>
          <w:szCs w:val="18"/>
        </w:rPr>
        <w:t>R$ mil</w:t>
      </w:r>
    </w:p>
    <w:tbl>
      <w:tblPr>
        <w:tblW w:w="9639" w:type="dxa"/>
        <w:jc w:val="center"/>
        <w:tblLayout w:type="fixed"/>
        <w:tblLook w:val="04A0" w:firstRow="1" w:lastRow="0" w:firstColumn="1" w:lastColumn="0" w:noHBand="0" w:noVBand="1"/>
      </w:tblPr>
      <w:tblGrid>
        <w:gridCol w:w="2269"/>
        <w:gridCol w:w="1087"/>
        <w:gridCol w:w="1087"/>
        <w:gridCol w:w="1087"/>
        <w:gridCol w:w="283"/>
        <w:gridCol w:w="1275"/>
        <w:gridCol w:w="1275"/>
        <w:gridCol w:w="1276"/>
      </w:tblGrid>
      <w:tr w:rsidR="00C42353" w:rsidRPr="00537AE7" w14:paraId="0812A58D" w14:textId="77777777" w:rsidTr="0064478A">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39F3AB63" w14:textId="77777777" w:rsidR="00C42353" w:rsidRPr="00537AE7" w:rsidRDefault="00C42353" w:rsidP="00537AE7">
            <w:pPr>
              <w:spacing w:after="0"/>
              <w:jc w:val="center"/>
              <w:rPr>
                <w:rFonts w:cs="Arial"/>
                <w:b/>
                <w:sz w:val="14"/>
                <w:szCs w:val="14"/>
              </w:rPr>
            </w:pPr>
            <w:r w:rsidRPr="00537AE7">
              <w:rPr>
                <w:rFonts w:cs="Arial"/>
                <w:b/>
                <w:sz w:val="14"/>
                <w:szCs w:val="14"/>
              </w:rPr>
              <w:t>Segmento</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5402BCD2" w14:textId="77777777" w:rsidR="00C42353" w:rsidRPr="00537AE7" w:rsidRDefault="00C42353" w:rsidP="00537AE7">
            <w:pPr>
              <w:spacing w:after="0"/>
              <w:jc w:val="center"/>
              <w:rPr>
                <w:rFonts w:cs="Arial"/>
                <w:b/>
                <w:sz w:val="14"/>
                <w:szCs w:val="14"/>
              </w:rPr>
            </w:pPr>
            <w:r w:rsidRPr="00537AE7">
              <w:rPr>
                <w:rFonts w:cs="Arial"/>
                <w:b/>
                <w:sz w:val="14"/>
                <w:szCs w:val="14"/>
              </w:rPr>
              <w:t>Seguridade</w:t>
            </w:r>
          </w:p>
        </w:tc>
      </w:tr>
      <w:tr w:rsidR="00C42353" w:rsidRPr="00537AE7" w14:paraId="31CA1E52" w14:textId="77777777" w:rsidTr="0064478A">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4E65BCDB" w14:textId="77777777" w:rsidR="00C42353" w:rsidRPr="00537AE7" w:rsidRDefault="00C42353" w:rsidP="00537AE7">
            <w:pPr>
              <w:spacing w:after="0"/>
              <w:jc w:val="center"/>
              <w:rPr>
                <w:rFonts w:cs="Arial"/>
                <w:b/>
                <w:sz w:val="14"/>
                <w:szCs w:val="14"/>
              </w:rPr>
            </w:pPr>
            <w:r w:rsidRPr="00537AE7">
              <w:rPr>
                <w:rFonts w:cs="Arial"/>
                <w:b/>
                <w:sz w:val="14"/>
                <w:szCs w:val="14"/>
              </w:rPr>
              <w:t>Ramo de atuação</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300B04F6" w14:textId="77777777" w:rsidR="00C42353" w:rsidRPr="00537AE7" w:rsidRDefault="00C42353" w:rsidP="00537AE7">
            <w:pPr>
              <w:spacing w:after="0"/>
              <w:jc w:val="center"/>
              <w:rPr>
                <w:rFonts w:cs="Arial"/>
                <w:b/>
                <w:sz w:val="14"/>
                <w:szCs w:val="14"/>
              </w:rPr>
            </w:pPr>
            <w:r w:rsidRPr="00537AE7">
              <w:rPr>
                <w:rFonts w:cs="Arial"/>
                <w:b/>
                <w:sz w:val="14"/>
                <w:szCs w:val="14"/>
              </w:rPr>
              <w:t>Seguros – Vida, habitacional, rural e patrimonial</w:t>
            </w:r>
          </w:p>
        </w:tc>
      </w:tr>
      <w:tr w:rsidR="00C42353" w:rsidRPr="00537AE7" w14:paraId="1B91ED2A" w14:textId="77777777" w:rsidTr="0064478A">
        <w:trPr>
          <w:trHeight w:val="238"/>
          <w:jc w:val="center"/>
        </w:trPr>
        <w:tc>
          <w:tcPr>
            <w:tcW w:w="2269" w:type="dxa"/>
            <w:tcBorders>
              <w:top w:val="single" w:sz="2" w:space="0" w:color="1F4E79" w:themeColor="accent1" w:themeShade="80"/>
            </w:tcBorders>
            <w:shd w:val="clear" w:color="auto" w:fill="auto"/>
          </w:tcPr>
          <w:p w14:paraId="31F9F82C" w14:textId="77777777" w:rsidR="00C42353" w:rsidRPr="00537AE7" w:rsidRDefault="00C42353" w:rsidP="00537AE7">
            <w:pPr>
              <w:spacing w:after="0"/>
              <w:jc w:val="center"/>
              <w:rPr>
                <w:rFonts w:cs="Arial"/>
                <w:b/>
                <w:szCs w:val="18"/>
              </w:rPr>
            </w:pPr>
          </w:p>
        </w:tc>
        <w:tc>
          <w:tcPr>
            <w:tcW w:w="3261" w:type="dxa"/>
            <w:gridSpan w:val="3"/>
            <w:tcBorders>
              <w:top w:val="single" w:sz="2" w:space="0" w:color="1F4E79" w:themeColor="accent1" w:themeShade="80"/>
              <w:bottom w:val="single" w:sz="2" w:space="0" w:color="1F4E79" w:themeColor="accent1" w:themeShade="80"/>
            </w:tcBorders>
            <w:shd w:val="clear" w:color="auto" w:fill="auto"/>
            <w:vAlign w:val="center"/>
          </w:tcPr>
          <w:p w14:paraId="5DB2754B" w14:textId="77777777" w:rsidR="00C42353" w:rsidRPr="00537AE7" w:rsidRDefault="00C42353" w:rsidP="00537AE7">
            <w:pPr>
              <w:spacing w:after="0"/>
              <w:jc w:val="center"/>
              <w:rPr>
                <w:rFonts w:cs="Arial"/>
                <w:b/>
                <w:sz w:val="14"/>
                <w:szCs w:val="14"/>
              </w:rPr>
            </w:pPr>
            <w:r>
              <w:rPr>
                <w:rFonts w:cs="Arial"/>
                <w:b/>
                <w:sz w:val="14"/>
                <w:szCs w:val="14"/>
              </w:rPr>
              <w:t>Exercício 2021</w:t>
            </w:r>
          </w:p>
        </w:tc>
        <w:tc>
          <w:tcPr>
            <w:tcW w:w="283" w:type="dxa"/>
            <w:tcBorders>
              <w:top w:val="single" w:sz="2" w:space="0" w:color="1F4E79" w:themeColor="accent1" w:themeShade="80"/>
            </w:tcBorders>
            <w:shd w:val="clear" w:color="auto" w:fill="auto"/>
            <w:vAlign w:val="center"/>
          </w:tcPr>
          <w:p w14:paraId="224A98C3" w14:textId="77777777" w:rsidR="00C42353" w:rsidRPr="00537AE7" w:rsidRDefault="00C42353" w:rsidP="00537AE7">
            <w:pPr>
              <w:spacing w:after="0"/>
              <w:jc w:val="center"/>
              <w:rPr>
                <w:rFonts w:cs="Arial"/>
                <w:b/>
                <w:sz w:val="14"/>
                <w:szCs w:val="14"/>
              </w:rPr>
            </w:pPr>
          </w:p>
        </w:tc>
        <w:tc>
          <w:tcPr>
            <w:tcW w:w="3826" w:type="dxa"/>
            <w:gridSpan w:val="3"/>
            <w:tcBorders>
              <w:top w:val="single" w:sz="2" w:space="0" w:color="1F4E79" w:themeColor="accent1" w:themeShade="80"/>
              <w:bottom w:val="single" w:sz="2" w:space="0" w:color="1F4E79" w:themeColor="accent1" w:themeShade="80"/>
            </w:tcBorders>
            <w:shd w:val="clear" w:color="auto" w:fill="auto"/>
            <w:vAlign w:val="center"/>
          </w:tcPr>
          <w:p w14:paraId="22D33481" w14:textId="77777777" w:rsidR="00C42353" w:rsidRPr="00537AE7" w:rsidRDefault="00C42353" w:rsidP="00537AE7">
            <w:pPr>
              <w:spacing w:after="0"/>
              <w:jc w:val="center"/>
              <w:rPr>
                <w:rFonts w:cs="Arial"/>
                <w:b/>
                <w:sz w:val="14"/>
                <w:szCs w:val="14"/>
              </w:rPr>
            </w:pPr>
            <w:r>
              <w:rPr>
                <w:rFonts w:cs="Arial"/>
                <w:b/>
                <w:sz w:val="14"/>
                <w:szCs w:val="14"/>
              </w:rPr>
              <w:t>Exercício 2020</w:t>
            </w:r>
          </w:p>
        </w:tc>
      </w:tr>
      <w:tr w:rsidR="00C42353" w:rsidRPr="00537AE7" w14:paraId="6A200FC5" w14:textId="77777777" w:rsidTr="0064478A">
        <w:trPr>
          <w:trHeight w:val="238"/>
          <w:jc w:val="center"/>
        </w:trPr>
        <w:tc>
          <w:tcPr>
            <w:tcW w:w="2269" w:type="dxa"/>
            <w:tcBorders>
              <w:bottom w:val="single" w:sz="2" w:space="0" w:color="1F4E79" w:themeColor="accent1" w:themeShade="80"/>
            </w:tcBorders>
            <w:shd w:val="clear" w:color="auto" w:fill="auto"/>
          </w:tcPr>
          <w:p w14:paraId="484435DB" w14:textId="77777777" w:rsidR="00C42353" w:rsidRPr="00537AE7" w:rsidRDefault="00C42353" w:rsidP="00537AE7">
            <w:pPr>
              <w:keepNext/>
              <w:keepLines/>
              <w:spacing w:before="40" w:after="40" w:line="240" w:lineRule="auto"/>
              <w:rPr>
                <w:rFonts w:eastAsia="Times New Roman" w:cs="Arial"/>
                <w:b/>
                <w:spacing w:val="-2"/>
                <w:sz w:val="14"/>
                <w:szCs w:val="18"/>
                <w:lang w:eastAsia="pt-BR"/>
              </w:rPr>
            </w:pP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7BD2E4FA"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Aliança do Brasil</w:t>
            </w: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64A74387"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Brasilseg</w:t>
            </w: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7FD683DB"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BB Mapfre</w:t>
            </w:r>
          </w:p>
        </w:tc>
        <w:tc>
          <w:tcPr>
            <w:tcW w:w="283" w:type="dxa"/>
            <w:tcBorders>
              <w:bottom w:val="single" w:sz="2" w:space="0" w:color="1F4E79" w:themeColor="accent1" w:themeShade="80"/>
            </w:tcBorders>
            <w:shd w:val="clear" w:color="auto" w:fill="auto"/>
            <w:vAlign w:val="center"/>
          </w:tcPr>
          <w:p w14:paraId="638D6563"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4277787B"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Aliança do Brasil</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7C55E7A3"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Brasilseg</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6A45A12"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BB Mapfre</w:t>
            </w:r>
          </w:p>
        </w:tc>
      </w:tr>
      <w:tr w:rsidR="00C42353" w:rsidRPr="00295D44" w14:paraId="58419565" w14:textId="77777777" w:rsidTr="006B2B70">
        <w:trPr>
          <w:trHeight w:val="238"/>
          <w:jc w:val="center"/>
        </w:trPr>
        <w:tc>
          <w:tcPr>
            <w:tcW w:w="2269" w:type="dxa"/>
            <w:tcBorders>
              <w:top w:val="single" w:sz="2" w:space="0" w:color="1F4E79" w:themeColor="accent1" w:themeShade="80"/>
            </w:tcBorders>
            <w:shd w:val="clear" w:color="auto" w:fill="auto"/>
            <w:vAlign w:val="center"/>
          </w:tcPr>
          <w:p w14:paraId="6B09F159" w14:textId="77777777" w:rsidR="00C42353" w:rsidRPr="00295D44" w:rsidRDefault="00C42353" w:rsidP="006B2B70">
            <w:pPr>
              <w:keepNext/>
              <w:keepLines/>
              <w:spacing w:before="40" w:after="40" w:line="240" w:lineRule="auto"/>
              <w:rPr>
                <w:rFonts w:eastAsia="Times New Roman" w:cs="Arial"/>
                <w:b/>
                <w:spacing w:val="-2"/>
                <w:sz w:val="14"/>
                <w:szCs w:val="14"/>
                <w:lang w:eastAsia="pt-BR"/>
              </w:rPr>
            </w:pPr>
            <w:r w:rsidRPr="00295D44">
              <w:rPr>
                <w:rFonts w:eastAsia="Times New Roman" w:cs="Arial"/>
                <w:b/>
                <w:spacing w:val="-2"/>
                <w:sz w:val="14"/>
                <w:szCs w:val="14"/>
                <w:lang w:eastAsia="pt-BR"/>
              </w:rPr>
              <w:t>Receitas líquidas das operações/prêmios</w:t>
            </w:r>
          </w:p>
        </w:tc>
        <w:tc>
          <w:tcPr>
            <w:tcW w:w="1087" w:type="dxa"/>
            <w:tcBorders>
              <w:top w:val="single" w:sz="2" w:space="0" w:color="1F4E79" w:themeColor="accent1" w:themeShade="80"/>
            </w:tcBorders>
            <w:shd w:val="clear" w:color="auto" w:fill="auto"/>
            <w:vAlign w:val="center"/>
          </w:tcPr>
          <w:p w14:paraId="777CDC0A"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142.666</w:t>
            </w:r>
          </w:p>
        </w:tc>
        <w:tc>
          <w:tcPr>
            <w:tcW w:w="1087" w:type="dxa"/>
            <w:tcBorders>
              <w:top w:val="single" w:sz="2" w:space="0" w:color="1F4E79" w:themeColor="accent1" w:themeShade="80"/>
            </w:tcBorders>
            <w:shd w:val="clear" w:color="auto" w:fill="auto"/>
            <w:vAlign w:val="center"/>
          </w:tcPr>
          <w:p w14:paraId="0C125D74"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2.334.700</w:t>
            </w:r>
          </w:p>
        </w:tc>
        <w:tc>
          <w:tcPr>
            <w:tcW w:w="1087" w:type="dxa"/>
            <w:tcBorders>
              <w:top w:val="single" w:sz="2" w:space="0" w:color="1F4E79" w:themeColor="accent1" w:themeShade="80"/>
            </w:tcBorders>
            <w:shd w:val="clear" w:color="auto" w:fill="auto"/>
            <w:vAlign w:val="center"/>
          </w:tcPr>
          <w:p w14:paraId="3797DB52"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w:t>
            </w:r>
          </w:p>
        </w:tc>
        <w:tc>
          <w:tcPr>
            <w:tcW w:w="283" w:type="dxa"/>
            <w:tcBorders>
              <w:top w:val="single" w:sz="2" w:space="0" w:color="1F4E79" w:themeColor="accent1" w:themeShade="80"/>
            </w:tcBorders>
            <w:shd w:val="clear" w:color="auto" w:fill="auto"/>
            <w:vAlign w:val="center"/>
          </w:tcPr>
          <w:p w14:paraId="57C5AAC2"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tcBorders>
              <w:top w:val="single" w:sz="2" w:space="0" w:color="1F4E79" w:themeColor="accent1" w:themeShade="80"/>
            </w:tcBorders>
            <w:shd w:val="clear" w:color="auto" w:fill="auto"/>
            <w:vAlign w:val="center"/>
          </w:tcPr>
          <w:p w14:paraId="5534C9BD"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130.761</w:t>
            </w:r>
          </w:p>
        </w:tc>
        <w:tc>
          <w:tcPr>
            <w:tcW w:w="1275" w:type="dxa"/>
            <w:tcBorders>
              <w:top w:val="single" w:sz="2" w:space="0" w:color="1F4E79" w:themeColor="accent1" w:themeShade="80"/>
            </w:tcBorders>
            <w:shd w:val="clear" w:color="auto" w:fill="auto"/>
            <w:vAlign w:val="center"/>
          </w:tcPr>
          <w:p w14:paraId="652C3BC3"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2.361.065</w:t>
            </w:r>
          </w:p>
        </w:tc>
        <w:tc>
          <w:tcPr>
            <w:tcW w:w="1276" w:type="dxa"/>
            <w:tcBorders>
              <w:top w:val="single" w:sz="2" w:space="0" w:color="1F4E79" w:themeColor="accent1" w:themeShade="80"/>
            </w:tcBorders>
            <w:shd w:val="clear" w:color="auto" w:fill="auto"/>
            <w:vAlign w:val="center"/>
          </w:tcPr>
          <w:p w14:paraId="6CFD9B74"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eastAsia="Times New Roman" w:cs="Arial"/>
                <w:b/>
                <w:spacing w:val="-2"/>
                <w:sz w:val="14"/>
                <w:szCs w:val="14"/>
                <w:lang w:eastAsia="pt-BR"/>
              </w:rPr>
              <w:t>--</w:t>
            </w:r>
          </w:p>
        </w:tc>
      </w:tr>
      <w:tr w:rsidR="00C42353" w:rsidRPr="00537AE7" w14:paraId="3A254DD2" w14:textId="77777777" w:rsidTr="006B2B70">
        <w:trPr>
          <w:trHeight w:val="238"/>
          <w:jc w:val="center"/>
        </w:trPr>
        <w:tc>
          <w:tcPr>
            <w:tcW w:w="2269" w:type="dxa"/>
            <w:shd w:val="clear" w:color="auto" w:fill="auto"/>
            <w:vAlign w:val="center"/>
          </w:tcPr>
          <w:p w14:paraId="670D1F07" w14:textId="77777777" w:rsidR="00C42353" w:rsidRPr="00537AE7" w:rsidRDefault="00C42353" w:rsidP="006B2B70">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Seguros</w:t>
            </w:r>
          </w:p>
        </w:tc>
        <w:tc>
          <w:tcPr>
            <w:tcW w:w="1087" w:type="dxa"/>
            <w:shd w:val="clear" w:color="auto" w:fill="auto"/>
            <w:vAlign w:val="center"/>
          </w:tcPr>
          <w:p w14:paraId="7D6C397D"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781.468</w:t>
            </w:r>
          </w:p>
        </w:tc>
        <w:tc>
          <w:tcPr>
            <w:tcW w:w="1087" w:type="dxa"/>
            <w:shd w:val="clear" w:color="auto" w:fill="auto"/>
            <w:vAlign w:val="center"/>
          </w:tcPr>
          <w:p w14:paraId="3BE66A78"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9.778.619</w:t>
            </w:r>
          </w:p>
        </w:tc>
        <w:tc>
          <w:tcPr>
            <w:tcW w:w="1087" w:type="dxa"/>
            <w:shd w:val="clear" w:color="auto" w:fill="auto"/>
            <w:vAlign w:val="center"/>
          </w:tcPr>
          <w:p w14:paraId="118F5364"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c>
          <w:tcPr>
            <w:tcW w:w="283" w:type="dxa"/>
            <w:shd w:val="clear" w:color="auto" w:fill="auto"/>
            <w:vAlign w:val="center"/>
          </w:tcPr>
          <w:p w14:paraId="427ED5FB"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16E3CFEF"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615.153</w:t>
            </w:r>
          </w:p>
        </w:tc>
        <w:tc>
          <w:tcPr>
            <w:tcW w:w="1275" w:type="dxa"/>
            <w:shd w:val="clear" w:color="auto" w:fill="auto"/>
            <w:vAlign w:val="center"/>
          </w:tcPr>
          <w:p w14:paraId="3CACBDD2"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8.325.642</w:t>
            </w:r>
          </w:p>
        </w:tc>
        <w:tc>
          <w:tcPr>
            <w:tcW w:w="1276" w:type="dxa"/>
            <w:shd w:val="clear" w:color="auto" w:fill="auto"/>
            <w:vAlign w:val="center"/>
          </w:tcPr>
          <w:p w14:paraId="49FAEB65"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eastAsia="Times New Roman" w:cs="Arial"/>
                <w:spacing w:val="-2"/>
                <w:sz w:val="14"/>
                <w:szCs w:val="14"/>
                <w:lang w:eastAsia="pt-BR"/>
              </w:rPr>
              <w:t>--</w:t>
            </w:r>
          </w:p>
        </w:tc>
      </w:tr>
      <w:tr w:rsidR="00C42353" w:rsidRPr="00537AE7" w14:paraId="7B6D9B14" w14:textId="77777777" w:rsidTr="006B2B70">
        <w:trPr>
          <w:trHeight w:val="238"/>
          <w:jc w:val="center"/>
        </w:trPr>
        <w:tc>
          <w:tcPr>
            <w:tcW w:w="2269" w:type="dxa"/>
            <w:shd w:val="clear" w:color="auto" w:fill="auto"/>
            <w:vAlign w:val="center"/>
          </w:tcPr>
          <w:p w14:paraId="442739BF"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Resseguros</w:t>
            </w:r>
          </w:p>
        </w:tc>
        <w:tc>
          <w:tcPr>
            <w:tcW w:w="1087" w:type="dxa"/>
            <w:shd w:val="clear" w:color="auto" w:fill="auto"/>
            <w:vAlign w:val="center"/>
          </w:tcPr>
          <w:p w14:paraId="2FDF20AA"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55.799</w:t>
            </w:r>
          </w:p>
        </w:tc>
        <w:tc>
          <w:tcPr>
            <w:tcW w:w="1087" w:type="dxa"/>
            <w:shd w:val="clear" w:color="auto" w:fill="auto"/>
            <w:vAlign w:val="center"/>
          </w:tcPr>
          <w:p w14:paraId="1DF4F027"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(40.375)</w:t>
            </w:r>
          </w:p>
        </w:tc>
        <w:tc>
          <w:tcPr>
            <w:tcW w:w="1087" w:type="dxa"/>
            <w:shd w:val="clear" w:color="auto" w:fill="auto"/>
            <w:vAlign w:val="center"/>
          </w:tcPr>
          <w:p w14:paraId="58ADCC34"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c>
          <w:tcPr>
            <w:tcW w:w="283" w:type="dxa"/>
            <w:shd w:val="clear" w:color="auto" w:fill="auto"/>
            <w:vAlign w:val="center"/>
          </w:tcPr>
          <w:p w14:paraId="1E7FBE09"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25AA1C43"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44.552</w:t>
            </w:r>
          </w:p>
        </w:tc>
        <w:tc>
          <w:tcPr>
            <w:tcW w:w="1275" w:type="dxa"/>
            <w:shd w:val="clear" w:color="auto" w:fill="auto"/>
            <w:vAlign w:val="center"/>
          </w:tcPr>
          <w:p w14:paraId="0A0B0AA3"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7.976</w:t>
            </w:r>
          </w:p>
        </w:tc>
        <w:tc>
          <w:tcPr>
            <w:tcW w:w="1276" w:type="dxa"/>
            <w:shd w:val="clear" w:color="auto" w:fill="auto"/>
            <w:vAlign w:val="center"/>
          </w:tcPr>
          <w:p w14:paraId="64A3CFF3"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eastAsia="Times New Roman" w:cs="Arial"/>
                <w:spacing w:val="-2"/>
                <w:sz w:val="14"/>
                <w:szCs w:val="14"/>
                <w:lang w:eastAsia="pt-BR"/>
              </w:rPr>
              <w:t>--</w:t>
            </w:r>
          </w:p>
        </w:tc>
      </w:tr>
      <w:tr w:rsidR="00C42353" w:rsidRPr="00537AE7" w14:paraId="66540C71" w14:textId="77777777" w:rsidTr="006B2B70">
        <w:trPr>
          <w:trHeight w:val="238"/>
          <w:jc w:val="center"/>
        </w:trPr>
        <w:tc>
          <w:tcPr>
            <w:tcW w:w="2269" w:type="dxa"/>
            <w:shd w:val="clear" w:color="auto" w:fill="auto"/>
            <w:vAlign w:val="center"/>
          </w:tcPr>
          <w:p w14:paraId="36E34D7F"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Custos/despesas</w:t>
            </w:r>
          </w:p>
        </w:tc>
        <w:tc>
          <w:tcPr>
            <w:tcW w:w="1087" w:type="dxa"/>
            <w:shd w:val="clear" w:color="auto" w:fill="auto"/>
            <w:vAlign w:val="center"/>
          </w:tcPr>
          <w:p w14:paraId="4920C519"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(694.601)</w:t>
            </w:r>
          </w:p>
        </w:tc>
        <w:tc>
          <w:tcPr>
            <w:tcW w:w="1087" w:type="dxa"/>
            <w:shd w:val="clear" w:color="auto" w:fill="auto"/>
            <w:vAlign w:val="center"/>
          </w:tcPr>
          <w:p w14:paraId="09362042"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(7.403.544)</w:t>
            </w:r>
          </w:p>
        </w:tc>
        <w:tc>
          <w:tcPr>
            <w:tcW w:w="1087" w:type="dxa"/>
            <w:shd w:val="clear" w:color="auto" w:fill="auto"/>
            <w:vAlign w:val="center"/>
          </w:tcPr>
          <w:p w14:paraId="7C804516"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c>
          <w:tcPr>
            <w:tcW w:w="283" w:type="dxa"/>
            <w:shd w:val="clear" w:color="auto" w:fill="auto"/>
            <w:vAlign w:val="center"/>
          </w:tcPr>
          <w:p w14:paraId="5FE75746"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490C030D"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eastAsia="Times New Roman" w:cs="Arial"/>
                <w:spacing w:val="-2"/>
                <w:sz w:val="14"/>
                <w:szCs w:val="14"/>
                <w:lang w:eastAsia="pt-BR"/>
              </w:rPr>
              <w:t>(528.944)</w:t>
            </w:r>
          </w:p>
        </w:tc>
        <w:tc>
          <w:tcPr>
            <w:tcW w:w="1275" w:type="dxa"/>
            <w:shd w:val="clear" w:color="auto" w:fill="auto"/>
            <w:vAlign w:val="center"/>
          </w:tcPr>
          <w:p w14:paraId="6CDDF5C4"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eastAsia="Times New Roman" w:cs="Arial"/>
                <w:spacing w:val="-2"/>
                <w:sz w:val="14"/>
                <w:szCs w:val="14"/>
                <w:lang w:eastAsia="pt-BR"/>
              </w:rPr>
              <w:t>(5.972.553)</w:t>
            </w:r>
          </w:p>
        </w:tc>
        <w:tc>
          <w:tcPr>
            <w:tcW w:w="1276" w:type="dxa"/>
            <w:shd w:val="clear" w:color="auto" w:fill="auto"/>
            <w:vAlign w:val="center"/>
          </w:tcPr>
          <w:p w14:paraId="1A2A5D90"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eastAsia="Times New Roman" w:cs="Arial"/>
                <w:spacing w:val="-2"/>
                <w:sz w:val="14"/>
                <w:szCs w:val="14"/>
                <w:lang w:eastAsia="pt-BR"/>
              </w:rPr>
              <w:t>--</w:t>
            </w:r>
          </w:p>
        </w:tc>
      </w:tr>
      <w:tr w:rsidR="00C42353" w:rsidRPr="00295D44" w14:paraId="398423CF" w14:textId="77777777" w:rsidTr="006B2B70">
        <w:trPr>
          <w:trHeight w:val="238"/>
          <w:jc w:val="center"/>
        </w:trPr>
        <w:tc>
          <w:tcPr>
            <w:tcW w:w="2269" w:type="dxa"/>
            <w:shd w:val="clear" w:color="auto" w:fill="auto"/>
            <w:vAlign w:val="center"/>
          </w:tcPr>
          <w:p w14:paraId="416E2E8E" w14:textId="77777777" w:rsidR="00C42353" w:rsidRPr="006B2B70" w:rsidRDefault="00C42353" w:rsidP="006B2B70">
            <w:pPr>
              <w:keepNext/>
              <w:keepLines/>
              <w:spacing w:before="40" w:after="40" w:line="240" w:lineRule="auto"/>
              <w:rPr>
                <w:rFonts w:eastAsia="Times New Roman" w:cs="Arial"/>
                <w:b/>
                <w:color w:val="000000"/>
                <w:spacing w:val="-2"/>
                <w:sz w:val="14"/>
                <w:szCs w:val="14"/>
                <w:lang w:eastAsia="pt-BR"/>
              </w:rPr>
            </w:pPr>
            <w:r w:rsidRPr="006B2B70">
              <w:rPr>
                <w:rFonts w:eastAsia="Times New Roman" w:cs="Arial"/>
                <w:b/>
                <w:spacing w:val="-2"/>
                <w:sz w:val="14"/>
                <w:szCs w:val="14"/>
                <w:lang w:eastAsia="pt-BR"/>
              </w:rPr>
              <w:t>Resultado financeiro</w:t>
            </w:r>
          </w:p>
        </w:tc>
        <w:tc>
          <w:tcPr>
            <w:tcW w:w="1087" w:type="dxa"/>
            <w:shd w:val="clear" w:color="auto" w:fill="auto"/>
            <w:vAlign w:val="center"/>
          </w:tcPr>
          <w:p w14:paraId="3AFCDFD1"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41.891</w:t>
            </w:r>
          </w:p>
        </w:tc>
        <w:tc>
          <w:tcPr>
            <w:tcW w:w="1087" w:type="dxa"/>
            <w:shd w:val="clear" w:color="auto" w:fill="auto"/>
            <w:vAlign w:val="center"/>
          </w:tcPr>
          <w:p w14:paraId="122333CA"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221.222</w:t>
            </w:r>
          </w:p>
        </w:tc>
        <w:tc>
          <w:tcPr>
            <w:tcW w:w="1087" w:type="dxa"/>
            <w:shd w:val="clear" w:color="auto" w:fill="auto"/>
            <w:vAlign w:val="center"/>
          </w:tcPr>
          <w:p w14:paraId="6B867E35"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3.318</w:t>
            </w:r>
          </w:p>
        </w:tc>
        <w:tc>
          <w:tcPr>
            <w:tcW w:w="283" w:type="dxa"/>
            <w:shd w:val="clear" w:color="auto" w:fill="auto"/>
            <w:vAlign w:val="center"/>
          </w:tcPr>
          <w:p w14:paraId="21A4AF71"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45EB4303"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10.715</w:t>
            </w:r>
          </w:p>
        </w:tc>
        <w:tc>
          <w:tcPr>
            <w:tcW w:w="1275" w:type="dxa"/>
            <w:shd w:val="clear" w:color="auto" w:fill="auto"/>
            <w:vAlign w:val="center"/>
          </w:tcPr>
          <w:p w14:paraId="6D76B66F"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248.659</w:t>
            </w:r>
          </w:p>
        </w:tc>
        <w:tc>
          <w:tcPr>
            <w:tcW w:w="1276" w:type="dxa"/>
            <w:shd w:val="clear" w:color="auto" w:fill="auto"/>
            <w:vAlign w:val="center"/>
          </w:tcPr>
          <w:p w14:paraId="7E41B33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2.274</w:t>
            </w:r>
          </w:p>
        </w:tc>
      </w:tr>
      <w:tr w:rsidR="00C42353" w:rsidRPr="00537AE7" w14:paraId="684CC4FF" w14:textId="77777777" w:rsidTr="006B2B70">
        <w:trPr>
          <w:trHeight w:val="238"/>
          <w:jc w:val="center"/>
        </w:trPr>
        <w:tc>
          <w:tcPr>
            <w:tcW w:w="2269" w:type="dxa"/>
            <w:shd w:val="clear" w:color="auto" w:fill="auto"/>
            <w:vAlign w:val="center"/>
          </w:tcPr>
          <w:p w14:paraId="1D5EA148" w14:textId="77777777" w:rsidR="00C42353" w:rsidRPr="00537AE7" w:rsidRDefault="00C42353" w:rsidP="006B2B70">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bCs/>
                <w:spacing w:val="-2"/>
                <w:sz w:val="14"/>
                <w:szCs w:val="14"/>
                <w:lang w:eastAsia="pt-BR"/>
              </w:rPr>
              <w:t>Receitas de juros</w:t>
            </w:r>
          </w:p>
        </w:tc>
        <w:tc>
          <w:tcPr>
            <w:tcW w:w="1087" w:type="dxa"/>
            <w:shd w:val="clear" w:color="auto" w:fill="auto"/>
            <w:vAlign w:val="center"/>
          </w:tcPr>
          <w:p w14:paraId="525DFBE8"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5.863</w:t>
            </w:r>
          </w:p>
        </w:tc>
        <w:tc>
          <w:tcPr>
            <w:tcW w:w="1087" w:type="dxa"/>
            <w:shd w:val="clear" w:color="auto" w:fill="auto"/>
            <w:vAlign w:val="center"/>
          </w:tcPr>
          <w:p w14:paraId="7A95C852"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21.719</w:t>
            </w:r>
          </w:p>
        </w:tc>
        <w:tc>
          <w:tcPr>
            <w:tcW w:w="1087" w:type="dxa"/>
            <w:shd w:val="clear" w:color="auto" w:fill="auto"/>
            <w:vAlign w:val="center"/>
          </w:tcPr>
          <w:p w14:paraId="5F32F835"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c>
          <w:tcPr>
            <w:tcW w:w="283" w:type="dxa"/>
            <w:shd w:val="clear" w:color="auto" w:fill="auto"/>
            <w:vAlign w:val="center"/>
          </w:tcPr>
          <w:p w14:paraId="4169045C"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74D927F8"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9.604</w:t>
            </w:r>
          </w:p>
        </w:tc>
        <w:tc>
          <w:tcPr>
            <w:tcW w:w="1275" w:type="dxa"/>
            <w:shd w:val="clear" w:color="auto" w:fill="auto"/>
            <w:vAlign w:val="center"/>
          </w:tcPr>
          <w:p w14:paraId="49DF3A2C"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152.463</w:t>
            </w:r>
          </w:p>
        </w:tc>
        <w:tc>
          <w:tcPr>
            <w:tcW w:w="1276" w:type="dxa"/>
            <w:shd w:val="clear" w:color="auto" w:fill="auto"/>
            <w:vAlign w:val="center"/>
          </w:tcPr>
          <w:p w14:paraId="13C7852D"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w:t>
            </w:r>
          </w:p>
        </w:tc>
      </w:tr>
      <w:tr w:rsidR="00C42353" w:rsidRPr="00537AE7" w14:paraId="2910A196" w14:textId="77777777" w:rsidTr="006B2B70">
        <w:trPr>
          <w:trHeight w:val="238"/>
          <w:jc w:val="center"/>
        </w:trPr>
        <w:tc>
          <w:tcPr>
            <w:tcW w:w="2269" w:type="dxa"/>
            <w:shd w:val="clear" w:color="auto" w:fill="auto"/>
            <w:vAlign w:val="center"/>
          </w:tcPr>
          <w:p w14:paraId="642E4692" w14:textId="77777777" w:rsidR="00C42353" w:rsidRPr="00537AE7" w:rsidRDefault="00C42353" w:rsidP="006B2B70">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receitas financeiras</w:t>
            </w:r>
          </w:p>
        </w:tc>
        <w:tc>
          <w:tcPr>
            <w:tcW w:w="1087" w:type="dxa"/>
            <w:shd w:val="clear" w:color="auto" w:fill="auto"/>
            <w:vAlign w:val="center"/>
          </w:tcPr>
          <w:p w14:paraId="5E564A5F"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23.088</w:t>
            </w:r>
          </w:p>
        </w:tc>
        <w:tc>
          <w:tcPr>
            <w:tcW w:w="1087" w:type="dxa"/>
            <w:shd w:val="clear" w:color="auto" w:fill="auto"/>
            <w:vAlign w:val="center"/>
          </w:tcPr>
          <w:p w14:paraId="2F6FF79A"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308.321</w:t>
            </w:r>
          </w:p>
        </w:tc>
        <w:tc>
          <w:tcPr>
            <w:tcW w:w="1087" w:type="dxa"/>
            <w:shd w:val="clear" w:color="auto" w:fill="auto"/>
            <w:vAlign w:val="center"/>
          </w:tcPr>
          <w:p w14:paraId="757AA7A8"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3.318</w:t>
            </w:r>
          </w:p>
        </w:tc>
        <w:tc>
          <w:tcPr>
            <w:tcW w:w="283" w:type="dxa"/>
            <w:shd w:val="clear" w:color="auto" w:fill="auto"/>
            <w:vAlign w:val="center"/>
          </w:tcPr>
          <w:p w14:paraId="7D7EDAA1"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06964369"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17.159</w:t>
            </w:r>
          </w:p>
        </w:tc>
        <w:tc>
          <w:tcPr>
            <w:tcW w:w="1275" w:type="dxa"/>
            <w:shd w:val="clear" w:color="auto" w:fill="auto"/>
            <w:vAlign w:val="center"/>
          </w:tcPr>
          <w:p w14:paraId="4DA4BC6E"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190.487</w:t>
            </w:r>
          </w:p>
        </w:tc>
        <w:tc>
          <w:tcPr>
            <w:tcW w:w="1276" w:type="dxa"/>
            <w:shd w:val="clear" w:color="auto" w:fill="auto"/>
            <w:vAlign w:val="center"/>
          </w:tcPr>
          <w:p w14:paraId="43DDA506"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2.288</w:t>
            </w:r>
          </w:p>
        </w:tc>
      </w:tr>
      <w:tr w:rsidR="00C42353" w:rsidRPr="00537AE7" w14:paraId="408CF256" w14:textId="77777777" w:rsidTr="006B2B70">
        <w:trPr>
          <w:trHeight w:val="238"/>
          <w:jc w:val="center"/>
        </w:trPr>
        <w:tc>
          <w:tcPr>
            <w:tcW w:w="2269" w:type="dxa"/>
            <w:shd w:val="clear" w:color="auto" w:fill="auto"/>
            <w:vAlign w:val="center"/>
          </w:tcPr>
          <w:p w14:paraId="7E13B920" w14:textId="77777777" w:rsidR="00C42353" w:rsidRPr="00537AE7" w:rsidRDefault="00C42353" w:rsidP="006B2B70">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Despesas de juros</w:t>
            </w:r>
          </w:p>
        </w:tc>
        <w:tc>
          <w:tcPr>
            <w:tcW w:w="1087" w:type="dxa"/>
            <w:shd w:val="clear" w:color="auto" w:fill="auto"/>
            <w:vAlign w:val="center"/>
          </w:tcPr>
          <w:p w14:paraId="55B20552"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14.708</w:t>
            </w:r>
          </w:p>
        </w:tc>
        <w:tc>
          <w:tcPr>
            <w:tcW w:w="1087" w:type="dxa"/>
            <w:shd w:val="clear" w:color="auto" w:fill="auto"/>
            <w:vAlign w:val="center"/>
          </w:tcPr>
          <w:p w14:paraId="29830F01"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(42.161)</w:t>
            </w:r>
          </w:p>
        </w:tc>
        <w:tc>
          <w:tcPr>
            <w:tcW w:w="1087" w:type="dxa"/>
            <w:shd w:val="clear" w:color="auto" w:fill="auto"/>
            <w:vAlign w:val="center"/>
          </w:tcPr>
          <w:p w14:paraId="23E368A4"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c>
          <w:tcPr>
            <w:tcW w:w="283" w:type="dxa"/>
            <w:shd w:val="clear" w:color="auto" w:fill="auto"/>
            <w:vAlign w:val="center"/>
          </w:tcPr>
          <w:p w14:paraId="663215CC"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2A7B121F"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(4.349)</w:t>
            </w:r>
          </w:p>
        </w:tc>
        <w:tc>
          <w:tcPr>
            <w:tcW w:w="1275" w:type="dxa"/>
            <w:shd w:val="clear" w:color="auto" w:fill="auto"/>
            <w:vAlign w:val="center"/>
          </w:tcPr>
          <w:p w14:paraId="4E72EF06"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(17.052)</w:t>
            </w:r>
          </w:p>
        </w:tc>
        <w:tc>
          <w:tcPr>
            <w:tcW w:w="1276" w:type="dxa"/>
            <w:shd w:val="clear" w:color="auto" w:fill="auto"/>
            <w:vAlign w:val="center"/>
          </w:tcPr>
          <w:p w14:paraId="2A48A92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w:t>
            </w:r>
          </w:p>
        </w:tc>
      </w:tr>
      <w:tr w:rsidR="00C42353" w:rsidRPr="00537AE7" w14:paraId="2079F80F" w14:textId="77777777" w:rsidTr="006B2B70">
        <w:trPr>
          <w:trHeight w:val="238"/>
          <w:jc w:val="center"/>
        </w:trPr>
        <w:tc>
          <w:tcPr>
            <w:tcW w:w="2269" w:type="dxa"/>
            <w:shd w:val="clear" w:color="auto" w:fill="auto"/>
            <w:vAlign w:val="center"/>
          </w:tcPr>
          <w:p w14:paraId="7A39B28B" w14:textId="77777777" w:rsidR="00C42353" w:rsidRPr="00537AE7" w:rsidRDefault="00C42353" w:rsidP="006B2B70">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despesas financeiras</w:t>
            </w:r>
          </w:p>
        </w:tc>
        <w:tc>
          <w:tcPr>
            <w:tcW w:w="1087" w:type="dxa"/>
            <w:shd w:val="clear" w:color="auto" w:fill="auto"/>
            <w:vAlign w:val="center"/>
          </w:tcPr>
          <w:p w14:paraId="12836E84"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(1.768)</w:t>
            </w:r>
          </w:p>
        </w:tc>
        <w:tc>
          <w:tcPr>
            <w:tcW w:w="1087" w:type="dxa"/>
            <w:shd w:val="clear" w:color="auto" w:fill="auto"/>
            <w:vAlign w:val="center"/>
          </w:tcPr>
          <w:p w14:paraId="573386B5"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(66.657)</w:t>
            </w:r>
          </w:p>
        </w:tc>
        <w:tc>
          <w:tcPr>
            <w:tcW w:w="1087" w:type="dxa"/>
            <w:shd w:val="clear" w:color="auto" w:fill="auto"/>
            <w:vAlign w:val="center"/>
          </w:tcPr>
          <w:p w14:paraId="6EC3B5E7"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c>
          <w:tcPr>
            <w:tcW w:w="283" w:type="dxa"/>
            <w:shd w:val="clear" w:color="auto" w:fill="auto"/>
            <w:vAlign w:val="center"/>
          </w:tcPr>
          <w:p w14:paraId="65264B3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091F5C6A"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(11.699)</w:t>
            </w:r>
          </w:p>
        </w:tc>
        <w:tc>
          <w:tcPr>
            <w:tcW w:w="1275" w:type="dxa"/>
            <w:shd w:val="clear" w:color="auto" w:fill="auto"/>
            <w:vAlign w:val="center"/>
          </w:tcPr>
          <w:p w14:paraId="1328F82C"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(77.239)</w:t>
            </w:r>
          </w:p>
        </w:tc>
        <w:tc>
          <w:tcPr>
            <w:tcW w:w="1276" w:type="dxa"/>
            <w:shd w:val="clear" w:color="auto" w:fill="auto"/>
            <w:vAlign w:val="center"/>
          </w:tcPr>
          <w:p w14:paraId="25C5632A"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(14)</w:t>
            </w:r>
          </w:p>
        </w:tc>
      </w:tr>
      <w:tr w:rsidR="00C42353" w:rsidRPr="00295D44" w14:paraId="4E82DF83" w14:textId="77777777" w:rsidTr="006B2B70">
        <w:trPr>
          <w:trHeight w:val="238"/>
          <w:jc w:val="center"/>
        </w:trPr>
        <w:tc>
          <w:tcPr>
            <w:tcW w:w="2269" w:type="dxa"/>
            <w:shd w:val="clear" w:color="auto" w:fill="auto"/>
            <w:vAlign w:val="center"/>
          </w:tcPr>
          <w:p w14:paraId="022E1AF7" w14:textId="77777777" w:rsidR="00C42353" w:rsidRPr="00295D44" w:rsidRDefault="00C42353" w:rsidP="006B2B70">
            <w:pPr>
              <w:keepNext/>
              <w:keepLines/>
              <w:spacing w:before="40" w:after="40" w:line="240" w:lineRule="auto"/>
              <w:rPr>
                <w:rFonts w:eastAsia="Times New Roman" w:cs="Arial"/>
                <w:b/>
                <w:spacing w:val="-2"/>
                <w:sz w:val="14"/>
                <w:szCs w:val="14"/>
                <w:lang w:eastAsia="pt-BR"/>
              </w:rPr>
            </w:pPr>
            <w:r w:rsidRPr="00295D44">
              <w:rPr>
                <w:rFonts w:eastAsia="Times New Roman" w:cs="Arial"/>
                <w:b/>
                <w:color w:val="000000"/>
                <w:spacing w:val="-2"/>
                <w:sz w:val="14"/>
                <w:szCs w:val="14"/>
                <w:lang w:eastAsia="pt-BR"/>
              </w:rPr>
              <w:t>Resultado patrimonial</w:t>
            </w:r>
          </w:p>
        </w:tc>
        <w:tc>
          <w:tcPr>
            <w:tcW w:w="1087" w:type="dxa"/>
            <w:shd w:val="clear" w:color="auto" w:fill="auto"/>
            <w:vAlign w:val="center"/>
          </w:tcPr>
          <w:p w14:paraId="3DCD1C18"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(4.933)</w:t>
            </w:r>
          </w:p>
        </w:tc>
        <w:tc>
          <w:tcPr>
            <w:tcW w:w="1087" w:type="dxa"/>
            <w:shd w:val="clear" w:color="auto" w:fill="auto"/>
            <w:vAlign w:val="center"/>
          </w:tcPr>
          <w:p w14:paraId="00BB9E90"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(35.160)</w:t>
            </w:r>
          </w:p>
        </w:tc>
        <w:tc>
          <w:tcPr>
            <w:tcW w:w="1087" w:type="dxa"/>
            <w:shd w:val="clear" w:color="auto" w:fill="auto"/>
            <w:vAlign w:val="center"/>
          </w:tcPr>
          <w:p w14:paraId="38BEBCA0"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1.441.444</w:t>
            </w:r>
          </w:p>
        </w:tc>
        <w:tc>
          <w:tcPr>
            <w:tcW w:w="283" w:type="dxa"/>
            <w:shd w:val="clear" w:color="auto" w:fill="auto"/>
            <w:vAlign w:val="center"/>
          </w:tcPr>
          <w:p w14:paraId="08571674"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1005144B"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w:t>
            </w:r>
          </w:p>
        </w:tc>
        <w:tc>
          <w:tcPr>
            <w:tcW w:w="1275" w:type="dxa"/>
            <w:shd w:val="clear" w:color="auto" w:fill="auto"/>
            <w:vAlign w:val="center"/>
          </w:tcPr>
          <w:p w14:paraId="2DE844E8"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2.040</w:t>
            </w:r>
          </w:p>
        </w:tc>
        <w:tc>
          <w:tcPr>
            <w:tcW w:w="1276" w:type="dxa"/>
            <w:shd w:val="clear" w:color="auto" w:fill="auto"/>
            <w:vAlign w:val="center"/>
          </w:tcPr>
          <w:p w14:paraId="42A852F2"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1.468.583</w:t>
            </w:r>
          </w:p>
        </w:tc>
      </w:tr>
      <w:tr w:rsidR="00C42353" w:rsidRPr="00537AE7" w14:paraId="2BA25FD7" w14:textId="77777777" w:rsidTr="006B2B70">
        <w:trPr>
          <w:trHeight w:val="238"/>
          <w:jc w:val="center"/>
        </w:trPr>
        <w:tc>
          <w:tcPr>
            <w:tcW w:w="2269" w:type="dxa"/>
            <w:shd w:val="clear" w:color="auto" w:fill="auto"/>
            <w:vAlign w:val="center"/>
          </w:tcPr>
          <w:p w14:paraId="0DC57704"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Pr>
                <w:rFonts w:eastAsia="Times New Roman" w:cs="Arial"/>
                <w:bCs/>
                <w:color w:val="000000"/>
                <w:spacing w:val="-2"/>
                <w:sz w:val="14"/>
                <w:szCs w:val="14"/>
                <w:lang w:eastAsia="pt-BR"/>
              </w:rPr>
              <w:t>Depreciação e amortização</w:t>
            </w:r>
          </w:p>
        </w:tc>
        <w:tc>
          <w:tcPr>
            <w:tcW w:w="1087" w:type="dxa"/>
            <w:shd w:val="clear" w:color="auto" w:fill="auto"/>
            <w:vAlign w:val="center"/>
          </w:tcPr>
          <w:p w14:paraId="6B73806F"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(4.933)</w:t>
            </w:r>
          </w:p>
        </w:tc>
        <w:tc>
          <w:tcPr>
            <w:tcW w:w="1087" w:type="dxa"/>
            <w:shd w:val="clear" w:color="auto" w:fill="auto"/>
            <w:vAlign w:val="center"/>
          </w:tcPr>
          <w:p w14:paraId="49131411"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(36.826)</w:t>
            </w:r>
          </w:p>
        </w:tc>
        <w:tc>
          <w:tcPr>
            <w:tcW w:w="1087" w:type="dxa"/>
            <w:shd w:val="clear" w:color="auto" w:fill="auto"/>
            <w:vAlign w:val="center"/>
          </w:tcPr>
          <w:p w14:paraId="7BF59FD2"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c>
          <w:tcPr>
            <w:tcW w:w="283" w:type="dxa"/>
            <w:shd w:val="clear" w:color="auto" w:fill="auto"/>
            <w:vAlign w:val="center"/>
          </w:tcPr>
          <w:p w14:paraId="19013EB7"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FCFBD08"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eastAsia="Times New Roman" w:cs="Arial"/>
                <w:bCs/>
                <w:spacing w:val="-2"/>
                <w:sz w:val="14"/>
                <w:szCs w:val="14"/>
                <w:lang w:eastAsia="pt-BR"/>
              </w:rPr>
              <w:t>--</w:t>
            </w:r>
          </w:p>
        </w:tc>
        <w:tc>
          <w:tcPr>
            <w:tcW w:w="1275" w:type="dxa"/>
            <w:shd w:val="clear" w:color="auto" w:fill="auto"/>
            <w:vAlign w:val="center"/>
          </w:tcPr>
          <w:p w14:paraId="3F93D1D8"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eastAsia="Times New Roman" w:cs="Arial"/>
                <w:bCs/>
                <w:spacing w:val="-2"/>
                <w:sz w:val="14"/>
                <w:szCs w:val="14"/>
                <w:lang w:eastAsia="pt-BR"/>
              </w:rPr>
              <w:t>--</w:t>
            </w:r>
          </w:p>
        </w:tc>
        <w:tc>
          <w:tcPr>
            <w:tcW w:w="1276" w:type="dxa"/>
            <w:shd w:val="clear" w:color="auto" w:fill="auto"/>
            <w:vAlign w:val="center"/>
          </w:tcPr>
          <w:p w14:paraId="24E62190"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eastAsia="Times New Roman" w:cs="Arial"/>
                <w:bCs/>
                <w:spacing w:val="-2"/>
                <w:sz w:val="14"/>
                <w:szCs w:val="14"/>
                <w:lang w:eastAsia="pt-BR"/>
              </w:rPr>
              <w:t>--</w:t>
            </w:r>
          </w:p>
        </w:tc>
      </w:tr>
      <w:tr w:rsidR="00C42353" w:rsidRPr="00537AE7" w14:paraId="6C5332EE" w14:textId="77777777" w:rsidTr="006B2B70">
        <w:trPr>
          <w:trHeight w:val="238"/>
          <w:jc w:val="center"/>
        </w:trPr>
        <w:tc>
          <w:tcPr>
            <w:tcW w:w="2269" w:type="dxa"/>
            <w:shd w:val="clear" w:color="auto" w:fill="auto"/>
            <w:vAlign w:val="center"/>
          </w:tcPr>
          <w:p w14:paraId="0F437C5F"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receitas/despesas patrimoniais</w:t>
            </w:r>
          </w:p>
        </w:tc>
        <w:tc>
          <w:tcPr>
            <w:tcW w:w="1087" w:type="dxa"/>
            <w:shd w:val="clear" w:color="auto" w:fill="auto"/>
            <w:vAlign w:val="center"/>
          </w:tcPr>
          <w:p w14:paraId="2B070402"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c>
          <w:tcPr>
            <w:tcW w:w="1087" w:type="dxa"/>
            <w:shd w:val="clear" w:color="auto" w:fill="auto"/>
            <w:vAlign w:val="center"/>
          </w:tcPr>
          <w:p w14:paraId="47317CBE"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1.666</w:t>
            </w:r>
          </w:p>
        </w:tc>
        <w:tc>
          <w:tcPr>
            <w:tcW w:w="1087" w:type="dxa"/>
            <w:shd w:val="clear" w:color="auto" w:fill="auto"/>
            <w:vAlign w:val="center"/>
          </w:tcPr>
          <w:p w14:paraId="508B71D2"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1.441.444</w:t>
            </w:r>
          </w:p>
        </w:tc>
        <w:tc>
          <w:tcPr>
            <w:tcW w:w="283" w:type="dxa"/>
            <w:shd w:val="clear" w:color="auto" w:fill="auto"/>
            <w:vAlign w:val="center"/>
          </w:tcPr>
          <w:p w14:paraId="109A553E"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0BC4D7BC"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cs="Arial"/>
                <w:bCs/>
                <w:sz w:val="14"/>
                <w:szCs w:val="14"/>
              </w:rPr>
              <w:t>--</w:t>
            </w:r>
          </w:p>
        </w:tc>
        <w:tc>
          <w:tcPr>
            <w:tcW w:w="1275" w:type="dxa"/>
            <w:shd w:val="clear" w:color="auto" w:fill="auto"/>
            <w:vAlign w:val="center"/>
          </w:tcPr>
          <w:p w14:paraId="19950138"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cs="Arial"/>
                <w:bCs/>
                <w:sz w:val="14"/>
                <w:szCs w:val="14"/>
              </w:rPr>
              <w:t>2.040</w:t>
            </w:r>
          </w:p>
        </w:tc>
        <w:tc>
          <w:tcPr>
            <w:tcW w:w="1276" w:type="dxa"/>
            <w:shd w:val="clear" w:color="auto" w:fill="auto"/>
            <w:vAlign w:val="center"/>
          </w:tcPr>
          <w:p w14:paraId="045C847C" w14:textId="77777777" w:rsidR="00C42353" w:rsidRPr="00D70EF4" w:rsidRDefault="00C42353" w:rsidP="006B2B70">
            <w:pPr>
              <w:keepNext/>
              <w:keepLines/>
              <w:spacing w:before="40" w:after="40" w:line="240" w:lineRule="auto"/>
              <w:jc w:val="right"/>
              <w:rPr>
                <w:rFonts w:eastAsia="Times New Roman" w:cs="Arial"/>
                <w:bCs/>
                <w:spacing w:val="-2"/>
                <w:sz w:val="14"/>
                <w:szCs w:val="14"/>
                <w:lang w:eastAsia="pt-BR"/>
              </w:rPr>
            </w:pPr>
            <w:r w:rsidRPr="00D70EF4">
              <w:rPr>
                <w:rFonts w:cs="Arial"/>
                <w:bCs/>
                <w:sz w:val="14"/>
                <w:szCs w:val="14"/>
              </w:rPr>
              <w:t>1.468.583</w:t>
            </w:r>
          </w:p>
        </w:tc>
      </w:tr>
      <w:tr w:rsidR="00C42353" w:rsidRPr="00295D44" w14:paraId="15ECFC3A" w14:textId="77777777" w:rsidTr="006B2B70">
        <w:trPr>
          <w:trHeight w:val="238"/>
          <w:jc w:val="center"/>
        </w:trPr>
        <w:tc>
          <w:tcPr>
            <w:tcW w:w="2269" w:type="dxa"/>
            <w:shd w:val="clear" w:color="auto" w:fill="auto"/>
            <w:vAlign w:val="center"/>
          </w:tcPr>
          <w:p w14:paraId="4ED5C2E8"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Outras receitas e despesas</w:t>
            </w:r>
          </w:p>
        </w:tc>
        <w:tc>
          <w:tcPr>
            <w:tcW w:w="1087" w:type="dxa"/>
            <w:shd w:val="clear" w:color="auto" w:fill="auto"/>
            <w:vAlign w:val="center"/>
          </w:tcPr>
          <w:p w14:paraId="79A30E3A"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(66.074)</w:t>
            </w:r>
          </w:p>
        </w:tc>
        <w:tc>
          <w:tcPr>
            <w:tcW w:w="1087" w:type="dxa"/>
            <w:shd w:val="clear" w:color="auto" w:fill="auto"/>
            <w:vAlign w:val="center"/>
          </w:tcPr>
          <w:p w14:paraId="7F65C000"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(676.094)</w:t>
            </w:r>
          </w:p>
        </w:tc>
        <w:tc>
          <w:tcPr>
            <w:tcW w:w="1087" w:type="dxa"/>
            <w:shd w:val="clear" w:color="auto" w:fill="auto"/>
            <w:vAlign w:val="center"/>
          </w:tcPr>
          <w:p w14:paraId="7D83C6CB"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(335)</w:t>
            </w:r>
          </w:p>
        </w:tc>
        <w:tc>
          <w:tcPr>
            <w:tcW w:w="283" w:type="dxa"/>
            <w:shd w:val="clear" w:color="auto" w:fill="auto"/>
            <w:vAlign w:val="center"/>
          </w:tcPr>
          <w:p w14:paraId="436E5142"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p>
        </w:tc>
        <w:tc>
          <w:tcPr>
            <w:tcW w:w="1275" w:type="dxa"/>
            <w:shd w:val="clear" w:color="auto" w:fill="auto"/>
            <w:vAlign w:val="center"/>
          </w:tcPr>
          <w:p w14:paraId="7A302006"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(63.448)</w:t>
            </w:r>
          </w:p>
        </w:tc>
        <w:tc>
          <w:tcPr>
            <w:tcW w:w="1275" w:type="dxa"/>
            <w:shd w:val="clear" w:color="auto" w:fill="auto"/>
            <w:vAlign w:val="center"/>
          </w:tcPr>
          <w:p w14:paraId="23497839"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(684.071)</w:t>
            </w:r>
          </w:p>
        </w:tc>
        <w:tc>
          <w:tcPr>
            <w:tcW w:w="1276" w:type="dxa"/>
            <w:shd w:val="clear" w:color="auto" w:fill="auto"/>
            <w:vAlign w:val="center"/>
          </w:tcPr>
          <w:p w14:paraId="5495E7DD"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(4.045)</w:t>
            </w:r>
          </w:p>
        </w:tc>
      </w:tr>
      <w:tr w:rsidR="00C42353" w:rsidRPr="00537AE7" w14:paraId="33F11EC4" w14:textId="77777777" w:rsidTr="006B2B70">
        <w:trPr>
          <w:trHeight w:val="238"/>
          <w:jc w:val="center"/>
        </w:trPr>
        <w:tc>
          <w:tcPr>
            <w:tcW w:w="2269" w:type="dxa"/>
            <w:shd w:val="clear" w:color="auto" w:fill="auto"/>
            <w:vAlign w:val="center"/>
          </w:tcPr>
          <w:p w14:paraId="3F9508F9"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despesas</w:t>
            </w:r>
          </w:p>
        </w:tc>
        <w:tc>
          <w:tcPr>
            <w:tcW w:w="1087" w:type="dxa"/>
            <w:shd w:val="clear" w:color="auto" w:fill="auto"/>
            <w:vAlign w:val="center"/>
          </w:tcPr>
          <w:p w14:paraId="5386125F"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(66.074)</w:t>
            </w:r>
          </w:p>
        </w:tc>
        <w:tc>
          <w:tcPr>
            <w:tcW w:w="1087" w:type="dxa"/>
            <w:shd w:val="clear" w:color="auto" w:fill="auto"/>
            <w:vAlign w:val="center"/>
          </w:tcPr>
          <w:p w14:paraId="597B9F27"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(676.094)</w:t>
            </w:r>
          </w:p>
        </w:tc>
        <w:tc>
          <w:tcPr>
            <w:tcW w:w="1087" w:type="dxa"/>
            <w:shd w:val="clear" w:color="auto" w:fill="auto"/>
            <w:vAlign w:val="center"/>
          </w:tcPr>
          <w:p w14:paraId="7695706F"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(335)</w:t>
            </w:r>
          </w:p>
        </w:tc>
        <w:tc>
          <w:tcPr>
            <w:tcW w:w="283" w:type="dxa"/>
            <w:shd w:val="clear" w:color="auto" w:fill="auto"/>
            <w:vAlign w:val="center"/>
          </w:tcPr>
          <w:p w14:paraId="5E074749"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846AA3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(63.448)</w:t>
            </w:r>
          </w:p>
        </w:tc>
        <w:tc>
          <w:tcPr>
            <w:tcW w:w="1275" w:type="dxa"/>
            <w:shd w:val="clear" w:color="auto" w:fill="auto"/>
            <w:vAlign w:val="center"/>
          </w:tcPr>
          <w:p w14:paraId="29FBD825"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(684.071)</w:t>
            </w:r>
          </w:p>
        </w:tc>
        <w:tc>
          <w:tcPr>
            <w:tcW w:w="1276" w:type="dxa"/>
            <w:shd w:val="clear" w:color="auto" w:fill="auto"/>
            <w:vAlign w:val="center"/>
          </w:tcPr>
          <w:p w14:paraId="3D9FBBB7"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6F10A4">
              <w:rPr>
                <w:rFonts w:cs="Arial"/>
                <w:sz w:val="14"/>
                <w:szCs w:val="14"/>
              </w:rPr>
              <w:t>(4.045)</w:t>
            </w:r>
          </w:p>
        </w:tc>
      </w:tr>
      <w:tr w:rsidR="00C42353" w:rsidRPr="00295D44" w14:paraId="6B8AE585" w14:textId="77777777" w:rsidTr="006B2B70">
        <w:trPr>
          <w:trHeight w:val="238"/>
          <w:jc w:val="center"/>
        </w:trPr>
        <w:tc>
          <w:tcPr>
            <w:tcW w:w="2269" w:type="dxa"/>
            <w:shd w:val="clear" w:color="auto" w:fill="auto"/>
            <w:vAlign w:val="center"/>
          </w:tcPr>
          <w:p w14:paraId="44362363"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Resultado operacional</w:t>
            </w:r>
          </w:p>
        </w:tc>
        <w:tc>
          <w:tcPr>
            <w:tcW w:w="1087" w:type="dxa"/>
            <w:shd w:val="clear" w:color="auto" w:fill="auto"/>
            <w:vAlign w:val="center"/>
          </w:tcPr>
          <w:p w14:paraId="6BF8732A"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113.550</w:t>
            </w:r>
          </w:p>
        </w:tc>
        <w:tc>
          <w:tcPr>
            <w:tcW w:w="1087" w:type="dxa"/>
            <w:shd w:val="clear" w:color="auto" w:fill="auto"/>
            <w:vAlign w:val="center"/>
          </w:tcPr>
          <w:p w14:paraId="3567092C"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1.844.668</w:t>
            </w:r>
          </w:p>
        </w:tc>
        <w:tc>
          <w:tcPr>
            <w:tcW w:w="1087" w:type="dxa"/>
            <w:shd w:val="clear" w:color="auto" w:fill="auto"/>
            <w:vAlign w:val="center"/>
          </w:tcPr>
          <w:p w14:paraId="4CD79AA6"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1.444.427</w:t>
            </w:r>
          </w:p>
        </w:tc>
        <w:tc>
          <w:tcPr>
            <w:tcW w:w="283" w:type="dxa"/>
            <w:shd w:val="clear" w:color="auto" w:fill="auto"/>
            <w:vAlign w:val="center"/>
          </w:tcPr>
          <w:p w14:paraId="0654BEF4"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7C2E58A6"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78.028</w:t>
            </w:r>
          </w:p>
        </w:tc>
        <w:tc>
          <w:tcPr>
            <w:tcW w:w="1275" w:type="dxa"/>
            <w:shd w:val="clear" w:color="auto" w:fill="auto"/>
            <w:vAlign w:val="center"/>
          </w:tcPr>
          <w:p w14:paraId="190BD97C"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1.927.693</w:t>
            </w:r>
          </w:p>
        </w:tc>
        <w:tc>
          <w:tcPr>
            <w:tcW w:w="1276" w:type="dxa"/>
            <w:shd w:val="clear" w:color="auto" w:fill="auto"/>
            <w:vAlign w:val="center"/>
          </w:tcPr>
          <w:p w14:paraId="76A32337"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1.466.812</w:t>
            </w:r>
          </w:p>
        </w:tc>
      </w:tr>
      <w:tr w:rsidR="00C42353" w:rsidRPr="00295D44" w14:paraId="553B7179" w14:textId="77777777" w:rsidTr="006B2B70">
        <w:trPr>
          <w:trHeight w:val="238"/>
          <w:jc w:val="center"/>
        </w:trPr>
        <w:tc>
          <w:tcPr>
            <w:tcW w:w="2269" w:type="dxa"/>
            <w:shd w:val="clear" w:color="auto" w:fill="auto"/>
            <w:vAlign w:val="center"/>
          </w:tcPr>
          <w:p w14:paraId="4A9418ED" w14:textId="77777777" w:rsidR="00C42353" w:rsidRPr="00D96C18"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D96C18">
              <w:rPr>
                <w:rFonts w:eastAsia="Times New Roman" w:cs="Arial"/>
                <w:bCs/>
                <w:color w:val="000000"/>
                <w:spacing w:val="-2"/>
                <w:sz w:val="14"/>
                <w:szCs w:val="14"/>
                <w:lang w:eastAsia="pt-BR"/>
              </w:rPr>
              <w:t>Ganhos/perdas com ativos não correntes</w:t>
            </w:r>
          </w:p>
        </w:tc>
        <w:tc>
          <w:tcPr>
            <w:tcW w:w="1087" w:type="dxa"/>
            <w:shd w:val="clear" w:color="auto" w:fill="auto"/>
            <w:vAlign w:val="center"/>
          </w:tcPr>
          <w:p w14:paraId="2E8D0E72" w14:textId="77777777" w:rsidR="00C42353" w:rsidRPr="006B2B70" w:rsidRDefault="00C42353" w:rsidP="006B2B70">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(13)</w:t>
            </w:r>
          </w:p>
        </w:tc>
        <w:tc>
          <w:tcPr>
            <w:tcW w:w="1087" w:type="dxa"/>
            <w:shd w:val="clear" w:color="auto" w:fill="auto"/>
            <w:vAlign w:val="center"/>
          </w:tcPr>
          <w:p w14:paraId="746FF6CA" w14:textId="77777777" w:rsidR="00C42353" w:rsidRPr="006B2B70" w:rsidRDefault="00C42353" w:rsidP="006B2B70">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189</w:t>
            </w:r>
          </w:p>
        </w:tc>
        <w:tc>
          <w:tcPr>
            <w:tcW w:w="1087" w:type="dxa"/>
            <w:shd w:val="clear" w:color="auto" w:fill="auto"/>
            <w:vAlign w:val="center"/>
          </w:tcPr>
          <w:p w14:paraId="065B9940" w14:textId="77777777" w:rsidR="00C42353" w:rsidRPr="006B2B70" w:rsidRDefault="00C42353" w:rsidP="006B2B70">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w:t>
            </w:r>
          </w:p>
        </w:tc>
        <w:tc>
          <w:tcPr>
            <w:tcW w:w="283" w:type="dxa"/>
            <w:shd w:val="clear" w:color="auto" w:fill="auto"/>
            <w:vAlign w:val="center"/>
          </w:tcPr>
          <w:p w14:paraId="0312D517" w14:textId="77777777" w:rsidR="00C42353" w:rsidRPr="00D96C18" w:rsidRDefault="00C42353" w:rsidP="006B2B70">
            <w:pPr>
              <w:keepNext/>
              <w:keepLines/>
              <w:spacing w:before="40" w:after="40" w:line="240" w:lineRule="auto"/>
              <w:jc w:val="right"/>
              <w:rPr>
                <w:rFonts w:eastAsia="Times New Roman" w:cs="Arial"/>
                <w:bCs/>
                <w:spacing w:val="-2"/>
                <w:sz w:val="14"/>
                <w:szCs w:val="14"/>
                <w:lang w:eastAsia="pt-BR"/>
              </w:rPr>
            </w:pPr>
          </w:p>
        </w:tc>
        <w:tc>
          <w:tcPr>
            <w:tcW w:w="1275" w:type="dxa"/>
            <w:shd w:val="clear" w:color="auto" w:fill="auto"/>
            <w:vAlign w:val="center"/>
          </w:tcPr>
          <w:p w14:paraId="0485869C" w14:textId="77777777" w:rsidR="00C42353" w:rsidRPr="00D96C18" w:rsidRDefault="00C42353" w:rsidP="006B2B70">
            <w:pPr>
              <w:keepNext/>
              <w:keepLines/>
              <w:spacing w:before="40" w:after="40" w:line="240" w:lineRule="auto"/>
              <w:jc w:val="right"/>
              <w:rPr>
                <w:rFonts w:eastAsia="Times New Roman" w:cs="Arial"/>
                <w:bCs/>
                <w:spacing w:val="-2"/>
                <w:sz w:val="14"/>
                <w:szCs w:val="14"/>
                <w:lang w:eastAsia="pt-BR"/>
              </w:rPr>
            </w:pPr>
            <w:r w:rsidRPr="006F10A4">
              <w:rPr>
                <w:rFonts w:cs="Arial"/>
                <w:sz w:val="14"/>
                <w:szCs w:val="14"/>
              </w:rPr>
              <w:t>(242)</w:t>
            </w:r>
          </w:p>
        </w:tc>
        <w:tc>
          <w:tcPr>
            <w:tcW w:w="1275" w:type="dxa"/>
            <w:shd w:val="clear" w:color="auto" w:fill="auto"/>
            <w:vAlign w:val="center"/>
          </w:tcPr>
          <w:p w14:paraId="1189CB72" w14:textId="77777777" w:rsidR="00C42353" w:rsidRPr="00D96C18" w:rsidRDefault="00C42353" w:rsidP="006B2B70">
            <w:pPr>
              <w:keepNext/>
              <w:keepLines/>
              <w:spacing w:before="40" w:after="40" w:line="240" w:lineRule="auto"/>
              <w:jc w:val="right"/>
              <w:rPr>
                <w:rFonts w:eastAsia="Times New Roman" w:cs="Arial"/>
                <w:bCs/>
                <w:spacing w:val="-2"/>
                <w:sz w:val="14"/>
                <w:szCs w:val="14"/>
                <w:lang w:eastAsia="pt-BR"/>
              </w:rPr>
            </w:pPr>
            <w:r w:rsidRPr="006F10A4">
              <w:rPr>
                <w:rFonts w:cs="Arial"/>
                <w:sz w:val="14"/>
                <w:szCs w:val="14"/>
              </w:rPr>
              <w:t>14</w:t>
            </w:r>
          </w:p>
        </w:tc>
        <w:tc>
          <w:tcPr>
            <w:tcW w:w="1276" w:type="dxa"/>
            <w:shd w:val="clear" w:color="auto" w:fill="auto"/>
            <w:vAlign w:val="center"/>
          </w:tcPr>
          <w:p w14:paraId="6E4E846E" w14:textId="77777777" w:rsidR="00C42353" w:rsidRPr="00D96C18" w:rsidRDefault="00C42353" w:rsidP="006B2B70">
            <w:pPr>
              <w:keepNext/>
              <w:keepLines/>
              <w:spacing w:before="40" w:after="40" w:line="240" w:lineRule="auto"/>
              <w:jc w:val="right"/>
              <w:rPr>
                <w:rFonts w:eastAsia="Times New Roman" w:cs="Arial"/>
                <w:bCs/>
                <w:spacing w:val="-2"/>
                <w:sz w:val="14"/>
                <w:szCs w:val="14"/>
                <w:lang w:eastAsia="pt-BR"/>
              </w:rPr>
            </w:pPr>
            <w:r w:rsidRPr="006F10A4">
              <w:rPr>
                <w:rFonts w:cs="Arial"/>
                <w:sz w:val="14"/>
                <w:szCs w:val="14"/>
              </w:rPr>
              <w:t>--</w:t>
            </w:r>
          </w:p>
        </w:tc>
      </w:tr>
      <w:tr w:rsidR="00C42353" w:rsidRPr="00295D44" w14:paraId="3A1CDC33" w14:textId="77777777" w:rsidTr="006B2B70">
        <w:trPr>
          <w:trHeight w:val="238"/>
          <w:jc w:val="center"/>
        </w:trPr>
        <w:tc>
          <w:tcPr>
            <w:tcW w:w="2269" w:type="dxa"/>
            <w:shd w:val="clear" w:color="auto" w:fill="auto"/>
            <w:vAlign w:val="center"/>
          </w:tcPr>
          <w:p w14:paraId="647D1AC7"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Resultado antes dos impostos</w:t>
            </w:r>
          </w:p>
        </w:tc>
        <w:tc>
          <w:tcPr>
            <w:tcW w:w="1087" w:type="dxa"/>
            <w:shd w:val="clear" w:color="auto" w:fill="auto"/>
            <w:vAlign w:val="center"/>
          </w:tcPr>
          <w:p w14:paraId="2E792CBF"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113.537</w:t>
            </w:r>
          </w:p>
        </w:tc>
        <w:tc>
          <w:tcPr>
            <w:tcW w:w="1087" w:type="dxa"/>
            <w:shd w:val="clear" w:color="auto" w:fill="auto"/>
            <w:vAlign w:val="center"/>
          </w:tcPr>
          <w:p w14:paraId="79B656CD"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1.844.857</w:t>
            </w:r>
          </w:p>
        </w:tc>
        <w:tc>
          <w:tcPr>
            <w:tcW w:w="1087" w:type="dxa"/>
            <w:shd w:val="clear" w:color="auto" w:fill="auto"/>
            <w:vAlign w:val="center"/>
          </w:tcPr>
          <w:p w14:paraId="632CF83F"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1.444.427</w:t>
            </w:r>
          </w:p>
        </w:tc>
        <w:tc>
          <w:tcPr>
            <w:tcW w:w="283" w:type="dxa"/>
            <w:shd w:val="clear" w:color="auto" w:fill="auto"/>
            <w:vAlign w:val="center"/>
          </w:tcPr>
          <w:p w14:paraId="4F3C79CE"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E19A369"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77.786</w:t>
            </w:r>
          </w:p>
        </w:tc>
        <w:tc>
          <w:tcPr>
            <w:tcW w:w="1275" w:type="dxa"/>
            <w:shd w:val="clear" w:color="auto" w:fill="auto"/>
            <w:vAlign w:val="center"/>
          </w:tcPr>
          <w:p w14:paraId="189EC93D"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1.927.707</w:t>
            </w:r>
          </w:p>
        </w:tc>
        <w:tc>
          <w:tcPr>
            <w:tcW w:w="1276" w:type="dxa"/>
            <w:shd w:val="clear" w:color="auto" w:fill="auto"/>
            <w:vAlign w:val="center"/>
          </w:tcPr>
          <w:p w14:paraId="1E9AF7B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1.466.812</w:t>
            </w:r>
          </w:p>
        </w:tc>
      </w:tr>
      <w:tr w:rsidR="00C42353" w:rsidRPr="00537AE7" w14:paraId="7307D90F" w14:textId="77777777" w:rsidTr="00520DA0">
        <w:trPr>
          <w:trHeight w:val="238"/>
          <w:jc w:val="center"/>
        </w:trPr>
        <w:tc>
          <w:tcPr>
            <w:tcW w:w="2269" w:type="dxa"/>
            <w:shd w:val="clear" w:color="auto" w:fill="auto"/>
            <w:vAlign w:val="center"/>
          </w:tcPr>
          <w:p w14:paraId="00387263"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 xml:space="preserve">Impostos </w:t>
            </w:r>
          </w:p>
        </w:tc>
        <w:tc>
          <w:tcPr>
            <w:tcW w:w="1087" w:type="dxa"/>
            <w:shd w:val="clear" w:color="auto" w:fill="auto"/>
          </w:tcPr>
          <w:p w14:paraId="1088FBFC"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(43.281)</w:t>
            </w:r>
          </w:p>
        </w:tc>
        <w:tc>
          <w:tcPr>
            <w:tcW w:w="1087" w:type="dxa"/>
            <w:shd w:val="clear" w:color="auto" w:fill="auto"/>
          </w:tcPr>
          <w:p w14:paraId="7237B8FA"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(455.915)</w:t>
            </w:r>
          </w:p>
        </w:tc>
        <w:tc>
          <w:tcPr>
            <w:tcW w:w="1087" w:type="dxa"/>
            <w:shd w:val="clear" w:color="auto" w:fill="auto"/>
          </w:tcPr>
          <w:p w14:paraId="5EC0537F"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(789)</w:t>
            </w:r>
          </w:p>
        </w:tc>
        <w:tc>
          <w:tcPr>
            <w:tcW w:w="283" w:type="dxa"/>
            <w:shd w:val="clear" w:color="auto" w:fill="auto"/>
            <w:vAlign w:val="center"/>
          </w:tcPr>
          <w:p w14:paraId="13502B25"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0593F586"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(29.891)</w:t>
            </w:r>
          </w:p>
        </w:tc>
        <w:tc>
          <w:tcPr>
            <w:tcW w:w="1275" w:type="dxa"/>
            <w:shd w:val="clear" w:color="auto" w:fill="auto"/>
            <w:vAlign w:val="center"/>
          </w:tcPr>
          <w:p w14:paraId="183EC94F"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(485.653)</w:t>
            </w:r>
          </w:p>
        </w:tc>
        <w:tc>
          <w:tcPr>
            <w:tcW w:w="1276" w:type="dxa"/>
            <w:shd w:val="clear" w:color="auto" w:fill="auto"/>
            <w:vAlign w:val="center"/>
          </w:tcPr>
          <w:p w14:paraId="3BBD94F2"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425</w:t>
            </w:r>
          </w:p>
        </w:tc>
      </w:tr>
      <w:tr w:rsidR="00C42353" w:rsidRPr="00537AE7" w14:paraId="5A93DA9D" w14:textId="77777777" w:rsidTr="00520DA0">
        <w:trPr>
          <w:trHeight w:val="238"/>
          <w:jc w:val="center"/>
        </w:trPr>
        <w:tc>
          <w:tcPr>
            <w:tcW w:w="2269" w:type="dxa"/>
            <w:shd w:val="clear" w:color="auto" w:fill="auto"/>
            <w:vAlign w:val="center"/>
          </w:tcPr>
          <w:p w14:paraId="0F1F09CA" w14:textId="77777777" w:rsidR="00C42353" w:rsidRPr="00537AE7"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Participações nos lucros</w:t>
            </w:r>
          </w:p>
        </w:tc>
        <w:tc>
          <w:tcPr>
            <w:tcW w:w="1087" w:type="dxa"/>
            <w:shd w:val="clear" w:color="auto" w:fill="auto"/>
          </w:tcPr>
          <w:p w14:paraId="34C74F3E"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(783)</w:t>
            </w:r>
          </w:p>
        </w:tc>
        <w:tc>
          <w:tcPr>
            <w:tcW w:w="1087" w:type="dxa"/>
            <w:shd w:val="clear" w:color="auto" w:fill="auto"/>
          </w:tcPr>
          <w:p w14:paraId="5D37D497"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(16.969)</w:t>
            </w:r>
          </w:p>
        </w:tc>
        <w:tc>
          <w:tcPr>
            <w:tcW w:w="1087" w:type="dxa"/>
            <w:shd w:val="clear" w:color="auto" w:fill="auto"/>
          </w:tcPr>
          <w:p w14:paraId="41E3813E"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(554)</w:t>
            </w:r>
          </w:p>
        </w:tc>
        <w:tc>
          <w:tcPr>
            <w:tcW w:w="283" w:type="dxa"/>
            <w:shd w:val="clear" w:color="auto" w:fill="auto"/>
            <w:vAlign w:val="center"/>
          </w:tcPr>
          <w:p w14:paraId="4FE1FFF0"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2C2480EA"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(1.094)</w:t>
            </w:r>
          </w:p>
        </w:tc>
        <w:tc>
          <w:tcPr>
            <w:tcW w:w="1275" w:type="dxa"/>
            <w:shd w:val="clear" w:color="auto" w:fill="auto"/>
            <w:vAlign w:val="center"/>
          </w:tcPr>
          <w:p w14:paraId="0F726BF9"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(20.274)</w:t>
            </w:r>
          </w:p>
        </w:tc>
        <w:tc>
          <w:tcPr>
            <w:tcW w:w="1276" w:type="dxa"/>
            <w:shd w:val="clear" w:color="auto" w:fill="auto"/>
            <w:vAlign w:val="center"/>
          </w:tcPr>
          <w:p w14:paraId="33A4F691"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6F10A4">
              <w:rPr>
                <w:rFonts w:cs="Arial"/>
                <w:sz w:val="14"/>
                <w:szCs w:val="14"/>
              </w:rPr>
              <w:t>--</w:t>
            </w:r>
          </w:p>
        </w:tc>
      </w:tr>
      <w:tr w:rsidR="00C42353" w:rsidRPr="00295D44" w14:paraId="3A4BD3C8" w14:textId="77777777" w:rsidTr="00520DA0">
        <w:trPr>
          <w:trHeight w:val="238"/>
          <w:jc w:val="center"/>
        </w:trPr>
        <w:tc>
          <w:tcPr>
            <w:tcW w:w="2269" w:type="dxa"/>
            <w:shd w:val="clear" w:color="auto" w:fill="auto"/>
            <w:vAlign w:val="center"/>
          </w:tcPr>
          <w:p w14:paraId="75368CE1"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 xml:space="preserve">Lucro líquido do </w:t>
            </w:r>
            <w:r>
              <w:rPr>
                <w:rFonts w:eastAsia="Times New Roman" w:cs="Arial"/>
                <w:b/>
                <w:color w:val="000000"/>
                <w:spacing w:val="-2"/>
                <w:sz w:val="14"/>
                <w:szCs w:val="14"/>
                <w:lang w:eastAsia="pt-BR"/>
              </w:rPr>
              <w:t>exercício</w:t>
            </w:r>
          </w:p>
        </w:tc>
        <w:tc>
          <w:tcPr>
            <w:tcW w:w="1087" w:type="dxa"/>
            <w:shd w:val="clear" w:color="auto" w:fill="auto"/>
          </w:tcPr>
          <w:p w14:paraId="48C77765"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 xml:space="preserve">  69.473 </w:t>
            </w:r>
          </w:p>
        </w:tc>
        <w:tc>
          <w:tcPr>
            <w:tcW w:w="1087" w:type="dxa"/>
            <w:shd w:val="clear" w:color="auto" w:fill="auto"/>
          </w:tcPr>
          <w:p w14:paraId="273C27A6"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 xml:space="preserve">  1.371.973 </w:t>
            </w:r>
          </w:p>
        </w:tc>
        <w:tc>
          <w:tcPr>
            <w:tcW w:w="1087" w:type="dxa"/>
            <w:shd w:val="clear" w:color="auto" w:fill="auto"/>
          </w:tcPr>
          <w:p w14:paraId="49C9C97F"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 xml:space="preserve">  1.443.084 </w:t>
            </w:r>
          </w:p>
        </w:tc>
        <w:tc>
          <w:tcPr>
            <w:tcW w:w="283" w:type="dxa"/>
            <w:shd w:val="clear" w:color="auto" w:fill="auto"/>
            <w:vAlign w:val="center"/>
          </w:tcPr>
          <w:p w14:paraId="5D43DDD5"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0FA22646"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46.801</w:t>
            </w:r>
          </w:p>
        </w:tc>
        <w:tc>
          <w:tcPr>
            <w:tcW w:w="1275" w:type="dxa"/>
            <w:shd w:val="clear" w:color="auto" w:fill="auto"/>
            <w:vAlign w:val="center"/>
          </w:tcPr>
          <w:p w14:paraId="5AA3028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1.421.780</w:t>
            </w:r>
          </w:p>
        </w:tc>
        <w:tc>
          <w:tcPr>
            <w:tcW w:w="1276" w:type="dxa"/>
            <w:shd w:val="clear" w:color="auto" w:fill="auto"/>
            <w:vAlign w:val="center"/>
          </w:tcPr>
          <w:p w14:paraId="3AA3D5BF"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1.467.237</w:t>
            </w:r>
          </w:p>
        </w:tc>
      </w:tr>
      <w:tr w:rsidR="00C42353" w:rsidRPr="00271B2E" w14:paraId="0BC3E865" w14:textId="77777777" w:rsidTr="00520DA0">
        <w:trPr>
          <w:trHeight w:val="238"/>
          <w:jc w:val="center"/>
        </w:trPr>
        <w:tc>
          <w:tcPr>
            <w:tcW w:w="2269" w:type="dxa"/>
            <w:shd w:val="clear" w:color="auto" w:fill="auto"/>
            <w:vAlign w:val="center"/>
          </w:tcPr>
          <w:p w14:paraId="0A087FDE" w14:textId="77777777" w:rsidR="00C42353" w:rsidRPr="006B2B70" w:rsidRDefault="00C42353" w:rsidP="006B2B70">
            <w:pPr>
              <w:keepNext/>
              <w:keepLines/>
              <w:spacing w:before="40" w:after="40" w:line="240" w:lineRule="auto"/>
              <w:ind w:left="113"/>
              <w:rPr>
                <w:rFonts w:eastAsia="Times New Roman" w:cs="Arial"/>
                <w:bCs/>
                <w:color w:val="000000"/>
                <w:spacing w:val="-2"/>
                <w:sz w:val="14"/>
                <w:szCs w:val="14"/>
                <w:lang w:eastAsia="pt-BR"/>
              </w:rPr>
            </w:pPr>
            <w:r w:rsidRPr="006B2B70">
              <w:rPr>
                <w:rFonts w:eastAsia="Times New Roman" w:cs="Arial"/>
                <w:bCs/>
                <w:color w:val="000000"/>
                <w:spacing w:val="-2"/>
                <w:sz w:val="14"/>
                <w:szCs w:val="14"/>
                <w:lang w:eastAsia="pt-BR"/>
              </w:rPr>
              <w:t xml:space="preserve">  Outros resultados abrangentes</w:t>
            </w:r>
          </w:p>
        </w:tc>
        <w:tc>
          <w:tcPr>
            <w:tcW w:w="1087" w:type="dxa"/>
            <w:shd w:val="clear" w:color="auto" w:fill="auto"/>
          </w:tcPr>
          <w:p w14:paraId="031E23D2" w14:textId="77777777" w:rsidR="00C42353" w:rsidRPr="006B2B70"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116 </w:t>
            </w:r>
          </w:p>
        </w:tc>
        <w:tc>
          <w:tcPr>
            <w:tcW w:w="1087" w:type="dxa"/>
            <w:shd w:val="clear" w:color="auto" w:fill="auto"/>
          </w:tcPr>
          <w:p w14:paraId="3650DD4C" w14:textId="77777777" w:rsidR="00C42353" w:rsidRPr="006B2B70"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(104.948)</w:t>
            </w:r>
          </w:p>
        </w:tc>
        <w:tc>
          <w:tcPr>
            <w:tcW w:w="1087" w:type="dxa"/>
            <w:shd w:val="clear" w:color="auto" w:fill="auto"/>
          </w:tcPr>
          <w:p w14:paraId="57467451" w14:textId="77777777" w:rsidR="00C42353" w:rsidRPr="006B2B70"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(104.832)</w:t>
            </w:r>
          </w:p>
        </w:tc>
        <w:tc>
          <w:tcPr>
            <w:tcW w:w="283" w:type="dxa"/>
            <w:shd w:val="clear" w:color="auto" w:fill="auto"/>
            <w:vAlign w:val="center"/>
          </w:tcPr>
          <w:p w14:paraId="44E931C0" w14:textId="77777777" w:rsidR="00C42353" w:rsidRPr="006B2B70"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p>
        </w:tc>
        <w:tc>
          <w:tcPr>
            <w:tcW w:w="1275" w:type="dxa"/>
            <w:shd w:val="clear" w:color="auto" w:fill="auto"/>
            <w:vAlign w:val="center"/>
          </w:tcPr>
          <w:p w14:paraId="412662EC" w14:textId="77777777" w:rsidR="00C42353" w:rsidRPr="00D70EF4"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D70EF4">
              <w:rPr>
                <w:rFonts w:eastAsia="Times New Roman" w:cs="Arial"/>
                <w:bCs/>
                <w:color w:val="000000"/>
                <w:spacing w:val="-2"/>
                <w:sz w:val="14"/>
                <w:szCs w:val="14"/>
                <w:lang w:eastAsia="pt-BR"/>
              </w:rPr>
              <w:t>--</w:t>
            </w:r>
          </w:p>
        </w:tc>
        <w:tc>
          <w:tcPr>
            <w:tcW w:w="1275" w:type="dxa"/>
            <w:shd w:val="clear" w:color="auto" w:fill="auto"/>
            <w:vAlign w:val="center"/>
          </w:tcPr>
          <w:p w14:paraId="78ADDF35" w14:textId="77777777" w:rsidR="00C42353" w:rsidRPr="00D70EF4"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D70EF4">
              <w:rPr>
                <w:rFonts w:eastAsia="Times New Roman" w:cs="Arial"/>
                <w:bCs/>
                <w:color w:val="000000"/>
                <w:spacing w:val="-2"/>
                <w:sz w:val="14"/>
                <w:szCs w:val="14"/>
                <w:lang w:eastAsia="pt-BR"/>
              </w:rPr>
              <w:t>--</w:t>
            </w:r>
          </w:p>
        </w:tc>
        <w:tc>
          <w:tcPr>
            <w:tcW w:w="1276" w:type="dxa"/>
            <w:shd w:val="clear" w:color="auto" w:fill="auto"/>
            <w:vAlign w:val="center"/>
          </w:tcPr>
          <w:p w14:paraId="4158EE8A" w14:textId="77777777" w:rsidR="00C42353" w:rsidRPr="00D70EF4" w:rsidRDefault="00C42353" w:rsidP="006B2B70">
            <w:pPr>
              <w:keepNext/>
              <w:keepLines/>
              <w:spacing w:before="40" w:after="40" w:line="240" w:lineRule="auto"/>
              <w:ind w:left="113"/>
              <w:jc w:val="right"/>
              <w:rPr>
                <w:rFonts w:eastAsia="Times New Roman" w:cs="Arial"/>
                <w:bCs/>
                <w:color w:val="000000"/>
                <w:spacing w:val="-2"/>
                <w:sz w:val="14"/>
                <w:szCs w:val="14"/>
                <w:lang w:eastAsia="pt-BR"/>
              </w:rPr>
            </w:pPr>
            <w:r w:rsidRPr="00D70EF4">
              <w:rPr>
                <w:rFonts w:eastAsia="Times New Roman" w:cs="Arial"/>
                <w:bCs/>
                <w:color w:val="000000"/>
                <w:spacing w:val="-2"/>
                <w:sz w:val="14"/>
                <w:szCs w:val="14"/>
                <w:lang w:eastAsia="pt-BR"/>
              </w:rPr>
              <w:t>--</w:t>
            </w:r>
          </w:p>
        </w:tc>
      </w:tr>
      <w:tr w:rsidR="00C42353" w:rsidRPr="00295D44" w14:paraId="44E1C65D" w14:textId="77777777" w:rsidTr="00520DA0">
        <w:trPr>
          <w:trHeight w:val="238"/>
          <w:jc w:val="center"/>
        </w:trPr>
        <w:tc>
          <w:tcPr>
            <w:tcW w:w="2269" w:type="dxa"/>
            <w:shd w:val="clear" w:color="auto" w:fill="auto"/>
            <w:vAlign w:val="center"/>
          </w:tcPr>
          <w:p w14:paraId="75B7305F" w14:textId="77777777" w:rsidR="00C42353" w:rsidRPr="00271B2E" w:rsidRDefault="00C42353" w:rsidP="006B2B70">
            <w:pPr>
              <w:keepNext/>
              <w:keepLines/>
              <w:spacing w:before="40" w:after="40" w:line="240" w:lineRule="auto"/>
              <w:rPr>
                <w:rFonts w:eastAsia="Times New Roman" w:cs="Arial"/>
                <w:b/>
                <w:color w:val="000000"/>
                <w:spacing w:val="-2"/>
                <w:sz w:val="14"/>
                <w:szCs w:val="14"/>
                <w:lang w:eastAsia="pt-BR"/>
              </w:rPr>
            </w:pPr>
            <w:r w:rsidRPr="00271B2E">
              <w:rPr>
                <w:rFonts w:eastAsia="Times New Roman" w:cs="Arial"/>
                <w:b/>
                <w:color w:val="000000"/>
                <w:spacing w:val="-2"/>
                <w:sz w:val="14"/>
                <w:szCs w:val="14"/>
                <w:lang w:eastAsia="pt-BR"/>
              </w:rPr>
              <w:t>Resultado abrangente total</w:t>
            </w:r>
          </w:p>
        </w:tc>
        <w:tc>
          <w:tcPr>
            <w:tcW w:w="1087" w:type="dxa"/>
            <w:shd w:val="clear" w:color="auto" w:fill="auto"/>
          </w:tcPr>
          <w:p w14:paraId="0FC7A9DF" w14:textId="77777777" w:rsidR="00C42353" w:rsidRPr="006B2B70" w:rsidRDefault="00C42353" w:rsidP="006B2B70">
            <w:pPr>
              <w:keepNext/>
              <w:keepLines/>
              <w:spacing w:before="40" w:after="40" w:line="240" w:lineRule="auto"/>
              <w:ind w:left="113"/>
              <w:jc w:val="right"/>
              <w:rPr>
                <w:rFonts w:cs="Arial"/>
                <w:b/>
                <w:bCs/>
                <w:sz w:val="14"/>
                <w:szCs w:val="14"/>
              </w:rPr>
            </w:pPr>
            <w:r w:rsidRPr="006B2B70">
              <w:rPr>
                <w:rFonts w:cs="Arial"/>
                <w:b/>
                <w:bCs/>
                <w:sz w:val="14"/>
                <w:szCs w:val="14"/>
              </w:rPr>
              <w:t xml:space="preserve">  69.589 </w:t>
            </w:r>
          </w:p>
        </w:tc>
        <w:tc>
          <w:tcPr>
            <w:tcW w:w="1087" w:type="dxa"/>
            <w:shd w:val="clear" w:color="auto" w:fill="auto"/>
          </w:tcPr>
          <w:p w14:paraId="79CC7F23" w14:textId="77777777" w:rsidR="00C42353" w:rsidRPr="006B2B70" w:rsidRDefault="00C42353" w:rsidP="006B2B70">
            <w:pPr>
              <w:keepNext/>
              <w:keepLines/>
              <w:spacing w:before="40" w:after="40" w:line="240" w:lineRule="auto"/>
              <w:ind w:left="113"/>
              <w:jc w:val="right"/>
              <w:rPr>
                <w:rFonts w:cs="Arial"/>
                <w:b/>
                <w:bCs/>
                <w:sz w:val="14"/>
                <w:szCs w:val="14"/>
              </w:rPr>
            </w:pPr>
            <w:r w:rsidRPr="006B2B70">
              <w:rPr>
                <w:rFonts w:cs="Arial"/>
                <w:b/>
                <w:bCs/>
                <w:sz w:val="14"/>
                <w:szCs w:val="14"/>
              </w:rPr>
              <w:t xml:space="preserve">  1.267.025 </w:t>
            </w:r>
          </w:p>
        </w:tc>
        <w:tc>
          <w:tcPr>
            <w:tcW w:w="1087" w:type="dxa"/>
            <w:shd w:val="clear" w:color="auto" w:fill="auto"/>
          </w:tcPr>
          <w:p w14:paraId="35366B95" w14:textId="77777777" w:rsidR="00C42353" w:rsidRPr="006B2B70" w:rsidRDefault="00C42353" w:rsidP="006B2B70">
            <w:pPr>
              <w:keepNext/>
              <w:keepLines/>
              <w:spacing w:before="40" w:after="40" w:line="240" w:lineRule="auto"/>
              <w:ind w:left="113"/>
              <w:jc w:val="right"/>
              <w:rPr>
                <w:rFonts w:cs="Arial"/>
                <w:b/>
                <w:bCs/>
                <w:sz w:val="14"/>
                <w:szCs w:val="14"/>
              </w:rPr>
            </w:pPr>
            <w:r w:rsidRPr="006B2B70">
              <w:rPr>
                <w:rFonts w:cs="Arial"/>
                <w:b/>
                <w:bCs/>
                <w:sz w:val="14"/>
                <w:szCs w:val="14"/>
              </w:rPr>
              <w:t xml:space="preserve">  1.338.252 </w:t>
            </w:r>
          </w:p>
        </w:tc>
        <w:tc>
          <w:tcPr>
            <w:tcW w:w="283" w:type="dxa"/>
            <w:shd w:val="clear" w:color="auto" w:fill="auto"/>
            <w:vAlign w:val="center"/>
          </w:tcPr>
          <w:p w14:paraId="03CA155D" w14:textId="77777777" w:rsidR="00C42353" w:rsidRPr="00271B2E"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7AA24947"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46.801</w:t>
            </w:r>
          </w:p>
        </w:tc>
        <w:tc>
          <w:tcPr>
            <w:tcW w:w="1275" w:type="dxa"/>
            <w:shd w:val="clear" w:color="auto" w:fill="auto"/>
            <w:vAlign w:val="center"/>
          </w:tcPr>
          <w:p w14:paraId="3EE22759"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1.421.780</w:t>
            </w:r>
          </w:p>
        </w:tc>
        <w:tc>
          <w:tcPr>
            <w:tcW w:w="1276" w:type="dxa"/>
            <w:shd w:val="clear" w:color="auto" w:fill="auto"/>
            <w:vAlign w:val="center"/>
          </w:tcPr>
          <w:p w14:paraId="050C533C"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1.467.237</w:t>
            </w:r>
          </w:p>
        </w:tc>
      </w:tr>
      <w:tr w:rsidR="00C42353" w:rsidRPr="00295D44" w14:paraId="4C82DC37" w14:textId="77777777" w:rsidTr="00520DA0">
        <w:trPr>
          <w:trHeight w:val="238"/>
          <w:jc w:val="center"/>
        </w:trPr>
        <w:tc>
          <w:tcPr>
            <w:tcW w:w="2269" w:type="dxa"/>
            <w:shd w:val="clear" w:color="auto" w:fill="auto"/>
            <w:vAlign w:val="center"/>
          </w:tcPr>
          <w:p w14:paraId="2483C603"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Atribuível à BB Seguridade</w:t>
            </w:r>
          </w:p>
        </w:tc>
        <w:tc>
          <w:tcPr>
            <w:tcW w:w="1087" w:type="dxa"/>
            <w:shd w:val="clear" w:color="auto" w:fill="auto"/>
          </w:tcPr>
          <w:p w14:paraId="6E502DF7" w14:textId="77777777" w:rsidR="00C42353" w:rsidRPr="006B2B70" w:rsidRDefault="00C42353" w:rsidP="006B2B70">
            <w:pPr>
              <w:keepNext/>
              <w:keepLines/>
              <w:spacing w:before="40" w:after="40" w:line="240" w:lineRule="auto"/>
              <w:jc w:val="right"/>
              <w:rPr>
                <w:rFonts w:cs="Arial"/>
                <w:b/>
                <w:bCs/>
                <w:sz w:val="14"/>
                <w:szCs w:val="14"/>
              </w:rPr>
            </w:pPr>
            <w:r w:rsidRPr="006B2B70">
              <w:rPr>
                <w:rFonts w:cs="Arial"/>
                <w:b/>
                <w:bCs/>
                <w:sz w:val="14"/>
                <w:szCs w:val="14"/>
              </w:rPr>
              <w:t xml:space="preserve"> 52.098 </w:t>
            </w:r>
          </w:p>
        </w:tc>
        <w:tc>
          <w:tcPr>
            <w:tcW w:w="1087" w:type="dxa"/>
            <w:shd w:val="clear" w:color="auto" w:fill="auto"/>
          </w:tcPr>
          <w:p w14:paraId="15004482" w14:textId="77777777" w:rsidR="00C42353" w:rsidRPr="006B2B70" w:rsidRDefault="00C42353" w:rsidP="006B2B70">
            <w:pPr>
              <w:keepNext/>
              <w:keepLines/>
              <w:spacing w:before="40" w:after="40" w:line="240" w:lineRule="auto"/>
              <w:jc w:val="right"/>
              <w:rPr>
                <w:rFonts w:cs="Arial"/>
                <w:b/>
                <w:bCs/>
                <w:sz w:val="14"/>
                <w:szCs w:val="14"/>
              </w:rPr>
            </w:pPr>
            <w:r w:rsidRPr="006B2B70">
              <w:rPr>
                <w:rFonts w:cs="Arial"/>
                <w:b/>
                <w:bCs/>
                <w:sz w:val="14"/>
                <w:szCs w:val="14"/>
              </w:rPr>
              <w:t xml:space="preserve"> 1.028.843 </w:t>
            </w:r>
          </w:p>
        </w:tc>
        <w:tc>
          <w:tcPr>
            <w:tcW w:w="1087" w:type="dxa"/>
            <w:shd w:val="clear" w:color="auto" w:fill="auto"/>
          </w:tcPr>
          <w:p w14:paraId="4650F8BB" w14:textId="77777777" w:rsidR="00C42353" w:rsidRPr="006B2B70" w:rsidRDefault="00C42353" w:rsidP="006B2B70">
            <w:pPr>
              <w:keepNext/>
              <w:keepLines/>
              <w:spacing w:before="40" w:after="40" w:line="240" w:lineRule="auto"/>
              <w:jc w:val="right"/>
              <w:rPr>
                <w:rFonts w:cs="Arial"/>
                <w:b/>
                <w:bCs/>
                <w:sz w:val="14"/>
                <w:szCs w:val="14"/>
              </w:rPr>
            </w:pPr>
            <w:r w:rsidRPr="006B2B70">
              <w:rPr>
                <w:rFonts w:cs="Arial"/>
                <w:b/>
                <w:bCs/>
                <w:sz w:val="14"/>
                <w:szCs w:val="14"/>
              </w:rPr>
              <w:t xml:space="preserve"> 1.082.169 </w:t>
            </w:r>
          </w:p>
        </w:tc>
        <w:tc>
          <w:tcPr>
            <w:tcW w:w="283" w:type="dxa"/>
            <w:shd w:val="clear" w:color="auto" w:fill="auto"/>
            <w:vAlign w:val="center"/>
          </w:tcPr>
          <w:p w14:paraId="2B62FF0B" w14:textId="77777777" w:rsidR="00C42353" w:rsidRPr="00271B2E" w:rsidRDefault="00C42353" w:rsidP="006B2B70">
            <w:pPr>
              <w:keepNext/>
              <w:keepLines/>
              <w:spacing w:before="40" w:after="40" w:line="240" w:lineRule="auto"/>
              <w:jc w:val="right"/>
              <w:rPr>
                <w:rFonts w:cs="Arial"/>
                <w:b/>
                <w:sz w:val="14"/>
                <w:szCs w:val="14"/>
              </w:rPr>
            </w:pPr>
          </w:p>
        </w:tc>
        <w:tc>
          <w:tcPr>
            <w:tcW w:w="1275" w:type="dxa"/>
            <w:shd w:val="clear" w:color="auto" w:fill="auto"/>
            <w:vAlign w:val="center"/>
          </w:tcPr>
          <w:p w14:paraId="0FDF0C0F"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35.096</w:t>
            </w:r>
          </w:p>
        </w:tc>
        <w:tc>
          <w:tcPr>
            <w:tcW w:w="1275" w:type="dxa"/>
            <w:shd w:val="clear" w:color="auto" w:fill="auto"/>
            <w:vAlign w:val="center"/>
          </w:tcPr>
          <w:p w14:paraId="7ADE64BA"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1.066.193</w:t>
            </w:r>
          </w:p>
        </w:tc>
        <w:tc>
          <w:tcPr>
            <w:tcW w:w="1276" w:type="dxa"/>
            <w:shd w:val="clear" w:color="auto" w:fill="auto"/>
            <w:vAlign w:val="center"/>
          </w:tcPr>
          <w:p w14:paraId="40CB2623" w14:textId="77777777" w:rsidR="00C42353" w:rsidRPr="00271B2E" w:rsidRDefault="00C42353" w:rsidP="006B2B70">
            <w:pPr>
              <w:keepNext/>
              <w:keepLines/>
              <w:spacing w:before="40" w:after="40" w:line="240" w:lineRule="auto"/>
              <w:jc w:val="right"/>
              <w:rPr>
                <w:rFonts w:cs="Arial"/>
                <w:b/>
                <w:sz w:val="14"/>
                <w:szCs w:val="14"/>
              </w:rPr>
            </w:pPr>
            <w:r w:rsidRPr="008973D1">
              <w:rPr>
                <w:rFonts w:cs="Arial"/>
                <w:b/>
                <w:sz w:val="14"/>
                <w:szCs w:val="14"/>
              </w:rPr>
              <w:t>1.100.281</w:t>
            </w:r>
          </w:p>
        </w:tc>
      </w:tr>
      <w:tr w:rsidR="00C42353" w:rsidRPr="00537AE7" w14:paraId="194D1588" w14:textId="77777777" w:rsidTr="006B2B70">
        <w:trPr>
          <w:trHeight w:val="238"/>
          <w:jc w:val="center"/>
        </w:trPr>
        <w:tc>
          <w:tcPr>
            <w:tcW w:w="2269" w:type="dxa"/>
            <w:shd w:val="clear" w:color="auto" w:fill="auto"/>
            <w:vAlign w:val="center"/>
          </w:tcPr>
          <w:p w14:paraId="5346F91B" w14:textId="77777777" w:rsidR="00C42353" w:rsidRPr="00537AE7" w:rsidRDefault="00C42353" w:rsidP="006B2B70">
            <w:pPr>
              <w:keepNext/>
              <w:keepLines/>
              <w:spacing w:before="40" w:after="40" w:line="240" w:lineRule="auto"/>
              <w:ind w:left="113"/>
              <w:rPr>
                <w:rFonts w:eastAsia="Times New Roman" w:cs="Arial"/>
                <w:color w:val="000000"/>
                <w:spacing w:val="-2"/>
                <w:sz w:val="14"/>
                <w:szCs w:val="14"/>
                <w:lang w:eastAsia="pt-BR"/>
              </w:rPr>
            </w:pPr>
            <w:r w:rsidRPr="00537AE7">
              <w:rPr>
                <w:rFonts w:eastAsia="Times New Roman" w:cs="Arial"/>
                <w:color w:val="000000"/>
                <w:spacing w:val="-2"/>
                <w:sz w:val="14"/>
                <w:szCs w:val="14"/>
                <w:lang w:eastAsia="pt-BR"/>
              </w:rPr>
              <w:t>Outros ajustes</w:t>
            </w:r>
            <w:r>
              <w:rPr>
                <w:rFonts w:eastAsia="Times New Roman" w:cs="Arial"/>
                <w:color w:val="000000"/>
                <w:spacing w:val="-2"/>
                <w:sz w:val="14"/>
                <w:szCs w:val="14"/>
                <w:lang w:eastAsia="pt-BR"/>
              </w:rPr>
              <w:t xml:space="preserve"> </w:t>
            </w:r>
            <w:r w:rsidRPr="00537AE7">
              <w:rPr>
                <w:rFonts w:eastAsia="Times New Roman" w:cs="Arial"/>
                <w:color w:val="000000"/>
                <w:spacing w:val="-2"/>
                <w:sz w:val="14"/>
                <w:szCs w:val="14"/>
                <w:vertAlign w:val="superscript"/>
                <w:lang w:eastAsia="pt-BR"/>
              </w:rPr>
              <w:t>(</w:t>
            </w:r>
            <w:r>
              <w:rPr>
                <w:rFonts w:eastAsia="Times New Roman" w:cs="Arial"/>
                <w:color w:val="000000"/>
                <w:spacing w:val="-2"/>
                <w:sz w:val="14"/>
                <w:szCs w:val="14"/>
                <w:vertAlign w:val="superscript"/>
                <w:lang w:eastAsia="pt-BR"/>
              </w:rPr>
              <w:t>1</w:t>
            </w:r>
            <w:r w:rsidRPr="00537AE7">
              <w:rPr>
                <w:rFonts w:eastAsia="Times New Roman" w:cs="Arial"/>
                <w:color w:val="000000"/>
                <w:spacing w:val="-2"/>
                <w:sz w:val="14"/>
                <w:szCs w:val="14"/>
                <w:vertAlign w:val="superscript"/>
                <w:lang w:eastAsia="pt-BR"/>
              </w:rPr>
              <w:t>)</w:t>
            </w:r>
          </w:p>
        </w:tc>
        <w:tc>
          <w:tcPr>
            <w:tcW w:w="1087" w:type="dxa"/>
            <w:shd w:val="clear" w:color="auto" w:fill="auto"/>
            <w:vAlign w:val="center"/>
          </w:tcPr>
          <w:p w14:paraId="64CF5374"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087" w:type="dxa"/>
            <w:shd w:val="clear" w:color="auto" w:fill="auto"/>
            <w:vAlign w:val="center"/>
          </w:tcPr>
          <w:p w14:paraId="00C17065"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087" w:type="dxa"/>
            <w:shd w:val="clear" w:color="auto" w:fill="auto"/>
            <w:vAlign w:val="center"/>
          </w:tcPr>
          <w:p w14:paraId="180191B5" w14:textId="77777777" w:rsidR="00C42353" w:rsidRPr="006B2B70" w:rsidRDefault="00C42353" w:rsidP="006B2B70">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(15.149)</w:t>
            </w:r>
          </w:p>
        </w:tc>
        <w:tc>
          <w:tcPr>
            <w:tcW w:w="283" w:type="dxa"/>
            <w:shd w:val="clear" w:color="auto" w:fill="auto"/>
            <w:vAlign w:val="center"/>
          </w:tcPr>
          <w:p w14:paraId="0F3F9D62"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1685624D"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275" w:type="dxa"/>
            <w:shd w:val="clear" w:color="auto" w:fill="auto"/>
            <w:vAlign w:val="center"/>
          </w:tcPr>
          <w:p w14:paraId="1618EDD1"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276" w:type="dxa"/>
            <w:shd w:val="clear" w:color="auto" w:fill="auto"/>
            <w:vAlign w:val="center"/>
          </w:tcPr>
          <w:p w14:paraId="556831D8" w14:textId="77777777" w:rsidR="00C42353" w:rsidRPr="00295D44" w:rsidRDefault="00C42353" w:rsidP="006B2B70">
            <w:pPr>
              <w:keepNext/>
              <w:keepLines/>
              <w:spacing w:before="40" w:after="40" w:line="240" w:lineRule="auto"/>
              <w:jc w:val="right"/>
              <w:rPr>
                <w:rFonts w:eastAsia="Times New Roman" w:cs="Arial"/>
                <w:spacing w:val="-2"/>
                <w:sz w:val="14"/>
                <w:szCs w:val="14"/>
                <w:lang w:eastAsia="pt-BR"/>
              </w:rPr>
            </w:pPr>
            <w:r w:rsidRPr="00906AE8">
              <w:rPr>
                <w:rFonts w:eastAsia="Times New Roman" w:cs="Arial"/>
                <w:spacing w:val="-2"/>
                <w:sz w:val="14"/>
                <w:szCs w:val="14"/>
                <w:lang w:eastAsia="pt-BR"/>
              </w:rPr>
              <w:t>(13.738)</w:t>
            </w:r>
          </w:p>
        </w:tc>
      </w:tr>
      <w:tr w:rsidR="00C42353" w:rsidRPr="00295D44" w14:paraId="17B9CE5B" w14:textId="77777777" w:rsidTr="00520DA0">
        <w:trPr>
          <w:trHeight w:val="238"/>
          <w:jc w:val="center"/>
        </w:trPr>
        <w:tc>
          <w:tcPr>
            <w:tcW w:w="2269" w:type="dxa"/>
            <w:tcBorders>
              <w:bottom w:val="single" w:sz="2" w:space="0" w:color="1F4E79" w:themeColor="accent1" w:themeShade="80"/>
            </w:tcBorders>
            <w:shd w:val="clear" w:color="auto" w:fill="auto"/>
            <w:vAlign w:val="center"/>
          </w:tcPr>
          <w:p w14:paraId="3D3FCD56" w14:textId="77777777" w:rsidR="00C42353" w:rsidRPr="00295D44" w:rsidRDefault="00C42353" w:rsidP="006B2B70">
            <w:pPr>
              <w:keepNext/>
              <w:keepLines/>
              <w:spacing w:before="40" w:after="40" w:line="240" w:lineRule="auto"/>
              <w:rPr>
                <w:rFonts w:eastAsia="Times New Roman" w:cs="Arial"/>
                <w:b/>
                <w:color w:val="000000"/>
                <w:spacing w:val="-2"/>
                <w:sz w:val="14"/>
                <w:szCs w:val="14"/>
                <w:lang w:eastAsia="pt-BR"/>
              </w:rPr>
            </w:pPr>
            <w:r w:rsidRPr="00295D44">
              <w:rPr>
                <w:rFonts w:eastAsia="Times New Roman" w:cs="Arial"/>
                <w:b/>
                <w:color w:val="000000"/>
                <w:spacing w:val="-2"/>
                <w:sz w:val="14"/>
                <w:szCs w:val="14"/>
                <w:lang w:eastAsia="pt-BR"/>
              </w:rPr>
              <w:t>Resultado de equivalência</w:t>
            </w:r>
          </w:p>
        </w:tc>
        <w:tc>
          <w:tcPr>
            <w:tcW w:w="1087" w:type="dxa"/>
            <w:tcBorders>
              <w:bottom w:val="single" w:sz="2" w:space="0" w:color="1F4E79" w:themeColor="accent1" w:themeShade="80"/>
            </w:tcBorders>
            <w:shd w:val="clear" w:color="auto" w:fill="auto"/>
          </w:tcPr>
          <w:p w14:paraId="53B5284B"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 xml:space="preserve"> 52.098 </w:t>
            </w:r>
          </w:p>
        </w:tc>
        <w:tc>
          <w:tcPr>
            <w:tcW w:w="1087" w:type="dxa"/>
            <w:tcBorders>
              <w:bottom w:val="single" w:sz="2" w:space="0" w:color="1F4E79" w:themeColor="accent1" w:themeShade="80"/>
            </w:tcBorders>
            <w:shd w:val="clear" w:color="auto" w:fill="auto"/>
          </w:tcPr>
          <w:p w14:paraId="67D7AD18" w14:textId="77777777" w:rsidR="00C42353" w:rsidRPr="006B2B70" w:rsidRDefault="00C42353" w:rsidP="006B2B70">
            <w:pPr>
              <w:keepNext/>
              <w:keepLines/>
              <w:spacing w:before="40" w:after="40" w:line="240" w:lineRule="auto"/>
              <w:jc w:val="right"/>
              <w:rPr>
                <w:rFonts w:eastAsia="Times New Roman" w:cs="Arial"/>
                <w:b/>
                <w:bCs/>
                <w:spacing w:val="-2"/>
                <w:sz w:val="14"/>
                <w:szCs w:val="14"/>
                <w:lang w:eastAsia="pt-BR"/>
              </w:rPr>
            </w:pPr>
            <w:r w:rsidRPr="006B2B70">
              <w:rPr>
                <w:rFonts w:cs="Arial"/>
                <w:b/>
                <w:bCs/>
                <w:sz w:val="14"/>
                <w:szCs w:val="14"/>
              </w:rPr>
              <w:t xml:space="preserve"> 1.028.843 </w:t>
            </w:r>
          </w:p>
        </w:tc>
        <w:tc>
          <w:tcPr>
            <w:tcW w:w="1087" w:type="dxa"/>
            <w:tcBorders>
              <w:bottom w:val="single" w:sz="2" w:space="0" w:color="1F4E79" w:themeColor="accent1" w:themeShade="80"/>
            </w:tcBorders>
            <w:shd w:val="clear" w:color="auto" w:fill="auto"/>
            <w:vAlign w:val="center"/>
          </w:tcPr>
          <w:p w14:paraId="5818687B" w14:textId="77777777" w:rsidR="00C42353" w:rsidRPr="006B2B70" w:rsidRDefault="00C42353" w:rsidP="006B2B70">
            <w:pPr>
              <w:keepNext/>
              <w:keepLines/>
              <w:spacing w:before="40" w:after="40" w:line="240" w:lineRule="auto"/>
              <w:jc w:val="right"/>
              <w:rPr>
                <w:rFonts w:eastAsia="Times New Roman" w:cs="Arial"/>
                <w:b/>
                <w:spacing w:val="-2"/>
                <w:sz w:val="14"/>
                <w:szCs w:val="14"/>
                <w:lang w:eastAsia="pt-BR"/>
              </w:rPr>
            </w:pPr>
            <w:r w:rsidRPr="006B2B70">
              <w:rPr>
                <w:rFonts w:eastAsia="Times New Roman" w:cs="Arial"/>
                <w:b/>
                <w:spacing w:val="-2"/>
                <w:sz w:val="14"/>
                <w:szCs w:val="14"/>
                <w:lang w:eastAsia="pt-BR"/>
              </w:rPr>
              <w:t>1.067.020</w:t>
            </w:r>
          </w:p>
        </w:tc>
        <w:tc>
          <w:tcPr>
            <w:tcW w:w="283" w:type="dxa"/>
            <w:tcBorders>
              <w:bottom w:val="single" w:sz="2" w:space="0" w:color="1F4E79" w:themeColor="accent1" w:themeShade="80"/>
            </w:tcBorders>
            <w:shd w:val="clear" w:color="auto" w:fill="auto"/>
            <w:vAlign w:val="center"/>
          </w:tcPr>
          <w:p w14:paraId="3B6D0CB4"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p>
        </w:tc>
        <w:tc>
          <w:tcPr>
            <w:tcW w:w="1275" w:type="dxa"/>
            <w:tcBorders>
              <w:bottom w:val="single" w:sz="2" w:space="0" w:color="1F4E79" w:themeColor="accent1" w:themeShade="80"/>
            </w:tcBorders>
            <w:shd w:val="clear" w:color="auto" w:fill="auto"/>
            <w:vAlign w:val="center"/>
          </w:tcPr>
          <w:p w14:paraId="618D1CF2"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35.096</w:t>
            </w:r>
          </w:p>
        </w:tc>
        <w:tc>
          <w:tcPr>
            <w:tcW w:w="1275" w:type="dxa"/>
            <w:tcBorders>
              <w:bottom w:val="single" w:sz="2" w:space="0" w:color="1F4E79" w:themeColor="accent1" w:themeShade="80"/>
            </w:tcBorders>
            <w:shd w:val="clear" w:color="auto" w:fill="auto"/>
            <w:vAlign w:val="center"/>
          </w:tcPr>
          <w:p w14:paraId="7D9C5BA8"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1.066.193</w:t>
            </w:r>
          </w:p>
        </w:tc>
        <w:tc>
          <w:tcPr>
            <w:tcW w:w="1276" w:type="dxa"/>
            <w:tcBorders>
              <w:bottom w:val="single" w:sz="2" w:space="0" w:color="1F4E79" w:themeColor="accent1" w:themeShade="80"/>
            </w:tcBorders>
            <w:shd w:val="clear" w:color="auto" w:fill="auto"/>
            <w:vAlign w:val="center"/>
          </w:tcPr>
          <w:p w14:paraId="727543E0" w14:textId="77777777" w:rsidR="00C42353" w:rsidRPr="00295D44" w:rsidRDefault="00C42353" w:rsidP="006B2B70">
            <w:pPr>
              <w:keepNext/>
              <w:keepLines/>
              <w:spacing w:before="40" w:after="40" w:line="240" w:lineRule="auto"/>
              <w:jc w:val="right"/>
              <w:rPr>
                <w:rFonts w:eastAsia="Times New Roman" w:cs="Arial"/>
                <w:b/>
                <w:spacing w:val="-2"/>
                <w:sz w:val="14"/>
                <w:szCs w:val="14"/>
                <w:lang w:eastAsia="pt-BR"/>
              </w:rPr>
            </w:pPr>
            <w:r w:rsidRPr="008973D1">
              <w:rPr>
                <w:rFonts w:cs="Arial"/>
                <w:b/>
                <w:sz w:val="14"/>
                <w:szCs w:val="14"/>
              </w:rPr>
              <w:t>1.086.543</w:t>
            </w:r>
          </w:p>
        </w:tc>
      </w:tr>
    </w:tbl>
    <w:p w14:paraId="4E2E34C7" w14:textId="77777777" w:rsidR="00C42353" w:rsidRPr="00CF4AD2" w:rsidRDefault="00C42353" w:rsidP="00C42353">
      <w:pPr>
        <w:numPr>
          <w:ilvl w:val="0"/>
          <w:numId w:val="3"/>
        </w:numPr>
        <w:spacing w:line="257" w:lineRule="auto"/>
        <w:ind w:left="284" w:hanging="284"/>
        <w:contextualSpacing/>
        <w:jc w:val="both"/>
        <w:rPr>
          <w:rFonts w:eastAsia="Times New Roman" w:cs="Times New Roman"/>
          <w:spacing w:val="-2"/>
          <w:sz w:val="14"/>
          <w:szCs w:val="18"/>
          <w:lang w:eastAsia="pt-BR"/>
        </w:rPr>
      </w:pPr>
      <w:r w:rsidRPr="00CF4AD2">
        <w:rPr>
          <w:rFonts w:eastAsia="Times New Roman" w:cs="Times New Roman"/>
          <w:spacing w:val="-2"/>
          <w:sz w:val="14"/>
          <w:szCs w:val="18"/>
          <w:lang w:eastAsia="pt-BR"/>
        </w:rPr>
        <w:t>Amortização do intangível oriundo do acordo de parceria com a Mapfre.</w:t>
      </w:r>
    </w:p>
    <w:p w14:paraId="5DAB8737" w14:textId="77777777" w:rsidR="00C42353" w:rsidRPr="00537AE7" w:rsidRDefault="00C42353" w:rsidP="00537AE7">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Informações Patrimoniais</w:t>
      </w:r>
    </w:p>
    <w:p w14:paraId="186F296A" w14:textId="77777777" w:rsidR="00C42353" w:rsidRPr="00537AE7" w:rsidRDefault="00C42353" w:rsidP="00537AE7">
      <w:pPr>
        <w:spacing w:after="0" w:line="240" w:lineRule="auto"/>
        <w:rPr>
          <w:rFonts w:eastAsia="Times New Roman" w:cs="Times New Roman"/>
          <w:b/>
          <w:color w:val="1F4E79" w:themeColor="accent1" w:themeShade="80"/>
          <w:spacing w:val="-2"/>
          <w:szCs w:val="20"/>
          <w:lang w:eastAsia="pt-BR"/>
        </w:rPr>
      </w:pPr>
    </w:p>
    <w:p w14:paraId="7B949894" w14:textId="77777777" w:rsidR="00C42353" w:rsidRPr="00537AE7" w:rsidRDefault="00C42353" w:rsidP="00537AE7">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269"/>
        <w:gridCol w:w="1134"/>
        <w:gridCol w:w="1134"/>
        <w:gridCol w:w="1134"/>
        <w:gridCol w:w="284"/>
        <w:gridCol w:w="1228"/>
        <w:gridCol w:w="1228"/>
        <w:gridCol w:w="1228"/>
      </w:tblGrid>
      <w:tr w:rsidR="00C42353" w:rsidRPr="00537AE7" w14:paraId="049F227D" w14:textId="77777777" w:rsidTr="0064478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EAE5423" w14:textId="77777777" w:rsidR="00C42353" w:rsidRPr="00537AE7" w:rsidRDefault="00C42353" w:rsidP="00537AE7">
            <w:pPr>
              <w:jc w:val="center"/>
              <w:rPr>
                <w:rFonts w:cs="Arial"/>
                <w:sz w:val="14"/>
                <w:szCs w:val="14"/>
              </w:rPr>
            </w:pPr>
            <w:r w:rsidRPr="00537AE7">
              <w:rPr>
                <w:rFonts w:cs="Arial"/>
                <w:sz w:val="14"/>
                <w:szCs w:val="14"/>
              </w:rPr>
              <w:t>Segmento</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50DE8B9F" w14:textId="77777777" w:rsidR="00C42353" w:rsidRPr="00537AE7" w:rsidRDefault="00C42353" w:rsidP="00537AE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537AE7">
              <w:rPr>
                <w:rFonts w:cs="Arial"/>
                <w:sz w:val="14"/>
                <w:szCs w:val="14"/>
              </w:rPr>
              <w:t>Seguridade</w:t>
            </w:r>
          </w:p>
        </w:tc>
      </w:tr>
      <w:tr w:rsidR="00C42353" w:rsidRPr="00537AE7" w14:paraId="05D11F3D" w14:textId="77777777" w:rsidTr="0064478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7FAD313" w14:textId="77777777" w:rsidR="00C42353" w:rsidRPr="00537AE7" w:rsidRDefault="00C42353" w:rsidP="00537AE7">
            <w:pPr>
              <w:jc w:val="center"/>
              <w:rPr>
                <w:rFonts w:cs="Arial"/>
                <w:sz w:val="14"/>
                <w:szCs w:val="14"/>
              </w:rPr>
            </w:pPr>
            <w:r w:rsidRPr="00537AE7">
              <w:rPr>
                <w:rFonts w:cs="Arial"/>
                <w:sz w:val="14"/>
                <w:szCs w:val="14"/>
              </w:rPr>
              <w:t>Ramo de atuação</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1C806C8D" w14:textId="77777777" w:rsidR="00C42353" w:rsidRPr="00537AE7" w:rsidRDefault="00C42353" w:rsidP="00537AE7">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Seguros – Vida, habitacional, rural e patrimonial</w:t>
            </w:r>
          </w:p>
        </w:tc>
      </w:tr>
      <w:tr w:rsidR="00C42353" w:rsidRPr="00537AE7" w14:paraId="725492A4" w14:textId="77777777" w:rsidTr="0064478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tcPr>
          <w:p w14:paraId="42A81B9C" w14:textId="77777777" w:rsidR="00C42353" w:rsidRPr="00537AE7" w:rsidRDefault="00C42353" w:rsidP="00A353C3">
            <w:pPr>
              <w:jc w:val="center"/>
              <w:rPr>
                <w:rFonts w:cs="Arial"/>
                <w:sz w:val="14"/>
                <w:szCs w:val="14"/>
              </w:rPr>
            </w:pPr>
          </w:p>
        </w:tc>
        <w:tc>
          <w:tcPr>
            <w:tcW w:w="3402"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46380F35" w14:textId="77777777" w:rsidR="00C42353" w:rsidRPr="00537AE7" w:rsidRDefault="00C42353" w:rsidP="00A353C3">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r>
              <w:rPr>
                <w:rFonts w:cs="Arial"/>
                <w:b/>
                <w:sz w:val="14"/>
                <w:szCs w:val="14"/>
              </w:rPr>
              <w:t>31</w:t>
            </w:r>
            <w:r w:rsidRPr="00537AE7">
              <w:rPr>
                <w:rFonts w:cs="Arial"/>
                <w:b/>
                <w:sz w:val="14"/>
                <w:szCs w:val="14"/>
              </w:rPr>
              <w:t>.</w:t>
            </w:r>
            <w:r>
              <w:rPr>
                <w:rFonts w:cs="Arial"/>
                <w:b/>
                <w:sz w:val="14"/>
                <w:szCs w:val="14"/>
              </w:rPr>
              <w:t>12</w:t>
            </w:r>
            <w:r w:rsidRPr="00537AE7">
              <w:rPr>
                <w:rFonts w:cs="Arial"/>
                <w:b/>
                <w:sz w:val="14"/>
                <w:szCs w:val="14"/>
              </w:rPr>
              <w:t>.202</w:t>
            </w:r>
            <w:r>
              <w:rPr>
                <w:rFonts w:cs="Arial"/>
                <w:b/>
                <w:sz w:val="14"/>
                <w:szCs w:val="14"/>
              </w:rPr>
              <w:t>1</w:t>
            </w:r>
          </w:p>
        </w:tc>
        <w:tc>
          <w:tcPr>
            <w:tcW w:w="284" w:type="dxa"/>
            <w:tcBorders>
              <w:top w:val="single" w:sz="2" w:space="0" w:color="1F4E79" w:themeColor="accent1" w:themeShade="80"/>
              <w:left w:val="nil"/>
              <w:bottom w:val="nil"/>
              <w:right w:val="nil"/>
            </w:tcBorders>
            <w:shd w:val="clear" w:color="auto" w:fill="auto"/>
          </w:tcPr>
          <w:p w14:paraId="6FAC2E6E" w14:textId="77777777" w:rsidR="00C42353" w:rsidRPr="00537AE7" w:rsidRDefault="00C42353" w:rsidP="00A353C3">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p>
        </w:tc>
        <w:tc>
          <w:tcPr>
            <w:tcW w:w="3684"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3B7E2B6C" w14:textId="77777777" w:rsidR="00C42353" w:rsidRPr="00537AE7" w:rsidRDefault="00C42353" w:rsidP="00A353C3">
            <w:pPr>
              <w:jc w:val="center"/>
              <w:cnfStyle w:val="000000010000" w:firstRow="0" w:lastRow="0" w:firstColumn="0" w:lastColumn="0" w:oddVBand="0" w:evenVBand="0" w:oddHBand="0" w:evenHBand="1" w:firstRowFirstColumn="0" w:firstRowLastColumn="0" w:lastRowFirstColumn="0" w:lastRowLastColumn="0"/>
              <w:rPr>
                <w:rFonts w:cs="Arial"/>
                <w:sz w:val="14"/>
                <w:szCs w:val="14"/>
              </w:rPr>
            </w:pPr>
            <w:r w:rsidRPr="00537AE7">
              <w:rPr>
                <w:rFonts w:cs="Arial"/>
                <w:b/>
                <w:sz w:val="14"/>
                <w:szCs w:val="14"/>
              </w:rPr>
              <w:t>31.12.2020</w:t>
            </w:r>
          </w:p>
        </w:tc>
      </w:tr>
      <w:tr w:rsidR="00C42353" w:rsidRPr="00537AE7" w14:paraId="41AF658F" w14:textId="77777777" w:rsidTr="0064478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1F4E79" w:themeColor="accent1" w:themeShade="80"/>
              <w:right w:val="nil"/>
            </w:tcBorders>
            <w:shd w:val="clear" w:color="auto" w:fill="auto"/>
            <w:vAlign w:val="center"/>
          </w:tcPr>
          <w:p w14:paraId="318A9790" w14:textId="77777777" w:rsidR="00C42353" w:rsidRPr="00537AE7" w:rsidRDefault="00C42353" w:rsidP="00A353C3">
            <w:pPr>
              <w:jc w:val="center"/>
              <w:rPr>
                <w:rFonts w:cs="Arial"/>
                <w:sz w:val="14"/>
                <w:szCs w:val="14"/>
              </w:rPr>
            </w:pP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CE53E10"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Aliança do Brasil</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18AC1FA"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 xml:space="preserve">Brasilseg </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3408FAD"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BB Mapfre</w:t>
            </w:r>
          </w:p>
        </w:tc>
        <w:tc>
          <w:tcPr>
            <w:tcW w:w="284" w:type="dxa"/>
            <w:tcBorders>
              <w:top w:val="nil"/>
              <w:left w:val="nil"/>
              <w:bottom w:val="single" w:sz="2" w:space="0" w:color="1F4E79" w:themeColor="accent1" w:themeShade="80"/>
              <w:right w:val="nil"/>
            </w:tcBorders>
            <w:shd w:val="clear" w:color="auto" w:fill="auto"/>
          </w:tcPr>
          <w:p w14:paraId="0ED4C36E"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35A15E0"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Aliança do Brasil</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205EDB9"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 xml:space="preserve">Brasilseg </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7D804A" w14:textId="77777777" w:rsidR="00C42353" w:rsidRPr="00537AE7" w:rsidRDefault="00C42353" w:rsidP="00A353C3">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BB Mapfre</w:t>
            </w:r>
          </w:p>
        </w:tc>
      </w:tr>
      <w:tr w:rsidR="00C42353" w:rsidRPr="00FF41EB" w14:paraId="53AD7196"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hideMark/>
          </w:tcPr>
          <w:p w14:paraId="00D80528" w14:textId="77777777" w:rsidR="00C42353" w:rsidRPr="00FF41EB" w:rsidRDefault="00C42353" w:rsidP="00CF4A7C">
            <w:pPr>
              <w:keepNext/>
              <w:keepLines/>
              <w:rPr>
                <w:rFonts w:eastAsia="Times New Roman" w:cs="Arial"/>
                <w:spacing w:val="-2"/>
                <w:sz w:val="14"/>
                <w:szCs w:val="14"/>
              </w:rPr>
            </w:pPr>
            <w:r w:rsidRPr="00FF41EB">
              <w:rPr>
                <w:rFonts w:cs="Arial"/>
                <w:sz w:val="14"/>
                <w:szCs w:val="14"/>
              </w:rPr>
              <w:t xml:space="preserve">Ativo circulante </w:t>
            </w:r>
          </w:p>
        </w:tc>
        <w:tc>
          <w:tcPr>
            <w:tcW w:w="1134" w:type="dxa"/>
            <w:tcBorders>
              <w:top w:val="single" w:sz="2" w:space="0" w:color="1F4E79" w:themeColor="accent1" w:themeShade="80"/>
              <w:left w:val="nil"/>
              <w:bottom w:val="nil"/>
              <w:right w:val="nil"/>
            </w:tcBorders>
            <w:shd w:val="clear" w:color="auto" w:fill="auto"/>
            <w:vAlign w:val="center"/>
          </w:tcPr>
          <w:p w14:paraId="7A4A79B6"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833.966 </w:t>
            </w:r>
          </w:p>
        </w:tc>
        <w:tc>
          <w:tcPr>
            <w:tcW w:w="1134" w:type="dxa"/>
            <w:tcBorders>
              <w:top w:val="single" w:sz="2" w:space="0" w:color="1F4E79" w:themeColor="accent1" w:themeShade="80"/>
              <w:left w:val="nil"/>
              <w:bottom w:val="nil"/>
              <w:right w:val="nil"/>
            </w:tcBorders>
            <w:shd w:val="clear" w:color="auto" w:fill="auto"/>
            <w:vAlign w:val="center"/>
          </w:tcPr>
          <w:p w14:paraId="162C4570"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10.835.734 </w:t>
            </w:r>
          </w:p>
        </w:tc>
        <w:tc>
          <w:tcPr>
            <w:tcW w:w="1134" w:type="dxa"/>
            <w:tcBorders>
              <w:top w:val="single" w:sz="2" w:space="0" w:color="1F4E79" w:themeColor="accent1" w:themeShade="80"/>
              <w:left w:val="nil"/>
              <w:bottom w:val="nil"/>
              <w:right w:val="nil"/>
            </w:tcBorders>
            <w:shd w:val="clear" w:color="auto" w:fill="auto"/>
            <w:vAlign w:val="center"/>
          </w:tcPr>
          <w:p w14:paraId="3B70A48B"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190.475 </w:t>
            </w:r>
          </w:p>
        </w:tc>
        <w:tc>
          <w:tcPr>
            <w:tcW w:w="284" w:type="dxa"/>
            <w:tcBorders>
              <w:top w:val="single" w:sz="2" w:space="0" w:color="1F4E79" w:themeColor="accent1" w:themeShade="80"/>
              <w:left w:val="nil"/>
              <w:bottom w:val="nil"/>
              <w:right w:val="nil"/>
            </w:tcBorders>
            <w:shd w:val="clear" w:color="auto" w:fill="auto"/>
            <w:vAlign w:val="center"/>
          </w:tcPr>
          <w:p w14:paraId="6B652D94"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single" w:sz="2" w:space="0" w:color="1F4E79" w:themeColor="accent1" w:themeShade="80"/>
              <w:left w:val="nil"/>
              <w:bottom w:val="nil"/>
              <w:right w:val="nil"/>
            </w:tcBorders>
            <w:shd w:val="clear" w:color="auto" w:fill="auto"/>
            <w:vAlign w:val="center"/>
          </w:tcPr>
          <w:p w14:paraId="239272BD"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696.068</w:t>
            </w:r>
          </w:p>
        </w:tc>
        <w:tc>
          <w:tcPr>
            <w:tcW w:w="1228" w:type="dxa"/>
            <w:tcBorders>
              <w:top w:val="single" w:sz="2" w:space="0" w:color="1F4E79" w:themeColor="accent1" w:themeShade="80"/>
              <w:left w:val="nil"/>
              <w:bottom w:val="nil"/>
              <w:right w:val="nil"/>
            </w:tcBorders>
            <w:shd w:val="clear" w:color="auto" w:fill="auto"/>
            <w:vAlign w:val="center"/>
          </w:tcPr>
          <w:p w14:paraId="44488CC2"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7.014.657</w:t>
            </w:r>
          </w:p>
        </w:tc>
        <w:tc>
          <w:tcPr>
            <w:tcW w:w="1228" w:type="dxa"/>
            <w:tcBorders>
              <w:top w:val="single" w:sz="2" w:space="0" w:color="1F4E79" w:themeColor="accent1" w:themeShade="80"/>
              <w:left w:val="nil"/>
              <w:bottom w:val="nil"/>
              <w:right w:val="nil"/>
            </w:tcBorders>
            <w:shd w:val="clear" w:color="auto" w:fill="auto"/>
            <w:vAlign w:val="center"/>
          </w:tcPr>
          <w:p w14:paraId="2E4CCEFC"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91.167</w:t>
            </w:r>
          </w:p>
        </w:tc>
      </w:tr>
      <w:tr w:rsidR="00C42353" w:rsidRPr="00537AE7" w14:paraId="78DA65A8"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3FEB71BE"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Caixa e equivalentes de caixa</w:t>
            </w:r>
          </w:p>
        </w:tc>
        <w:tc>
          <w:tcPr>
            <w:tcW w:w="1134" w:type="dxa"/>
            <w:tcBorders>
              <w:top w:val="nil"/>
              <w:left w:val="nil"/>
              <w:bottom w:val="nil"/>
              <w:right w:val="nil"/>
            </w:tcBorders>
            <w:shd w:val="clear" w:color="auto" w:fill="auto"/>
            <w:vAlign w:val="center"/>
          </w:tcPr>
          <w:p w14:paraId="46774F3A"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1.000 </w:t>
            </w:r>
          </w:p>
        </w:tc>
        <w:tc>
          <w:tcPr>
            <w:tcW w:w="1134" w:type="dxa"/>
            <w:tcBorders>
              <w:top w:val="nil"/>
              <w:left w:val="nil"/>
              <w:bottom w:val="nil"/>
              <w:right w:val="nil"/>
            </w:tcBorders>
            <w:shd w:val="clear" w:color="auto" w:fill="auto"/>
            <w:vAlign w:val="center"/>
          </w:tcPr>
          <w:p w14:paraId="6A274FAA"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1.975 </w:t>
            </w:r>
          </w:p>
        </w:tc>
        <w:tc>
          <w:tcPr>
            <w:tcW w:w="1134" w:type="dxa"/>
            <w:tcBorders>
              <w:top w:val="nil"/>
              <w:left w:val="nil"/>
              <w:bottom w:val="nil"/>
              <w:right w:val="nil"/>
            </w:tcBorders>
            <w:shd w:val="clear" w:color="auto" w:fill="auto"/>
            <w:vAlign w:val="center"/>
          </w:tcPr>
          <w:p w14:paraId="012826AC"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7C6035E6"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200B936"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3.500</w:t>
            </w:r>
          </w:p>
        </w:tc>
        <w:tc>
          <w:tcPr>
            <w:tcW w:w="1228" w:type="dxa"/>
            <w:tcBorders>
              <w:top w:val="nil"/>
              <w:left w:val="nil"/>
              <w:bottom w:val="nil"/>
              <w:right w:val="nil"/>
            </w:tcBorders>
            <w:shd w:val="clear" w:color="auto" w:fill="auto"/>
            <w:vAlign w:val="center"/>
          </w:tcPr>
          <w:p w14:paraId="40CE06FD"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6.040</w:t>
            </w:r>
          </w:p>
        </w:tc>
        <w:tc>
          <w:tcPr>
            <w:tcW w:w="1228" w:type="dxa"/>
            <w:tcBorders>
              <w:top w:val="nil"/>
              <w:left w:val="nil"/>
              <w:bottom w:val="nil"/>
              <w:right w:val="nil"/>
            </w:tcBorders>
            <w:shd w:val="clear" w:color="auto" w:fill="auto"/>
            <w:vAlign w:val="center"/>
          </w:tcPr>
          <w:p w14:paraId="3AEEDE7E"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537AE7" w14:paraId="42A61850"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6D7ACEB9"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Aplicações</w:t>
            </w:r>
          </w:p>
        </w:tc>
        <w:tc>
          <w:tcPr>
            <w:tcW w:w="1134" w:type="dxa"/>
            <w:tcBorders>
              <w:top w:val="nil"/>
              <w:left w:val="nil"/>
              <w:bottom w:val="nil"/>
              <w:right w:val="nil"/>
            </w:tcBorders>
            <w:shd w:val="clear" w:color="auto" w:fill="auto"/>
            <w:vAlign w:val="center"/>
          </w:tcPr>
          <w:p w14:paraId="1B59703E"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FF41EB">
              <w:rPr>
                <w:rFonts w:cs="Arial"/>
                <w:sz w:val="14"/>
                <w:szCs w:val="14"/>
              </w:rPr>
              <w:t xml:space="preserve">  352.736 </w:t>
            </w:r>
          </w:p>
        </w:tc>
        <w:tc>
          <w:tcPr>
            <w:tcW w:w="1134" w:type="dxa"/>
            <w:tcBorders>
              <w:top w:val="nil"/>
              <w:left w:val="nil"/>
              <w:bottom w:val="nil"/>
              <w:right w:val="nil"/>
            </w:tcBorders>
            <w:shd w:val="clear" w:color="auto" w:fill="auto"/>
            <w:vAlign w:val="center"/>
          </w:tcPr>
          <w:p w14:paraId="5133B6B1"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5.740.818 </w:t>
            </w:r>
          </w:p>
        </w:tc>
        <w:tc>
          <w:tcPr>
            <w:tcW w:w="1134" w:type="dxa"/>
            <w:tcBorders>
              <w:top w:val="nil"/>
              <w:left w:val="nil"/>
              <w:bottom w:val="nil"/>
              <w:right w:val="nil"/>
            </w:tcBorders>
            <w:shd w:val="clear" w:color="auto" w:fill="auto"/>
            <w:vAlign w:val="center"/>
          </w:tcPr>
          <w:p w14:paraId="47F478AB"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3.267 </w:t>
            </w:r>
          </w:p>
        </w:tc>
        <w:tc>
          <w:tcPr>
            <w:tcW w:w="284" w:type="dxa"/>
            <w:tcBorders>
              <w:top w:val="nil"/>
              <w:left w:val="nil"/>
              <w:bottom w:val="nil"/>
              <w:right w:val="nil"/>
            </w:tcBorders>
            <w:shd w:val="clear" w:color="auto" w:fill="auto"/>
            <w:vAlign w:val="center"/>
          </w:tcPr>
          <w:p w14:paraId="08C62632"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4B3F91F"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344.980</w:t>
            </w:r>
          </w:p>
        </w:tc>
        <w:tc>
          <w:tcPr>
            <w:tcW w:w="1228" w:type="dxa"/>
            <w:tcBorders>
              <w:top w:val="nil"/>
              <w:left w:val="nil"/>
              <w:bottom w:val="nil"/>
              <w:right w:val="nil"/>
            </w:tcBorders>
            <w:shd w:val="clear" w:color="auto" w:fill="auto"/>
            <w:vAlign w:val="center"/>
          </w:tcPr>
          <w:p w14:paraId="7768F380"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2.960.674</w:t>
            </w:r>
          </w:p>
        </w:tc>
        <w:tc>
          <w:tcPr>
            <w:tcW w:w="1228" w:type="dxa"/>
            <w:tcBorders>
              <w:top w:val="nil"/>
              <w:left w:val="nil"/>
              <w:bottom w:val="nil"/>
              <w:right w:val="nil"/>
            </w:tcBorders>
            <w:shd w:val="clear" w:color="auto" w:fill="auto"/>
            <w:vAlign w:val="center"/>
          </w:tcPr>
          <w:p w14:paraId="10525C28"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89.872</w:t>
            </w:r>
          </w:p>
        </w:tc>
      </w:tr>
      <w:tr w:rsidR="00C42353" w:rsidRPr="00537AE7" w14:paraId="36DC7A95"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78FF8E39"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Outros ativos circulantes</w:t>
            </w:r>
          </w:p>
        </w:tc>
        <w:tc>
          <w:tcPr>
            <w:tcW w:w="1134" w:type="dxa"/>
            <w:tcBorders>
              <w:top w:val="nil"/>
              <w:left w:val="nil"/>
              <w:bottom w:val="nil"/>
              <w:right w:val="nil"/>
            </w:tcBorders>
            <w:shd w:val="clear" w:color="auto" w:fill="auto"/>
            <w:vAlign w:val="center"/>
          </w:tcPr>
          <w:p w14:paraId="7F0026C0"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480.230 </w:t>
            </w:r>
          </w:p>
        </w:tc>
        <w:tc>
          <w:tcPr>
            <w:tcW w:w="1134" w:type="dxa"/>
            <w:tcBorders>
              <w:top w:val="nil"/>
              <w:left w:val="nil"/>
              <w:bottom w:val="nil"/>
              <w:right w:val="nil"/>
            </w:tcBorders>
            <w:shd w:val="clear" w:color="auto" w:fill="auto"/>
            <w:vAlign w:val="center"/>
          </w:tcPr>
          <w:p w14:paraId="43DB924E"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5.092.941 </w:t>
            </w:r>
          </w:p>
        </w:tc>
        <w:tc>
          <w:tcPr>
            <w:tcW w:w="1134" w:type="dxa"/>
            <w:tcBorders>
              <w:top w:val="nil"/>
              <w:left w:val="nil"/>
              <w:bottom w:val="nil"/>
              <w:right w:val="nil"/>
            </w:tcBorders>
            <w:shd w:val="clear" w:color="auto" w:fill="auto"/>
            <w:vAlign w:val="center"/>
          </w:tcPr>
          <w:p w14:paraId="59888C3B"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187.208 </w:t>
            </w:r>
          </w:p>
        </w:tc>
        <w:tc>
          <w:tcPr>
            <w:tcW w:w="284" w:type="dxa"/>
            <w:tcBorders>
              <w:top w:val="nil"/>
              <w:left w:val="nil"/>
              <w:bottom w:val="nil"/>
              <w:right w:val="nil"/>
            </w:tcBorders>
            <w:shd w:val="clear" w:color="auto" w:fill="auto"/>
            <w:vAlign w:val="center"/>
          </w:tcPr>
          <w:p w14:paraId="6678A1BA"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CE144CC"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347.588</w:t>
            </w:r>
          </w:p>
        </w:tc>
        <w:tc>
          <w:tcPr>
            <w:tcW w:w="1228" w:type="dxa"/>
            <w:tcBorders>
              <w:top w:val="nil"/>
              <w:left w:val="nil"/>
              <w:bottom w:val="nil"/>
              <w:right w:val="nil"/>
            </w:tcBorders>
            <w:shd w:val="clear" w:color="auto" w:fill="auto"/>
            <w:vAlign w:val="center"/>
          </w:tcPr>
          <w:p w14:paraId="291912FD"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4.047.943</w:t>
            </w:r>
          </w:p>
        </w:tc>
        <w:tc>
          <w:tcPr>
            <w:tcW w:w="1228" w:type="dxa"/>
            <w:tcBorders>
              <w:top w:val="nil"/>
              <w:left w:val="nil"/>
              <w:bottom w:val="nil"/>
              <w:right w:val="nil"/>
            </w:tcBorders>
            <w:shd w:val="clear" w:color="auto" w:fill="auto"/>
            <w:vAlign w:val="center"/>
          </w:tcPr>
          <w:p w14:paraId="41FA3553"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1.295</w:t>
            </w:r>
          </w:p>
        </w:tc>
      </w:tr>
      <w:tr w:rsidR="00C42353" w:rsidRPr="00FF41EB" w14:paraId="02B71697"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43578045" w14:textId="77777777" w:rsidR="00C42353" w:rsidRPr="00FF41EB" w:rsidRDefault="00C42353" w:rsidP="00CF4A7C">
            <w:pPr>
              <w:keepNext/>
              <w:keepLines/>
              <w:rPr>
                <w:rFonts w:eastAsia="Times New Roman" w:cs="Arial"/>
                <w:spacing w:val="-2"/>
                <w:sz w:val="14"/>
                <w:szCs w:val="14"/>
              </w:rPr>
            </w:pPr>
            <w:r w:rsidRPr="00FF41EB">
              <w:rPr>
                <w:rFonts w:cs="Arial"/>
                <w:sz w:val="14"/>
                <w:szCs w:val="14"/>
              </w:rPr>
              <w:t xml:space="preserve">Ativo não circulante </w:t>
            </w:r>
          </w:p>
        </w:tc>
        <w:tc>
          <w:tcPr>
            <w:tcW w:w="1134" w:type="dxa"/>
            <w:tcBorders>
              <w:top w:val="nil"/>
              <w:left w:val="nil"/>
              <w:bottom w:val="nil"/>
              <w:right w:val="nil"/>
            </w:tcBorders>
            <w:shd w:val="clear" w:color="auto" w:fill="auto"/>
            <w:vAlign w:val="center"/>
          </w:tcPr>
          <w:p w14:paraId="0EE09E40"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236.956 </w:t>
            </w:r>
          </w:p>
        </w:tc>
        <w:tc>
          <w:tcPr>
            <w:tcW w:w="1134" w:type="dxa"/>
            <w:tcBorders>
              <w:top w:val="nil"/>
              <w:left w:val="nil"/>
              <w:bottom w:val="nil"/>
              <w:right w:val="nil"/>
            </w:tcBorders>
            <w:shd w:val="clear" w:color="auto" w:fill="auto"/>
            <w:vAlign w:val="center"/>
          </w:tcPr>
          <w:p w14:paraId="5A23C627"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7.315.139 </w:t>
            </w:r>
          </w:p>
        </w:tc>
        <w:tc>
          <w:tcPr>
            <w:tcW w:w="1134" w:type="dxa"/>
            <w:tcBorders>
              <w:top w:val="nil"/>
              <w:left w:val="nil"/>
              <w:bottom w:val="nil"/>
              <w:right w:val="nil"/>
            </w:tcBorders>
            <w:shd w:val="clear" w:color="auto" w:fill="auto"/>
            <w:vAlign w:val="center"/>
          </w:tcPr>
          <w:p w14:paraId="2975BC42"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2.247.035 </w:t>
            </w:r>
          </w:p>
        </w:tc>
        <w:tc>
          <w:tcPr>
            <w:tcW w:w="284" w:type="dxa"/>
            <w:tcBorders>
              <w:top w:val="nil"/>
              <w:left w:val="nil"/>
              <w:bottom w:val="nil"/>
              <w:right w:val="nil"/>
            </w:tcBorders>
            <w:shd w:val="clear" w:color="auto" w:fill="auto"/>
            <w:vAlign w:val="center"/>
          </w:tcPr>
          <w:p w14:paraId="24C3EDA5"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0B80993A"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155.666</w:t>
            </w:r>
          </w:p>
        </w:tc>
        <w:tc>
          <w:tcPr>
            <w:tcW w:w="1228" w:type="dxa"/>
            <w:tcBorders>
              <w:top w:val="nil"/>
              <w:left w:val="nil"/>
              <w:bottom w:val="nil"/>
              <w:right w:val="nil"/>
            </w:tcBorders>
            <w:shd w:val="clear" w:color="auto" w:fill="auto"/>
            <w:vAlign w:val="center"/>
          </w:tcPr>
          <w:p w14:paraId="5F830815"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8.906.115</w:t>
            </w:r>
          </w:p>
        </w:tc>
        <w:tc>
          <w:tcPr>
            <w:tcW w:w="1228" w:type="dxa"/>
            <w:tcBorders>
              <w:top w:val="nil"/>
              <w:left w:val="nil"/>
              <w:bottom w:val="nil"/>
              <w:right w:val="nil"/>
            </w:tcBorders>
            <w:shd w:val="clear" w:color="auto" w:fill="auto"/>
            <w:vAlign w:val="center"/>
          </w:tcPr>
          <w:p w14:paraId="40D9E871" w14:textId="77777777" w:rsidR="00C42353" w:rsidRPr="00FF41EB"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2.203.448</w:t>
            </w:r>
          </w:p>
        </w:tc>
      </w:tr>
      <w:tr w:rsidR="00C42353" w:rsidRPr="00537AE7" w14:paraId="05469A14"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44EA42AC"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Aplicações</w:t>
            </w:r>
          </w:p>
        </w:tc>
        <w:tc>
          <w:tcPr>
            <w:tcW w:w="1134" w:type="dxa"/>
            <w:tcBorders>
              <w:top w:val="nil"/>
              <w:left w:val="nil"/>
              <w:bottom w:val="nil"/>
              <w:right w:val="nil"/>
            </w:tcBorders>
            <w:shd w:val="clear" w:color="auto" w:fill="auto"/>
            <w:vAlign w:val="center"/>
          </w:tcPr>
          <w:p w14:paraId="6A0C9394"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101.847 </w:t>
            </w:r>
          </w:p>
        </w:tc>
        <w:tc>
          <w:tcPr>
            <w:tcW w:w="1134" w:type="dxa"/>
            <w:tcBorders>
              <w:top w:val="nil"/>
              <w:left w:val="nil"/>
              <w:bottom w:val="nil"/>
              <w:right w:val="nil"/>
            </w:tcBorders>
            <w:shd w:val="clear" w:color="auto" w:fill="auto"/>
            <w:vAlign w:val="center"/>
          </w:tcPr>
          <w:p w14:paraId="7F869677"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1.838.943 </w:t>
            </w:r>
          </w:p>
        </w:tc>
        <w:tc>
          <w:tcPr>
            <w:tcW w:w="1134" w:type="dxa"/>
            <w:tcBorders>
              <w:top w:val="nil"/>
              <w:left w:val="nil"/>
              <w:bottom w:val="nil"/>
              <w:right w:val="nil"/>
            </w:tcBorders>
            <w:shd w:val="clear" w:color="auto" w:fill="auto"/>
            <w:vAlign w:val="center"/>
          </w:tcPr>
          <w:p w14:paraId="69473D2D"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6D02E18E"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2293E83E"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70.370</w:t>
            </w:r>
          </w:p>
        </w:tc>
        <w:tc>
          <w:tcPr>
            <w:tcW w:w="1228" w:type="dxa"/>
            <w:tcBorders>
              <w:top w:val="nil"/>
              <w:left w:val="nil"/>
              <w:bottom w:val="nil"/>
              <w:right w:val="nil"/>
            </w:tcBorders>
            <w:shd w:val="clear" w:color="auto" w:fill="auto"/>
            <w:vAlign w:val="center"/>
          </w:tcPr>
          <w:p w14:paraId="1F415C7B"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3.784.285</w:t>
            </w:r>
          </w:p>
        </w:tc>
        <w:tc>
          <w:tcPr>
            <w:tcW w:w="1228" w:type="dxa"/>
            <w:tcBorders>
              <w:top w:val="nil"/>
              <w:left w:val="nil"/>
              <w:bottom w:val="nil"/>
              <w:right w:val="nil"/>
            </w:tcBorders>
            <w:shd w:val="clear" w:color="auto" w:fill="auto"/>
            <w:vAlign w:val="center"/>
          </w:tcPr>
          <w:p w14:paraId="298598E0" w14:textId="77777777" w:rsidR="00C42353" w:rsidRPr="00475530"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537AE7" w14:paraId="54E67C1F"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0091966F"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Outros ativos não circulantes</w:t>
            </w:r>
          </w:p>
        </w:tc>
        <w:tc>
          <w:tcPr>
            <w:tcW w:w="1134" w:type="dxa"/>
            <w:tcBorders>
              <w:top w:val="nil"/>
              <w:left w:val="nil"/>
              <w:bottom w:val="nil"/>
              <w:right w:val="nil"/>
            </w:tcBorders>
            <w:shd w:val="clear" w:color="auto" w:fill="auto"/>
            <w:vAlign w:val="center"/>
          </w:tcPr>
          <w:p w14:paraId="6C44D765"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FF41EB">
              <w:rPr>
                <w:rFonts w:cs="Arial"/>
                <w:sz w:val="14"/>
                <w:szCs w:val="14"/>
              </w:rPr>
              <w:t xml:space="preserve">  135.109 </w:t>
            </w:r>
          </w:p>
        </w:tc>
        <w:tc>
          <w:tcPr>
            <w:tcW w:w="1134" w:type="dxa"/>
            <w:tcBorders>
              <w:top w:val="nil"/>
              <w:left w:val="nil"/>
              <w:bottom w:val="nil"/>
              <w:right w:val="nil"/>
            </w:tcBorders>
            <w:shd w:val="clear" w:color="auto" w:fill="auto"/>
            <w:vAlign w:val="center"/>
          </w:tcPr>
          <w:p w14:paraId="28082AF1"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5.476.196 </w:t>
            </w:r>
          </w:p>
        </w:tc>
        <w:tc>
          <w:tcPr>
            <w:tcW w:w="1134" w:type="dxa"/>
            <w:tcBorders>
              <w:top w:val="nil"/>
              <w:left w:val="nil"/>
              <w:bottom w:val="nil"/>
              <w:right w:val="nil"/>
            </w:tcBorders>
            <w:shd w:val="clear" w:color="auto" w:fill="auto"/>
            <w:vAlign w:val="center"/>
          </w:tcPr>
          <w:p w14:paraId="5C64181F"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2.247.035 </w:t>
            </w:r>
          </w:p>
        </w:tc>
        <w:tc>
          <w:tcPr>
            <w:tcW w:w="284" w:type="dxa"/>
            <w:tcBorders>
              <w:top w:val="nil"/>
              <w:left w:val="nil"/>
              <w:bottom w:val="nil"/>
              <w:right w:val="nil"/>
            </w:tcBorders>
            <w:shd w:val="clear" w:color="auto" w:fill="auto"/>
            <w:vAlign w:val="center"/>
          </w:tcPr>
          <w:p w14:paraId="06FE3C6D"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6260C8EF"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85.296</w:t>
            </w:r>
          </w:p>
        </w:tc>
        <w:tc>
          <w:tcPr>
            <w:tcW w:w="1228" w:type="dxa"/>
            <w:tcBorders>
              <w:top w:val="nil"/>
              <w:left w:val="nil"/>
              <w:bottom w:val="nil"/>
              <w:right w:val="nil"/>
            </w:tcBorders>
            <w:shd w:val="clear" w:color="auto" w:fill="auto"/>
            <w:vAlign w:val="center"/>
          </w:tcPr>
          <w:p w14:paraId="36096087"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5.121.830</w:t>
            </w:r>
          </w:p>
        </w:tc>
        <w:tc>
          <w:tcPr>
            <w:tcW w:w="1228" w:type="dxa"/>
            <w:tcBorders>
              <w:top w:val="nil"/>
              <w:left w:val="nil"/>
              <w:bottom w:val="nil"/>
              <w:right w:val="nil"/>
            </w:tcBorders>
            <w:shd w:val="clear" w:color="auto" w:fill="auto"/>
            <w:vAlign w:val="center"/>
          </w:tcPr>
          <w:p w14:paraId="20C8DD82"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2.203.448</w:t>
            </w:r>
          </w:p>
        </w:tc>
      </w:tr>
      <w:tr w:rsidR="00C42353" w:rsidRPr="00FF41EB" w14:paraId="3D1DC79E"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29349E6F" w14:textId="77777777" w:rsidR="00C42353" w:rsidRPr="00FF41EB" w:rsidRDefault="00C42353" w:rsidP="00CF4A7C">
            <w:pPr>
              <w:keepNext/>
              <w:keepLines/>
              <w:rPr>
                <w:rFonts w:eastAsia="Times New Roman" w:cs="Arial"/>
                <w:spacing w:val="-2"/>
                <w:sz w:val="14"/>
                <w:szCs w:val="14"/>
              </w:rPr>
            </w:pPr>
            <w:r w:rsidRPr="00FF41EB">
              <w:rPr>
                <w:rFonts w:cs="Arial"/>
                <w:sz w:val="14"/>
                <w:szCs w:val="14"/>
              </w:rPr>
              <w:t>Passivo circulante</w:t>
            </w:r>
          </w:p>
        </w:tc>
        <w:tc>
          <w:tcPr>
            <w:tcW w:w="1134" w:type="dxa"/>
            <w:tcBorders>
              <w:top w:val="nil"/>
              <w:left w:val="nil"/>
              <w:bottom w:val="nil"/>
              <w:right w:val="nil"/>
            </w:tcBorders>
            <w:shd w:val="clear" w:color="auto" w:fill="auto"/>
            <w:vAlign w:val="center"/>
          </w:tcPr>
          <w:p w14:paraId="62AED4C0"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680.086 </w:t>
            </w:r>
          </w:p>
        </w:tc>
        <w:tc>
          <w:tcPr>
            <w:tcW w:w="1134" w:type="dxa"/>
            <w:tcBorders>
              <w:top w:val="nil"/>
              <w:left w:val="nil"/>
              <w:bottom w:val="nil"/>
              <w:right w:val="nil"/>
            </w:tcBorders>
            <w:shd w:val="clear" w:color="auto" w:fill="auto"/>
            <w:vAlign w:val="center"/>
          </w:tcPr>
          <w:p w14:paraId="6824AE14"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10.003.179 </w:t>
            </w:r>
          </w:p>
        </w:tc>
        <w:tc>
          <w:tcPr>
            <w:tcW w:w="1134" w:type="dxa"/>
            <w:tcBorders>
              <w:top w:val="nil"/>
              <w:left w:val="nil"/>
              <w:bottom w:val="nil"/>
              <w:right w:val="nil"/>
            </w:tcBorders>
            <w:shd w:val="clear" w:color="auto" w:fill="auto"/>
            <w:vAlign w:val="center"/>
          </w:tcPr>
          <w:p w14:paraId="6237176C"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1.086 </w:t>
            </w:r>
          </w:p>
        </w:tc>
        <w:tc>
          <w:tcPr>
            <w:tcW w:w="284" w:type="dxa"/>
            <w:tcBorders>
              <w:top w:val="nil"/>
              <w:left w:val="nil"/>
              <w:bottom w:val="nil"/>
              <w:right w:val="nil"/>
            </w:tcBorders>
            <w:shd w:val="clear" w:color="auto" w:fill="auto"/>
            <w:vAlign w:val="center"/>
          </w:tcPr>
          <w:p w14:paraId="768A621F" w14:textId="77777777" w:rsidR="00C42353" w:rsidRPr="00FF41EB"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35E341F0" w14:textId="77777777" w:rsidR="00C42353" w:rsidRPr="00FF41EB"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523.812</w:t>
            </w:r>
          </w:p>
        </w:tc>
        <w:tc>
          <w:tcPr>
            <w:tcW w:w="1228" w:type="dxa"/>
            <w:tcBorders>
              <w:top w:val="nil"/>
              <w:left w:val="nil"/>
              <w:bottom w:val="nil"/>
              <w:right w:val="nil"/>
            </w:tcBorders>
            <w:shd w:val="clear" w:color="auto" w:fill="auto"/>
            <w:vAlign w:val="center"/>
          </w:tcPr>
          <w:p w14:paraId="6A6565A2" w14:textId="77777777" w:rsidR="00C42353" w:rsidRPr="00FF41EB"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8.549.722</w:t>
            </w:r>
          </w:p>
        </w:tc>
        <w:tc>
          <w:tcPr>
            <w:tcW w:w="1228" w:type="dxa"/>
            <w:tcBorders>
              <w:top w:val="nil"/>
              <w:left w:val="nil"/>
              <w:bottom w:val="nil"/>
              <w:right w:val="nil"/>
            </w:tcBorders>
            <w:shd w:val="clear" w:color="auto" w:fill="auto"/>
            <w:vAlign w:val="center"/>
          </w:tcPr>
          <w:p w14:paraId="4EF8E2B3" w14:textId="77777777" w:rsidR="00C42353" w:rsidRPr="00FF41EB" w:rsidRDefault="00C42353" w:rsidP="00CF4A7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239</w:t>
            </w:r>
          </w:p>
        </w:tc>
      </w:tr>
      <w:tr w:rsidR="00C42353" w:rsidRPr="00537AE7" w14:paraId="3A5C3BE7"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3A7FC307" w14:textId="77777777" w:rsidR="00C42353" w:rsidRPr="00094ABD" w:rsidRDefault="00C42353" w:rsidP="00CF4A7C">
            <w:pPr>
              <w:keepNext/>
              <w:keepLines/>
              <w:ind w:left="113"/>
              <w:rPr>
                <w:rFonts w:eastAsia="Times New Roman" w:cs="Arial"/>
                <w:b w:val="0"/>
                <w:spacing w:val="-2"/>
                <w:sz w:val="14"/>
                <w:szCs w:val="14"/>
              </w:rPr>
            </w:pPr>
            <w:r w:rsidRPr="00094ABD">
              <w:rPr>
                <w:rFonts w:cs="Arial"/>
                <w:b w:val="0"/>
                <w:sz w:val="14"/>
                <w:szCs w:val="14"/>
              </w:rPr>
              <w:t>Passivos financeiros</w:t>
            </w:r>
          </w:p>
        </w:tc>
        <w:tc>
          <w:tcPr>
            <w:tcW w:w="1134" w:type="dxa"/>
            <w:tcBorders>
              <w:top w:val="nil"/>
              <w:left w:val="nil"/>
              <w:bottom w:val="nil"/>
              <w:right w:val="nil"/>
            </w:tcBorders>
            <w:shd w:val="clear" w:color="auto" w:fill="auto"/>
            <w:vAlign w:val="center"/>
          </w:tcPr>
          <w:p w14:paraId="5269BA16"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FF41EB">
              <w:rPr>
                <w:rFonts w:cs="Arial"/>
                <w:sz w:val="14"/>
                <w:szCs w:val="14"/>
              </w:rPr>
              <w:t xml:space="preserve">  33.055 </w:t>
            </w:r>
          </w:p>
        </w:tc>
        <w:tc>
          <w:tcPr>
            <w:tcW w:w="1134" w:type="dxa"/>
            <w:tcBorders>
              <w:top w:val="nil"/>
              <w:left w:val="nil"/>
              <w:bottom w:val="nil"/>
              <w:right w:val="nil"/>
            </w:tcBorders>
            <w:shd w:val="clear" w:color="auto" w:fill="auto"/>
            <w:vAlign w:val="center"/>
          </w:tcPr>
          <w:p w14:paraId="3D14AFF7"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293.541 </w:t>
            </w:r>
          </w:p>
        </w:tc>
        <w:tc>
          <w:tcPr>
            <w:tcW w:w="1134" w:type="dxa"/>
            <w:tcBorders>
              <w:top w:val="nil"/>
              <w:left w:val="nil"/>
              <w:bottom w:val="nil"/>
              <w:right w:val="nil"/>
            </w:tcBorders>
            <w:shd w:val="clear" w:color="auto" w:fill="auto"/>
            <w:vAlign w:val="center"/>
          </w:tcPr>
          <w:p w14:paraId="5DAF65A1"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1.086 </w:t>
            </w:r>
          </w:p>
        </w:tc>
        <w:tc>
          <w:tcPr>
            <w:tcW w:w="284" w:type="dxa"/>
            <w:tcBorders>
              <w:top w:val="nil"/>
              <w:left w:val="nil"/>
              <w:bottom w:val="nil"/>
              <w:right w:val="nil"/>
            </w:tcBorders>
            <w:shd w:val="clear" w:color="auto" w:fill="auto"/>
            <w:vAlign w:val="center"/>
          </w:tcPr>
          <w:p w14:paraId="2CDAB598"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5D755578"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24.407</w:t>
            </w:r>
          </w:p>
        </w:tc>
        <w:tc>
          <w:tcPr>
            <w:tcW w:w="1228" w:type="dxa"/>
            <w:tcBorders>
              <w:top w:val="nil"/>
              <w:left w:val="nil"/>
              <w:bottom w:val="nil"/>
              <w:right w:val="nil"/>
            </w:tcBorders>
            <w:shd w:val="clear" w:color="auto" w:fill="auto"/>
            <w:vAlign w:val="center"/>
          </w:tcPr>
          <w:p w14:paraId="795CC0D8"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250.282</w:t>
            </w:r>
          </w:p>
        </w:tc>
        <w:tc>
          <w:tcPr>
            <w:tcW w:w="1228" w:type="dxa"/>
            <w:tcBorders>
              <w:top w:val="nil"/>
              <w:left w:val="nil"/>
              <w:bottom w:val="nil"/>
              <w:right w:val="nil"/>
            </w:tcBorders>
            <w:shd w:val="clear" w:color="auto" w:fill="auto"/>
            <w:vAlign w:val="center"/>
          </w:tcPr>
          <w:p w14:paraId="765F2004" w14:textId="77777777" w:rsidR="00C42353" w:rsidRPr="00475530" w:rsidRDefault="00C42353" w:rsidP="00CF4A7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239</w:t>
            </w:r>
          </w:p>
        </w:tc>
      </w:tr>
      <w:tr w:rsidR="00C42353" w:rsidRPr="00537AE7" w14:paraId="18FE64F9"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7F72EFE5" w14:textId="77777777" w:rsidR="00C42353" w:rsidRPr="00094ABD" w:rsidRDefault="00C42353" w:rsidP="00FF41EB">
            <w:pPr>
              <w:keepNext/>
              <w:keepLines/>
              <w:ind w:left="113"/>
              <w:rPr>
                <w:rFonts w:eastAsia="Times New Roman" w:cs="Arial"/>
                <w:b w:val="0"/>
                <w:spacing w:val="-2"/>
                <w:sz w:val="14"/>
                <w:szCs w:val="14"/>
              </w:rPr>
            </w:pPr>
            <w:r w:rsidRPr="00094ABD">
              <w:rPr>
                <w:rFonts w:cs="Arial"/>
                <w:b w:val="0"/>
                <w:sz w:val="14"/>
                <w:szCs w:val="14"/>
              </w:rPr>
              <w:t>Provisões técnicas</w:t>
            </w:r>
          </w:p>
        </w:tc>
        <w:tc>
          <w:tcPr>
            <w:tcW w:w="1134" w:type="dxa"/>
            <w:tcBorders>
              <w:top w:val="nil"/>
              <w:left w:val="nil"/>
              <w:bottom w:val="nil"/>
              <w:right w:val="nil"/>
            </w:tcBorders>
            <w:shd w:val="clear" w:color="auto" w:fill="auto"/>
            <w:vAlign w:val="center"/>
          </w:tcPr>
          <w:p w14:paraId="776A225E"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489.932 </w:t>
            </w:r>
          </w:p>
        </w:tc>
        <w:tc>
          <w:tcPr>
            <w:tcW w:w="1134" w:type="dxa"/>
            <w:tcBorders>
              <w:top w:val="nil"/>
              <w:left w:val="nil"/>
              <w:bottom w:val="nil"/>
              <w:right w:val="nil"/>
            </w:tcBorders>
            <w:shd w:val="clear" w:color="auto" w:fill="auto"/>
            <w:vAlign w:val="center"/>
          </w:tcPr>
          <w:p w14:paraId="3DB56BDB"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6.999.381 </w:t>
            </w:r>
          </w:p>
        </w:tc>
        <w:tc>
          <w:tcPr>
            <w:tcW w:w="1134" w:type="dxa"/>
            <w:tcBorders>
              <w:top w:val="nil"/>
              <w:left w:val="nil"/>
              <w:bottom w:val="nil"/>
              <w:right w:val="nil"/>
            </w:tcBorders>
            <w:shd w:val="clear" w:color="auto" w:fill="auto"/>
            <w:vAlign w:val="center"/>
          </w:tcPr>
          <w:p w14:paraId="73F78633"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79E443F7"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45105B3C"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402.270</w:t>
            </w:r>
          </w:p>
        </w:tc>
        <w:tc>
          <w:tcPr>
            <w:tcW w:w="1228" w:type="dxa"/>
            <w:tcBorders>
              <w:top w:val="nil"/>
              <w:left w:val="nil"/>
              <w:bottom w:val="nil"/>
              <w:right w:val="nil"/>
            </w:tcBorders>
            <w:shd w:val="clear" w:color="auto" w:fill="auto"/>
            <w:vAlign w:val="center"/>
          </w:tcPr>
          <w:p w14:paraId="1F88D40E"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5.464.185</w:t>
            </w:r>
          </w:p>
        </w:tc>
        <w:tc>
          <w:tcPr>
            <w:tcW w:w="1228" w:type="dxa"/>
            <w:tcBorders>
              <w:top w:val="nil"/>
              <w:left w:val="nil"/>
              <w:bottom w:val="nil"/>
              <w:right w:val="nil"/>
            </w:tcBorders>
            <w:shd w:val="clear" w:color="auto" w:fill="auto"/>
            <w:vAlign w:val="center"/>
          </w:tcPr>
          <w:p w14:paraId="5F3BECF5"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537AE7" w14:paraId="4BBCEEB1"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7274627F" w14:textId="77777777" w:rsidR="00C42353" w:rsidRPr="00FF41EB" w:rsidRDefault="00C42353" w:rsidP="00FF41EB">
            <w:pPr>
              <w:keepNext/>
              <w:keepLines/>
              <w:spacing w:before="40" w:after="40"/>
              <w:ind w:left="113"/>
              <w:rPr>
                <w:rFonts w:cs="Arial"/>
                <w:b w:val="0"/>
                <w:bCs w:val="0"/>
                <w:sz w:val="14"/>
                <w:szCs w:val="14"/>
              </w:rPr>
            </w:pPr>
            <w:r w:rsidRPr="00FF41EB">
              <w:rPr>
                <w:rFonts w:cs="Arial"/>
                <w:b w:val="0"/>
                <w:bCs w:val="0"/>
                <w:sz w:val="14"/>
                <w:szCs w:val="14"/>
              </w:rPr>
              <w:t>Dividendos a pagar</w:t>
            </w:r>
          </w:p>
        </w:tc>
        <w:tc>
          <w:tcPr>
            <w:tcW w:w="1134" w:type="dxa"/>
            <w:tcBorders>
              <w:top w:val="nil"/>
              <w:left w:val="nil"/>
              <w:bottom w:val="nil"/>
              <w:right w:val="nil"/>
            </w:tcBorders>
            <w:shd w:val="clear" w:color="auto" w:fill="auto"/>
            <w:vAlign w:val="center"/>
          </w:tcPr>
          <w:p w14:paraId="75F38B42"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FF41EB">
              <w:rPr>
                <w:rFonts w:cs="Arial"/>
                <w:sz w:val="14"/>
                <w:szCs w:val="14"/>
              </w:rPr>
              <w:t xml:space="preserve">  17.383 </w:t>
            </w:r>
          </w:p>
        </w:tc>
        <w:tc>
          <w:tcPr>
            <w:tcW w:w="1134" w:type="dxa"/>
            <w:tcBorders>
              <w:top w:val="nil"/>
              <w:left w:val="nil"/>
              <w:bottom w:val="nil"/>
              <w:right w:val="nil"/>
            </w:tcBorders>
            <w:shd w:val="clear" w:color="auto" w:fill="auto"/>
            <w:vAlign w:val="center"/>
          </w:tcPr>
          <w:p w14:paraId="1B325D30"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167.544 </w:t>
            </w:r>
          </w:p>
        </w:tc>
        <w:tc>
          <w:tcPr>
            <w:tcW w:w="1134" w:type="dxa"/>
            <w:tcBorders>
              <w:top w:val="nil"/>
              <w:left w:val="nil"/>
              <w:bottom w:val="nil"/>
              <w:right w:val="nil"/>
            </w:tcBorders>
            <w:shd w:val="clear" w:color="auto" w:fill="auto"/>
            <w:vAlign w:val="center"/>
          </w:tcPr>
          <w:p w14:paraId="762DB7CD"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52F12A9C"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08FC7552"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228" w:type="dxa"/>
            <w:tcBorders>
              <w:top w:val="nil"/>
              <w:left w:val="nil"/>
              <w:bottom w:val="nil"/>
              <w:right w:val="nil"/>
            </w:tcBorders>
            <w:shd w:val="clear" w:color="auto" w:fill="auto"/>
            <w:vAlign w:val="center"/>
          </w:tcPr>
          <w:p w14:paraId="582D8BAD"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228" w:type="dxa"/>
            <w:tcBorders>
              <w:top w:val="nil"/>
              <w:left w:val="nil"/>
              <w:bottom w:val="nil"/>
              <w:right w:val="nil"/>
            </w:tcBorders>
            <w:shd w:val="clear" w:color="auto" w:fill="auto"/>
            <w:vAlign w:val="center"/>
          </w:tcPr>
          <w:p w14:paraId="66545139"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r>
      <w:tr w:rsidR="00C42353" w:rsidRPr="00537AE7" w14:paraId="18C05AD8"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2A1DE73A" w14:textId="77777777" w:rsidR="00C42353" w:rsidRPr="00094ABD" w:rsidRDefault="00C42353" w:rsidP="00FF41EB">
            <w:pPr>
              <w:keepNext/>
              <w:keepLines/>
              <w:spacing w:before="40" w:after="40"/>
              <w:ind w:left="113"/>
              <w:rPr>
                <w:rFonts w:eastAsia="Times New Roman" w:cs="Arial"/>
                <w:b w:val="0"/>
                <w:spacing w:val="-2"/>
                <w:sz w:val="14"/>
                <w:szCs w:val="14"/>
              </w:rPr>
            </w:pPr>
            <w:r w:rsidRPr="00094ABD">
              <w:rPr>
                <w:rFonts w:cs="Arial"/>
                <w:b w:val="0"/>
                <w:sz w:val="14"/>
                <w:szCs w:val="14"/>
              </w:rPr>
              <w:t>Outros passivos circulantes</w:t>
            </w:r>
          </w:p>
        </w:tc>
        <w:tc>
          <w:tcPr>
            <w:tcW w:w="1134" w:type="dxa"/>
            <w:tcBorders>
              <w:top w:val="nil"/>
              <w:left w:val="nil"/>
              <w:bottom w:val="nil"/>
              <w:right w:val="nil"/>
            </w:tcBorders>
            <w:shd w:val="clear" w:color="auto" w:fill="auto"/>
            <w:vAlign w:val="center"/>
          </w:tcPr>
          <w:p w14:paraId="583C5743"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139.716 </w:t>
            </w:r>
          </w:p>
        </w:tc>
        <w:tc>
          <w:tcPr>
            <w:tcW w:w="1134" w:type="dxa"/>
            <w:tcBorders>
              <w:top w:val="nil"/>
              <w:left w:val="nil"/>
              <w:bottom w:val="nil"/>
              <w:right w:val="nil"/>
            </w:tcBorders>
            <w:shd w:val="clear" w:color="auto" w:fill="auto"/>
            <w:vAlign w:val="center"/>
          </w:tcPr>
          <w:p w14:paraId="1DEC9237"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2.542.713 </w:t>
            </w:r>
          </w:p>
        </w:tc>
        <w:tc>
          <w:tcPr>
            <w:tcW w:w="1134" w:type="dxa"/>
            <w:tcBorders>
              <w:top w:val="nil"/>
              <w:left w:val="nil"/>
              <w:bottom w:val="nil"/>
              <w:right w:val="nil"/>
            </w:tcBorders>
            <w:shd w:val="clear" w:color="auto" w:fill="auto"/>
            <w:vAlign w:val="center"/>
          </w:tcPr>
          <w:p w14:paraId="17B1F889"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21986E39"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6FC93B00"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97.135</w:t>
            </w:r>
          </w:p>
        </w:tc>
        <w:tc>
          <w:tcPr>
            <w:tcW w:w="1228" w:type="dxa"/>
            <w:tcBorders>
              <w:top w:val="nil"/>
              <w:left w:val="nil"/>
              <w:bottom w:val="nil"/>
              <w:right w:val="nil"/>
            </w:tcBorders>
            <w:shd w:val="clear" w:color="auto" w:fill="auto"/>
            <w:vAlign w:val="center"/>
          </w:tcPr>
          <w:p w14:paraId="15E954FB"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2.835.255</w:t>
            </w:r>
          </w:p>
        </w:tc>
        <w:tc>
          <w:tcPr>
            <w:tcW w:w="1228" w:type="dxa"/>
            <w:tcBorders>
              <w:top w:val="nil"/>
              <w:left w:val="nil"/>
              <w:bottom w:val="nil"/>
              <w:right w:val="nil"/>
            </w:tcBorders>
            <w:shd w:val="clear" w:color="auto" w:fill="auto"/>
            <w:vAlign w:val="center"/>
          </w:tcPr>
          <w:p w14:paraId="336DDCE7"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FF41EB" w14:paraId="7D81019B"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2669CA8A" w14:textId="77777777" w:rsidR="00C42353" w:rsidRPr="00FF41EB" w:rsidRDefault="00C42353" w:rsidP="00FF41EB">
            <w:pPr>
              <w:keepNext/>
              <w:keepLines/>
              <w:spacing w:before="40" w:after="40"/>
              <w:rPr>
                <w:rFonts w:eastAsia="Times New Roman" w:cs="Arial"/>
                <w:spacing w:val="-2"/>
                <w:sz w:val="14"/>
                <w:szCs w:val="14"/>
              </w:rPr>
            </w:pPr>
            <w:r w:rsidRPr="00FF41EB">
              <w:rPr>
                <w:rFonts w:cs="Arial"/>
                <w:sz w:val="14"/>
                <w:szCs w:val="14"/>
              </w:rPr>
              <w:t>Passivo não circulante</w:t>
            </w:r>
          </w:p>
        </w:tc>
        <w:tc>
          <w:tcPr>
            <w:tcW w:w="1134" w:type="dxa"/>
            <w:tcBorders>
              <w:top w:val="nil"/>
              <w:left w:val="nil"/>
              <w:bottom w:val="nil"/>
              <w:right w:val="nil"/>
            </w:tcBorders>
            <w:shd w:val="clear" w:color="auto" w:fill="auto"/>
            <w:vAlign w:val="center"/>
          </w:tcPr>
          <w:p w14:paraId="438BE135"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182.644 </w:t>
            </w:r>
          </w:p>
        </w:tc>
        <w:tc>
          <w:tcPr>
            <w:tcW w:w="1134" w:type="dxa"/>
            <w:tcBorders>
              <w:top w:val="nil"/>
              <w:left w:val="nil"/>
              <w:bottom w:val="nil"/>
              <w:right w:val="nil"/>
            </w:tcBorders>
            <w:shd w:val="clear" w:color="auto" w:fill="auto"/>
            <w:vAlign w:val="center"/>
          </w:tcPr>
          <w:p w14:paraId="684B7642"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6.474.298 </w:t>
            </w:r>
          </w:p>
        </w:tc>
        <w:tc>
          <w:tcPr>
            <w:tcW w:w="1134" w:type="dxa"/>
            <w:tcBorders>
              <w:top w:val="nil"/>
              <w:left w:val="nil"/>
              <w:bottom w:val="nil"/>
              <w:right w:val="nil"/>
            </w:tcBorders>
            <w:shd w:val="clear" w:color="auto" w:fill="auto"/>
            <w:vAlign w:val="center"/>
          </w:tcPr>
          <w:p w14:paraId="3204B12C"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 </w:t>
            </w:r>
          </w:p>
        </w:tc>
        <w:tc>
          <w:tcPr>
            <w:tcW w:w="284" w:type="dxa"/>
            <w:tcBorders>
              <w:top w:val="nil"/>
              <w:left w:val="nil"/>
              <w:bottom w:val="nil"/>
              <w:right w:val="nil"/>
            </w:tcBorders>
            <w:shd w:val="clear" w:color="auto" w:fill="auto"/>
            <w:vAlign w:val="center"/>
          </w:tcPr>
          <w:p w14:paraId="790DADBD"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1CCF13D0"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149.379</w:t>
            </w:r>
          </w:p>
        </w:tc>
        <w:tc>
          <w:tcPr>
            <w:tcW w:w="1228" w:type="dxa"/>
            <w:tcBorders>
              <w:top w:val="nil"/>
              <w:left w:val="nil"/>
              <w:bottom w:val="nil"/>
              <w:right w:val="nil"/>
            </w:tcBorders>
            <w:shd w:val="clear" w:color="auto" w:fill="auto"/>
            <w:vAlign w:val="center"/>
          </w:tcPr>
          <w:p w14:paraId="4F37D89F"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5.642.957</w:t>
            </w:r>
          </w:p>
        </w:tc>
        <w:tc>
          <w:tcPr>
            <w:tcW w:w="1228" w:type="dxa"/>
            <w:tcBorders>
              <w:top w:val="nil"/>
              <w:left w:val="nil"/>
              <w:bottom w:val="nil"/>
              <w:right w:val="nil"/>
            </w:tcBorders>
            <w:shd w:val="clear" w:color="auto" w:fill="auto"/>
            <w:vAlign w:val="center"/>
          </w:tcPr>
          <w:p w14:paraId="2C7E1F3C"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w:t>
            </w:r>
          </w:p>
        </w:tc>
      </w:tr>
      <w:tr w:rsidR="00C42353" w:rsidRPr="00537AE7" w14:paraId="46190EB8"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9279C15" w14:textId="77777777" w:rsidR="00C42353" w:rsidRPr="00094ABD" w:rsidRDefault="00C42353" w:rsidP="00FF41EB">
            <w:pPr>
              <w:keepNext/>
              <w:keepLines/>
              <w:spacing w:before="40" w:after="40"/>
              <w:ind w:left="113"/>
              <w:rPr>
                <w:rFonts w:eastAsia="Times New Roman" w:cs="Arial"/>
                <w:b w:val="0"/>
                <w:spacing w:val="-2"/>
                <w:sz w:val="14"/>
                <w:szCs w:val="14"/>
              </w:rPr>
            </w:pPr>
            <w:r w:rsidRPr="00094ABD">
              <w:rPr>
                <w:rFonts w:cs="Arial"/>
                <w:b w:val="0"/>
                <w:sz w:val="14"/>
                <w:szCs w:val="14"/>
              </w:rPr>
              <w:t>Passivos financeiros</w:t>
            </w:r>
          </w:p>
        </w:tc>
        <w:tc>
          <w:tcPr>
            <w:tcW w:w="1134" w:type="dxa"/>
            <w:tcBorders>
              <w:top w:val="nil"/>
              <w:left w:val="nil"/>
              <w:bottom w:val="nil"/>
              <w:right w:val="nil"/>
            </w:tcBorders>
            <w:shd w:val="clear" w:color="auto" w:fill="auto"/>
            <w:vAlign w:val="center"/>
          </w:tcPr>
          <w:p w14:paraId="5F9BA65F"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55 </w:t>
            </w:r>
          </w:p>
        </w:tc>
        <w:tc>
          <w:tcPr>
            <w:tcW w:w="1134" w:type="dxa"/>
            <w:tcBorders>
              <w:top w:val="nil"/>
              <w:left w:val="nil"/>
              <w:bottom w:val="nil"/>
              <w:right w:val="nil"/>
            </w:tcBorders>
            <w:shd w:val="clear" w:color="auto" w:fill="auto"/>
            <w:vAlign w:val="center"/>
          </w:tcPr>
          <w:p w14:paraId="714A750F"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1134" w:type="dxa"/>
            <w:tcBorders>
              <w:top w:val="nil"/>
              <w:left w:val="nil"/>
              <w:bottom w:val="nil"/>
              <w:right w:val="nil"/>
            </w:tcBorders>
            <w:shd w:val="clear" w:color="auto" w:fill="auto"/>
            <w:vAlign w:val="center"/>
          </w:tcPr>
          <w:p w14:paraId="5079A587"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65D0073B"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8B23E71"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c>
          <w:tcPr>
            <w:tcW w:w="1228" w:type="dxa"/>
            <w:tcBorders>
              <w:top w:val="nil"/>
              <w:left w:val="nil"/>
              <w:bottom w:val="nil"/>
              <w:right w:val="nil"/>
            </w:tcBorders>
            <w:shd w:val="clear" w:color="auto" w:fill="auto"/>
            <w:vAlign w:val="center"/>
          </w:tcPr>
          <w:p w14:paraId="69127759"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522</w:t>
            </w:r>
          </w:p>
        </w:tc>
        <w:tc>
          <w:tcPr>
            <w:tcW w:w="1228" w:type="dxa"/>
            <w:tcBorders>
              <w:top w:val="nil"/>
              <w:left w:val="nil"/>
              <w:bottom w:val="nil"/>
              <w:right w:val="nil"/>
            </w:tcBorders>
            <w:shd w:val="clear" w:color="auto" w:fill="auto"/>
            <w:vAlign w:val="center"/>
          </w:tcPr>
          <w:p w14:paraId="04798CBE"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537AE7" w14:paraId="6B8D099D"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4A567D70" w14:textId="77777777" w:rsidR="00C42353" w:rsidRPr="00094ABD" w:rsidRDefault="00C42353" w:rsidP="00FF41EB">
            <w:pPr>
              <w:keepNext/>
              <w:keepLines/>
              <w:spacing w:before="40" w:after="40"/>
              <w:ind w:left="113"/>
              <w:rPr>
                <w:rFonts w:eastAsia="Times New Roman" w:cs="Arial"/>
                <w:b w:val="0"/>
                <w:spacing w:val="-2"/>
                <w:sz w:val="14"/>
                <w:szCs w:val="14"/>
              </w:rPr>
            </w:pPr>
            <w:r w:rsidRPr="00094ABD">
              <w:rPr>
                <w:rFonts w:cs="Arial"/>
                <w:b w:val="0"/>
                <w:sz w:val="14"/>
                <w:szCs w:val="14"/>
              </w:rPr>
              <w:t>Provisões técnicas</w:t>
            </w:r>
          </w:p>
        </w:tc>
        <w:tc>
          <w:tcPr>
            <w:tcW w:w="1134" w:type="dxa"/>
            <w:tcBorders>
              <w:top w:val="nil"/>
              <w:left w:val="nil"/>
              <w:bottom w:val="nil"/>
              <w:right w:val="nil"/>
            </w:tcBorders>
            <w:shd w:val="clear" w:color="auto" w:fill="auto"/>
            <w:vAlign w:val="center"/>
          </w:tcPr>
          <w:p w14:paraId="73170E4C"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FF41EB">
              <w:rPr>
                <w:rFonts w:cs="Arial"/>
                <w:sz w:val="14"/>
                <w:szCs w:val="14"/>
              </w:rPr>
              <w:t xml:space="preserve">  143.747 </w:t>
            </w:r>
          </w:p>
        </w:tc>
        <w:tc>
          <w:tcPr>
            <w:tcW w:w="1134" w:type="dxa"/>
            <w:tcBorders>
              <w:top w:val="nil"/>
              <w:left w:val="nil"/>
              <w:bottom w:val="nil"/>
              <w:right w:val="nil"/>
            </w:tcBorders>
            <w:shd w:val="clear" w:color="auto" w:fill="auto"/>
            <w:vAlign w:val="center"/>
          </w:tcPr>
          <w:p w14:paraId="568C66EE"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5.519.572 </w:t>
            </w:r>
          </w:p>
        </w:tc>
        <w:tc>
          <w:tcPr>
            <w:tcW w:w="1134" w:type="dxa"/>
            <w:tcBorders>
              <w:top w:val="nil"/>
              <w:left w:val="nil"/>
              <w:bottom w:val="nil"/>
              <w:right w:val="nil"/>
            </w:tcBorders>
            <w:shd w:val="clear" w:color="auto" w:fill="auto"/>
            <w:vAlign w:val="center"/>
          </w:tcPr>
          <w:p w14:paraId="635592E6"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64F1649C"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BAD9375"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133.739</w:t>
            </w:r>
          </w:p>
        </w:tc>
        <w:tc>
          <w:tcPr>
            <w:tcW w:w="1228" w:type="dxa"/>
            <w:tcBorders>
              <w:top w:val="nil"/>
              <w:left w:val="nil"/>
              <w:bottom w:val="nil"/>
              <w:right w:val="nil"/>
            </w:tcBorders>
            <w:shd w:val="clear" w:color="auto" w:fill="auto"/>
            <w:vAlign w:val="center"/>
          </w:tcPr>
          <w:p w14:paraId="6CFEC0B9"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4.983.788</w:t>
            </w:r>
          </w:p>
        </w:tc>
        <w:tc>
          <w:tcPr>
            <w:tcW w:w="1228" w:type="dxa"/>
            <w:tcBorders>
              <w:top w:val="nil"/>
              <w:left w:val="nil"/>
              <w:bottom w:val="nil"/>
              <w:right w:val="nil"/>
            </w:tcBorders>
            <w:shd w:val="clear" w:color="auto" w:fill="auto"/>
            <w:vAlign w:val="center"/>
          </w:tcPr>
          <w:p w14:paraId="04347584" w14:textId="77777777" w:rsidR="00C42353" w:rsidRPr="00475530"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w:t>
            </w:r>
          </w:p>
        </w:tc>
      </w:tr>
      <w:tr w:rsidR="00C42353" w:rsidRPr="00537AE7" w14:paraId="4E4CD3E8"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1CB6C2E0" w14:textId="77777777" w:rsidR="00C42353" w:rsidRPr="00094ABD" w:rsidRDefault="00C42353" w:rsidP="00FF41EB">
            <w:pPr>
              <w:keepNext/>
              <w:keepLines/>
              <w:spacing w:before="40" w:after="40"/>
              <w:ind w:left="113"/>
              <w:rPr>
                <w:rFonts w:eastAsia="Times New Roman" w:cs="Arial"/>
                <w:b w:val="0"/>
                <w:spacing w:val="-2"/>
                <w:sz w:val="14"/>
                <w:szCs w:val="14"/>
              </w:rPr>
            </w:pPr>
            <w:r w:rsidRPr="00094ABD">
              <w:rPr>
                <w:rFonts w:cs="Arial"/>
                <w:b w:val="0"/>
                <w:sz w:val="14"/>
                <w:szCs w:val="14"/>
              </w:rPr>
              <w:t>Outros passivos não circulantes</w:t>
            </w:r>
          </w:p>
        </w:tc>
        <w:tc>
          <w:tcPr>
            <w:tcW w:w="1134" w:type="dxa"/>
            <w:tcBorders>
              <w:top w:val="nil"/>
              <w:left w:val="nil"/>
              <w:bottom w:val="nil"/>
              <w:right w:val="nil"/>
            </w:tcBorders>
            <w:shd w:val="clear" w:color="auto" w:fill="auto"/>
            <w:vAlign w:val="center"/>
          </w:tcPr>
          <w:p w14:paraId="2A5EC226"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FF41EB">
              <w:rPr>
                <w:rFonts w:cs="Arial"/>
                <w:sz w:val="14"/>
                <w:szCs w:val="14"/>
              </w:rPr>
              <w:t xml:space="preserve">  38.842 </w:t>
            </w:r>
          </w:p>
        </w:tc>
        <w:tc>
          <w:tcPr>
            <w:tcW w:w="1134" w:type="dxa"/>
            <w:tcBorders>
              <w:top w:val="nil"/>
              <w:left w:val="nil"/>
              <w:bottom w:val="nil"/>
              <w:right w:val="nil"/>
            </w:tcBorders>
            <w:shd w:val="clear" w:color="auto" w:fill="auto"/>
            <w:vAlign w:val="center"/>
          </w:tcPr>
          <w:p w14:paraId="104AFD2E"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954.726 </w:t>
            </w:r>
          </w:p>
        </w:tc>
        <w:tc>
          <w:tcPr>
            <w:tcW w:w="1134" w:type="dxa"/>
            <w:tcBorders>
              <w:top w:val="nil"/>
              <w:left w:val="nil"/>
              <w:bottom w:val="nil"/>
              <w:right w:val="nil"/>
            </w:tcBorders>
            <w:shd w:val="clear" w:color="auto" w:fill="auto"/>
            <w:vAlign w:val="center"/>
          </w:tcPr>
          <w:p w14:paraId="27DF8B3B"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 xml:space="preserve">  -- </w:t>
            </w:r>
          </w:p>
        </w:tc>
        <w:tc>
          <w:tcPr>
            <w:tcW w:w="284" w:type="dxa"/>
            <w:tcBorders>
              <w:top w:val="nil"/>
              <w:left w:val="nil"/>
              <w:bottom w:val="nil"/>
              <w:right w:val="nil"/>
            </w:tcBorders>
            <w:shd w:val="clear" w:color="auto" w:fill="auto"/>
            <w:vAlign w:val="center"/>
          </w:tcPr>
          <w:p w14:paraId="45ED0EC8"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325CD8E9"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15.640</w:t>
            </w:r>
          </w:p>
        </w:tc>
        <w:tc>
          <w:tcPr>
            <w:tcW w:w="1228" w:type="dxa"/>
            <w:tcBorders>
              <w:top w:val="nil"/>
              <w:left w:val="nil"/>
              <w:bottom w:val="nil"/>
              <w:right w:val="nil"/>
            </w:tcBorders>
            <w:shd w:val="clear" w:color="auto" w:fill="auto"/>
            <w:vAlign w:val="center"/>
          </w:tcPr>
          <w:p w14:paraId="2EFA3CB6"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658.647</w:t>
            </w:r>
          </w:p>
        </w:tc>
        <w:tc>
          <w:tcPr>
            <w:tcW w:w="1228" w:type="dxa"/>
            <w:tcBorders>
              <w:top w:val="nil"/>
              <w:left w:val="nil"/>
              <w:bottom w:val="nil"/>
              <w:right w:val="nil"/>
            </w:tcBorders>
            <w:shd w:val="clear" w:color="auto" w:fill="auto"/>
            <w:vAlign w:val="center"/>
          </w:tcPr>
          <w:p w14:paraId="50F7D254" w14:textId="77777777" w:rsidR="00C42353" w:rsidRPr="00475530"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75530">
              <w:rPr>
                <w:rFonts w:cs="Arial"/>
                <w:sz w:val="14"/>
                <w:szCs w:val="14"/>
              </w:rPr>
              <w:t>--</w:t>
            </w:r>
          </w:p>
        </w:tc>
      </w:tr>
      <w:tr w:rsidR="00C42353" w:rsidRPr="00FF41EB" w14:paraId="3B581968"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746A3AA1" w14:textId="77777777" w:rsidR="00C42353" w:rsidRPr="00FF41EB" w:rsidRDefault="00C42353" w:rsidP="00FF41EB">
            <w:pPr>
              <w:keepNext/>
              <w:keepLines/>
              <w:spacing w:before="40" w:after="40"/>
              <w:rPr>
                <w:rFonts w:eastAsia="Times New Roman" w:cs="Arial"/>
                <w:spacing w:val="-2"/>
                <w:sz w:val="14"/>
                <w:szCs w:val="14"/>
              </w:rPr>
            </w:pPr>
            <w:r w:rsidRPr="00FF41EB">
              <w:rPr>
                <w:rFonts w:cs="Arial"/>
                <w:sz w:val="14"/>
                <w:szCs w:val="14"/>
              </w:rPr>
              <w:t>Patrimônio líquido</w:t>
            </w:r>
          </w:p>
        </w:tc>
        <w:tc>
          <w:tcPr>
            <w:tcW w:w="1134" w:type="dxa"/>
            <w:tcBorders>
              <w:top w:val="nil"/>
              <w:left w:val="nil"/>
              <w:bottom w:val="nil"/>
              <w:right w:val="nil"/>
            </w:tcBorders>
            <w:shd w:val="clear" w:color="auto" w:fill="auto"/>
            <w:vAlign w:val="center"/>
          </w:tcPr>
          <w:p w14:paraId="2A581A0A"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208.192 </w:t>
            </w:r>
          </w:p>
        </w:tc>
        <w:tc>
          <w:tcPr>
            <w:tcW w:w="1134" w:type="dxa"/>
            <w:tcBorders>
              <w:top w:val="nil"/>
              <w:left w:val="nil"/>
              <w:bottom w:val="nil"/>
              <w:right w:val="nil"/>
            </w:tcBorders>
            <w:shd w:val="clear" w:color="auto" w:fill="auto"/>
            <w:vAlign w:val="center"/>
          </w:tcPr>
          <w:p w14:paraId="10EBCCAD"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1.673.396 </w:t>
            </w:r>
          </w:p>
        </w:tc>
        <w:tc>
          <w:tcPr>
            <w:tcW w:w="1134" w:type="dxa"/>
            <w:tcBorders>
              <w:top w:val="nil"/>
              <w:left w:val="nil"/>
              <w:bottom w:val="nil"/>
              <w:right w:val="nil"/>
            </w:tcBorders>
            <w:shd w:val="clear" w:color="auto" w:fill="auto"/>
            <w:vAlign w:val="center"/>
          </w:tcPr>
          <w:p w14:paraId="4117B08F"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 xml:space="preserve">  2.436.424 </w:t>
            </w:r>
          </w:p>
        </w:tc>
        <w:tc>
          <w:tcPr>
            <w:tcW w:w="284" w:type="dxa"/>
            <w:tcBorders>
              <w:top w:val="nil"/>
              <w:left w:val="nil"/>
              <w:bottom w:val="nil"/>
              <w:right w:val="nil"/>
            </w:tcBorders>
            <w:shd w:val="clear" w:color="auto" w:fill="auto"/>
            <w:vAlign w:val="center"/>
          </w:tcPr>
          <w:p w14:paraId="44DD4221"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773EC034"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178.543</w:t>
            </w:r>
          </w:p>
        </w:tc>
        <w:tc>
          <w:tcPr>
            <w:tcW w:w="1228" w:type="dxa"/>
            <w:tcBorders>
              <w:top w:val="nil"/>
              <w:left w:val="nil"/>
              <w:bottom w:val="nil"/>
              <w:right w:val="nil"/>
            </w:tcBorders>
            <w:shd w:val="clear" w:color="auto" w:fill="auto"/>
            <w:vAlign w:val="center"/>
          </w:tcPr>
          <w:p w14:paraId="3D609163"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1.728.093</w:t>
            </w:r>
          </w:p>
        </w:tc>
        <w:tc>
          <w:tcPr>
            <w:tcW w:w="1228" w:type="dxa"/>
            <w:tcBorders>
              <w:top w:val="nil"/>
              <w:left w:val="nil"/>
              <w:bottom w:val="nil"/>
              <w:right w:val="nil"/>
            </w:tcBorders>
            <w:shd w:val="clear" w:color="auto" w:fill="auto"/>
            <w:vAlign w:val="center"/>
          </w:tcPr>
          <w:p w14:paraId="3CB65E9A"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FF41EB">
              <w:rPr>
                <w:rFonts w:cs="Arial"/>
                <w:b/>
                <w:bCs/>
                <w:sz w:val="14"/>
                <w:szCs w:val="14"/>
              </w:rPr>
              <w:t>2.294.376</w:t>
            </w:r>
          </w:p>
        </w:tc>
      </w:tr>
      <w:tr w:rsidR="00C42353" w:rsidRPr="00FF41EB" w14:paraId="2849A764"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3DD36DFE" w14:textId="77777777" w:rsidR="00C42353" w:rsidRPr="00FF41EB" w:rsidRDefault="00C42353" w:rsidP="00FF41EB">
            <w:pPr>
              <w:keepNext/>
              <w:keepLines/>
              <w:spacing w:before="40" w:after="40"/>
              <w:rPr>
                <w:rFonts w:eastAsia="Times New Roman" w:cs="Arial"/>
                <w:spacing w:val="-2"/>
                <w:sz w:val="14"/>
                <w:szCs w:val="14"/>
              </w:rPr>
            </w:pPr>
            <w:r w:rsidRPr="00FF41EB">
              <w:rPr>
                <w:rFonts w:cs="Arial"/>
                <w:sz w:val="14"/>
                <w:szCs w:val="14"/>
              </w:rPr>
              <w:t>Atribuível à BB Seguridade</w:t>
            </w:r>
          </w:p>
        </w:tc>
        <w:tc>
          <w:tcPr>
            <w:tcW w:w="1134" w:type="dxa"/>
            <w:tcBorders>
              <w:top w:val="nil"/>
              <w:left w:val="nil"/>
              <w:bottom w:val="nil"/>
              <w:right w:val="nil"/>
            </w:tcBorders>
            <w:shd w:val="clear" w:color="auto" w:fill="auto"/>
            <w:vAlign w:val="center"/>
          </w:tcPr>
          <w:p w14:paraId="732F807D"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156.123 </w:t>
            </w:r>
          </w:p>
        </w:tc>
        <w:tc>
          <w:tcPr>
            <w:tcW w:w="1134" w:type="dxa"/>
            <w:tcBorders>
              <w:top w:val="nil"/>
              <w:left w:val="nil"/>
              <w:bottom w:val="nil"/>
              <w:right w:val="nil"/>
            </w:tcBorders>
            <w:shd w:val="clear" w:color="auto" w:fill="auto"/>
            <w:vAlign w:val="center"/>
          </w:tcPr>
          <w:p w14:paraId="006125BD"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1.254.880 </w:t>
            </w:r>
          </w:p>
        </w:tc>
        <w:tc>
          <w:tcPr>
            <w:tcW w:w="1134" w:type="dxa"/>
            <w:tcBorders>
              <w:top w:val="nil"/>
              <w:left w:val="nil"/>
              <w:bottom w:val="nil"/>
              <w:right w:val="nil"/>
            </w:tcBorders>
            <w:shd w:val="clear" w:color="auto" w:fill="auto"/>
            <w:vAlign w:val="center"/>
          </w:tcPr>
          <w:p w14:paraId="29F16D8C"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1.827.074 </w:t>
            </w:r>
          </w:p>
        </w:tc>
        <w:tc>
          <w:tcPr>
            <w:tcW w:w="284" w:type="dxa"/>
            <w:tcBorders>
              <w:top w:val="nil"/>
              <w:left w:val="nil"/>
              <w:bottom w:val="nil"/>
              <w:right w:val="nil"/>
            </w:tcBorders>
            <w:shd w:val="clear" w:color="auto" w:fill="auto"/>
            <w:vAlign w:val="center"/>
          </w:tcPr>
          <w:p w14:paraId="2E045BF1"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78480ABC"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133.889</w:t>
            </w:r>
          </w:p>
        </w:tc>
        <w:tc>
          <w:tcPr>
            <w:tcW w:w="1228" w:type="dxa"/>
            <w:tcBorders>
              <w:top w:val="nil"/>
              <w:left w:val="nil"/>
              <w:bottom w:val="nil"/>
              <w:right w:val="nil"/>
            </w:tcBorders>
            <w:shd w:val="clear" w:color="auto" w:fill="auto"/>
            <w:vAlign w:val="center"/>
          </w:tcPr>
          <w:p w14:paraId="7ED0B47F"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1.295.897</w:t>
            </w:r>
          </w:p>
        </w:tc>
        <w:tc>
          <w:tcPr>
            <w:tcW w:w="1228" w:type="dxa"/>
            <w:tcBorders>
              <w:top w:val="nil"/>
              <w:left w:val="nil"/>
              <w:bottom w:val="nil"/>
              <w:right w:val="nil"/>
            </w:tcBorders>
            <w:shd w:val="clear" w:color="auto" w:fill="auto"/>
            <w:vAlign w:val="center"/>
          </w:tcPr>
          <w:p w14:paraId="27A9630D"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1.720.553</w:t>
            </w:r>
          </w:p>
        </w:tc>
      </w:tr>
      <w:tr w:rsidR="00C42353" w:rsidRPr="00537AE7" w14:paraId="0CE26921" w14:textId="77777777" w:rsidTr="00FF41E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2CA76D9D" w14:textId="77777777" w:rsidR="00C42353" w:rsidRPr="00094ABD" w:rsidRDefault="00C42353" w:rsidP="00C23208">
            <w:pPr>
              <w:keepNext/>
              <w:keepLines/>
              <w:spacing w:before="40" w:after="40"/>
              <w:ind w:left="113"/>
              <w:rPr>
                <w:rFonts w:eastAsia="Times New Roman" w:cs="Arial"/>
                <w:b w:val="0"/>
                <w:spacing w:val="-2"/>
                <w:sz w:val="14"/>
                <w:szCs w:val="14"/>
              </w:rPr>
            </w:pPr>
            <w:r>
              <w:rPr>
                <w:rFonts w:cs="Arial"/>
                <w:b w:val="0"/>
                <w:sz w:val="14"/>
                <w:szCs w:val="14"/>
              </w:rPr>
              <w:t>I</w:t>
            </w:r>
            <w:r w:rsidRPr="008C0E39">
              <w:rPr>
                <w:rFonts w:cs="Arial"/>
                <w:b w:val="0"/>
                <w:sz w:val="14"/>
                <w:szCs w:val="14"/>
              </w:rPr>
              <w:t xml:space="preserve">ntangível </w:t>
            </w:r>
            <w:r w:rsidRPr="008C0E39">
              <w:rPr>
                <w:rFonts w:cs="Arial"/>
                <w:b w:val="0"/>
                <w:sz w:val="14"/>
                <w:szCs w:val="14"/>
                <w:vertAlign w:val="superscript"/>
              </w:rPr>
              <w:t>(1)</w:t>
            </w:r>
          </w:p>
        </w:tc>
        <w:tc>
          <w:tcPr>
            <w:tcW w:w="1134" w:type="dxa"/>
            <w:tcBorders>
              <w:top w:val="nil"/>
              <w:left w:val="nil"/>
              <w:bottom w:val="nil"/>
              <w:right w:val="nil"/>
            </w:tcBorders>
            <w:shd w:val="clear" w:color="auto" w:fill="auto"/>
            <w:vAlign w:val="center"/>
          </w:tcPr>
          <w:p w14:paraId="2E24E20C"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Pr>
                <w:rFonts w:eastAsia="Times New Roman" w:cs="Arial"/>
                <w:spacing w:val="-2"/>
                <w:sz w:val="14"/>
                <w:szCs w:val="14"/>
              </w:rPr>
              <w:t>--</w:t>
            </w:r>
          </w:p>
        </w:tc>
        <w:tc>
          <w:tcPr>
            <w:tcW w:w="1134" w:type="dxa"/>
            <w:tcBorders>
              <w:top w:val="nil"/>
              <w:left w:val="nil"/>
              <w:bottom w:val="nil"/>
              <w:right w:val="nil"/>
            </w:tcBorders>
            <w:shd w:val="clear" w:color="auto" w:fill="auto"/>
            <w:vAlign w:val="center"/>
          </w:tcPr>
          <w:p w14:paraId="5800C12C"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134" w:type="dxa"/>
            <w:tcBorders>
              <w:top w:val="nil"/>
              <w:left w:val="nil"/>
              <w:bottom w:val="nil"/>
              <w:right w:val="nil"/>
            </w:tcBorders>
            <w:shd w:val="clear" w:color="auto" w:fill="auto"/>
            <w:vAlign w:val="center"/>
          </w:tcPr>
          <w:p w14:paraId="2FFF9485" w14:textId="77777777" w:rsidR="00C42353" w:rsidRPr="00FF41EB" w:rsidRDefault="00C42353" w:rsidP="00FF41E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510.012</w:t>
            </w:r>
          </w:p>
        </w:tc>
        <w:tc>
          <w:tcPr>
            <w:tcW w:w="284" w:type="dxa"/>
            <w:tcBorders>
              <w:top w:val="nil"/>
              <w:left w:val="nil"/>
              <w:bottom w:val="nil"/>
              <w:right w:val="nil"/>
            </w:tcBorders>
            <w:shd w:val="clear" w:color="auto" w:fill="auto"/>
            <w:vAlign w:val="center"/>
          </w:tcPr>
          <w:p w14:paraId="7AF17C7E" w14:textId="77777777" w:rsidR="00C42353" w:rsidRPr="00475530" w:rsidRDefault="00C42353" w:rsidP="00C2320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D41E73C" w14:textId="77777777" w:rsidR="00C42353" w:rsidRPr="00475530" w:rsidRDefault="00C42353" w:rsidP="00C2320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eastAsia="Times New Roman" w:cs="Arial"/>
                <w:spacing w:val="-2"/>
                <w:sz w:val="14"/>
                <w:szCs w:val="14"/>
              </w:rPr>
              <w:t>--</w:t>
            </w:r>
          </w:p>
        </w:tc>
        <w:tc>
          <w:tcPr>
            <w:tcW w:w="1228" w:type="dxa"/>
            <w:tcBorders>
              <w:top w:val="nil"/>
              <w:left w:val="nil"/>
              <w:bottom w:val="nil"/>
              <w:right w:val="nil"/>
            </w:tcBorders>
            <w:shd w:val="clear" w:color="auto" w:fill="auto"/>
            <w:vAlign w:val="center"/>
          </w:tcPr>
          <w:p w14:paraId="0450AD36" w14:textId="77777777" w:rsidR="00C42353" w:rsidRPr="00475530" w:rsidRDefault="00C42353" w:rsidP="00C2320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w:t>
            </w:r>
          </w:p>
        </w:tc>
        <w:tc>
          <w:tcPr>
            <w:tcW w:w="1228" w:type="dxa"/>
            <w:tcBorders>
              <w:top w:val="nil"/>
              <w:left w:val="nil"/>
              <w:bottom w:val="nil"/>
              <w:right w:val="nil"/>
            </w:tcBorders>
            <w:shd w:val="clear" w:color="auto" w:fill="auto"/>
            <w:vAlign w:val="center"/>
          </w:tcPr>
          <w:p w14:paraId="26119DE0" w14:textId="77777777" w:rsidR="00C42353" w:rsidRPr="00475530" w:rsidRDefault="00C42353" w:rsidP="00C2320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75530">
              <w:rPr>
                <w:rFonts w:cs="Arial"/>
                <w:sz w:val="14"/>
                <w:szCs w:val="14"/>
              </w:rPr>
              <w:t>525.161</w:t>
            </w:r>
          </w:p>
        </w:tc>
      </w:tr>
      <w:tr w:rsidR="00C42353" w:rsidRPr="00FF41EB" w14:paraId="1FE03C6A" w14:textId="77777777" w:rsidTr="00FF41E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8EAADB" w:themeColor="accent5" w:themeTint="99"/>
              <w:right w:val="nil"/>
            </w:tcBorders>
            <w:shd w:val="clear" w:color="auto" w:fill="auto"/>
            <w:vAlign w:val="center"/>
            <w:hideMark/>
          </w:tcPr>
          <w:p w14:paraId="64E7C6CA" w14:textId="77777777" w:rsidR="00C42353" w:rsidRPr="00FF41EB" w:rsidRDefault="00C42353" w:rsidP="00FF41EB">
            <w:pPr>
              <w:keepNext/>
              <w:keepLines/>
              <w:spacing w:before="40" w:after="40"/>
              <w:rPr>
                <w:rFonts w:eastAsia="Times New Roman" w:cs="Arial"/>
                <w:spacing w:val="-2"/>
                <w:sz w:val="14"/>
                <w:szCs w:val="14"/>
              </w:rPr>
            </w:pPr>
            <w:r w:rsidRPr="00FF41EB">
              <w:rPr>
                <w:rFonts w:cs="Arial"/>
                <w:sz w:val="14"/>
                <w:szCs w:val="14"/>
              </w:rPr>
              <w:t>Saldo do investimento</w:t>
            </w:r>
          </w:p>
        </w:tc>
        <w:tc>
          <w:tcPr>
            <w:tcW w:w="1134" w:type="dxa"/>
            <w:tcBorders>
              <w:top w:val="nil"/>
              <w:left w:val="nil"/>
              <w:bottom w:val="single" w:sz="2" w:space="0" w:color="8EAADB" w:themeColor="accent5" w:themeTint="99"/>
              <w:right w:val="nil"/>
            </w:tcBorders>
            <w:shd w:val="clear" w:color="auto" w:fill="auto"/>
            <w:vAlign w:val="center"/>
          </w:tcPr>
          <w:p w14:paraId="2AC22F3E"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FF41EB">
              <w:rPr>
                <w:rFonts w:cs="Arial"/>
                <w:b/>
                <w:bCs/>
                <w:sz w:val="14"/>
                <w:szCs w:val="14"/>
              </w:rPr>
              <w:t xml:space="preserve"> 156.123 </w:t>
            </w:r>
          </w:p>
        </w:tc>
        <w:tc>
          <w:tcPr>
            <w:tcW w:w="1134" w:type="dxa"/>
            <w:tcBorders>
              <w:top w:val="nil"/>
              <w:left w:val="nil"/>
              <w:bottom w:val="single" w:sz="2" w:space="0" w:color="8EAADB" w:themeColor="accent5" w:themeTint="99"/>
              <w:right w:val="nil"/>
            </w:tcBorders>
            <w:shd w:val="clear" w:color="auto" w:fill="auto"/>
            <w:vAlign w:val="center"/>
          </w:tcPr>
          <w:p w14:paraId="769B1AA9"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1.254.880 </w:t>
            </w:r>
          </w:p>
        </w:tc>
        <w:tc>
          <w:tcPr>
            <w:tcW w:w="1134" w:type="dxa"/>
            <w:tcBorders>
              <w:top w:val="nil"/>
              <w:left w:val="nil"/>
              <w:bottom w:val="single" w:sz="2" w:space="0" w:color="8EAADB" w:themeColor="accent5" w:themeTint="99"/>
              <w:right w:val="nil"/>
            </w:tcBorders>
            <w:shd w:val="clear" w:color="auto" w:fill="auto"/>
            <w:vAlign w:val="center"/>
          </w:tcPr>
          <w:p w14:paraId="375ACDFD"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 xml:space="preserve"> 2.337.086 </w:t>
            </w:r>
          </w:p>
        </w:tc>
        <w:tc>
          <w:tcPr>
            <w:tcW w:w="284" w:type="dxa"/>
            <w:tcBorders>
              <w:top w:val="nil"/>
              <w:left w:val="nil"/>
              <w:bottom w:val="single" w:sz="2" w:space="0" w:color="8EAADB" w:themeColor="accent5" w:themeTint="99"/>
              <w:right w:val="nil"/>
            </w:tcBorders>
            <w:shd w:val="clear" w:color="auto" w:fill="auto"/>
            <w:vAlign w:val="center"/>
          </w:tcPr>
          <w:p w14:paraId="319D41D8"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single" w:sz="2" w:space="0" w:color="8EAADB" w:themeColor="accent5" w:themeTint="99"/>
              <w:right w:val="nil"/>
            </w:tcBorders>
            <w:shd w:val="clear" w:color="auto" w:fill="auto"/>
            <w:vAlign w:val="center"/>
          </w:tcPr>
          <w:p w14:paraId="78F3DAA0"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133.889</w:t>
            </w:r>
          </w:p>
        </w:tc>
        <w:tc>
          <w:tcPr>
            <w:tcW w:w="1228" w:type="dxa"/>
            <w:tcBorders>
              <w:top w:val="nil"/>
              <w:left w:val="nil"/>
              <w:bottom w:val="single" w:sz="2" w:space="0" w:color="8EAADB" w:themeColor="accent5" w:themeTint="99"/>
              <w:right w:val="nil"/>
            </w:tcBorders>
            <w:shd w:val="clear" w:color="auto" w:fill="auto"/>
            <w:vAlign w:val="center"/>
          </w:tcPr>
          <w:p w14:paraId="3E172030"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1.295.897</w:t>
            </w:r>
          </w:p>
        </w:tc>
        <w:tc>
          <w:tcPr>
            <w:tcW w:w="1228" w:type="dxa"/>
            <w:tcBorders>
              <w:top w:val="nil"/>
              <w:left w:val="nil"/>
              <w:bottom w:val="single" w:sz="2" w:space="0" w:color="8EAADB" w:themeColor="accent5" w:themeTint="99"/>
              <w:right w:val="nil"/>
            </w:tcBorders>
            <w:shd w:val="clear" w:color="auto" w:fill="auto"/>
            <w:vAlign w:val="center"/>
          </w:tcPr>
          <w:p w14:paraId="183AB937" w14:textId="77777777" w:rsidR="00C42353" w:rsidRPr="00FF41EB" w:rsidRDefault="00C42353" w:rsidP="00FF41E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FF41EB">
              <w:rPr>
                <w:rFonts w:cs="Arial"/>
                <w:b/>
                <w:bCs/>
                <w:sz w:val="14"/>
                <w:szCs w:val="14"/>
              </w:rPr>
              <w:t>2.245.714</w:t>
            </w:r>
          </w:p>
        </w:tc>
      </w:tr>
    </w:tbl>
    <w:p w14:paraId="787A6248" w14:textId="77777777" w:rsidR="00C42353" w:rsidRDefault="00C42353" w:rsidP="00C42353">
      <w:pPr>
        <w:numPr>
          <w:ilvl w:val="0"/>
          <w:numId w:val="21"/>
        </w:numPr>
        <w:spacing w:line="257" w:lineRule="auto"/>
        <w:contextualSpacing/>
        <w:jc w:val="both"/>
        <w:rPr>
          <w:rFonts w:eastAsia="Times New Roman" w:cs="Times New Roman"/>
          <w:spacing w:val="-2"/>
          <w:sz w:val="14"/>
          <w:szCs w:val="18"/>
          <w:lang w:eastAsia="pt-BR"/>
        </w:rPr>
      </w:pPr>
      <w:r w:rsidRPr="008C0E39">
        <w:rPr>
          <w:rFonts w:eastAsia="Times New Roman" w:cs="Times New Roman"/>
          <w:spacing w:val="-2"/>
          <w:sz w:val="14"/>
          <w:szCs w:val="18"/>
          <w:lang w:eastAsia="pt-BR"/>
        </w:rPr>
        <w:t xml:space="preserve">Inclui no valor contábil do investimento da BB Mapfre, intangível de vida útil definida, no montante líquido de </w:t>
      </w:r>
      <w:r w:rsidRPr="00D905B6">
        <w:rPr>
          <w:rFonts w:eastAsia="Times New Roman" w:cs="Times New Roman"/>
          <w:spacing w:val="-2"/>
          <w:sz w:val="14"/>
          <w:szCs w:val="18"/>
          <w:lang w:eastAsia="pt-BR"/>
        </w:rPr>
        <w:t>amortizações de R$</w:t>
      </w:r>
      <w:r>
        <w:rPr>
          <w:rFonts w:eastAsia="Times New Roman" w:cs="Times New Roman"/>
          <w:spacing w:val="-2"/>
          <w:sz w:val="14"/>
          <w:szCs w:val="18"/>
          <w:lang w:eastAsia="pt-BR"/>
        </w:rPr>
        <w:t xml:space="preserve"> </w:t>
      </w:r>
      <w:r w:rsidRPr="00520DA0">
        <w:rPr>
          <w:rFonts w:eastAsia="Times New Roman" w:cs="Times New Roman"/>
          <w:spacing w:val="-2"/>
          <w:sz w:val="14"/>
          <w:szCs w:val="18"/>
          <w:lang w:eastAsia="pt-BR"/>
        </w:rPr>
        <w:t xml:space="preserve">171.008 </w:t>
      </w:r>
      <w:r w:rsidRPr="00BE6DB4">
        <w:rPr>
          <w:rFonts w:eastAsia="Times New Roman" w:cs="Times New Roman"/>
          <w:spacing w:val="-2"/>
          <w:sz w:val="14"/>
          <w:szCs w:val="18"/>
          <w:lang w:eastAsia="pt-BR"/>
        </w:rPr>
        <w:t>mil</w:t>
      </w:r>
      <w:r w:rsidRPr="00D905B6">
        <w:rPr>
          <w:rFonts w:eastAsia="Times New Roman" w:cs="Times New Roman"/>
          <w:spacing w:val="-2"/>
          <w:sz w:val="14"/>
          <w:szCs w:val="18"/>
          <w:lang w:eastAsia="pt-BR"/>
        </w:rPr>
        <w:t xml:space="preserve"> em 3</w:t>
      </w:r>
      <w:r>
        <w:rPr>
          <w:rFonts w:eastAsia="Times New Roman" w:cs="Times New Roman"/>
          <w:spacing w:val="-2"/>
          <w:sz w:val="14"/>
          <w:szCs w:val="18"/>
          <w:lang w:eastAsia="pt-BR"/>
        </w:rPr>
        <w:t>1</w:t>
      </w:r>
      <w:r w:rsidRPr="00D905B6">
        <w:rPr>
          <w:rFonts w:eastAsia="Times New Roman" w:cs="Times New Roman"/>
          <w:spacing w:val="-2"/>
          <w:sz w:val="14"/>
          <w:szCs w:val="18"/>
          <w:lang w:eastAsia="pt-BR"/>
        </w:rPr>
        <w:t>.</w:t>
      </w:r>
      <w:r>
        <w:rPr>
          <w:rFonts w:eastAsia="Times New Roman" w:cs="Times New Roman"/>
          <w:spacing w:val="-2"/>
          <w:sz w:val="14"/>
          <w:szCs w:val="18"/>
          <w:lang w:eastAsia="pt-BR"/>
        </w:rPr>
        <w:t>12</w:t>
      </w:r>
      <w:r w:rsidRPr="00D905B6">
        <w:rPr>
          <w:rFonts w:eastAsia="Times New Roman" w:cs="Times New Roman"/>
          <w:spacing w:val="-2"/>
          <w:sz w:val="14"/>
          <w:szCs w:val="18"/>
          <w:lang w:eastAsia="pt-BR"/>
        </w:rPr>
        <w:t>.2021 (R$ 186.157 mil em 31.12.2020) e intangível de vida útil indefinida no montante de R$ 339.004 mil oriundo do acordo de parceria</w:t>
      </w:r>
      <w:r w:rsidRPr="008C0E39">
        <w:rPr>
          <w:rFonts w:eastAsia="Times New Roman" w:cs="Times New Roman"/>
          <w:spacing w:val="-2"/>
          <w:sz w:val="14"/>
          <w:szCs w:val="18"/>
          <w:lang w:eastAsia="pt-BR"/>
        </w:rPr>
        <w:t xml:space="preserve"> com a Mapfre.</w:t>
      </w:r>
    </w:p>
    <w:p w14:paraId="0A1951B4" w14:textId="77777777" w:rsidR="00C42353" w:rsidRPr="00AB42A5" w:rsidRDefault="00C42353" w:rsidP="006E2689">
      <w:pPr>
        <w:spacing w:line="257" w:lineRule="auto"/>
        <w:ind w:left="284"/>
        <w:contextualSpacing/>
        <w:jc w:val="both"/>
        <w:rPr>
          <w:rFonts w:eastAsia="Times New Roman" w:cs="Times New Roman"/>
          <w:spacing w:val="-2"/>
          <w:sz w:val="14"/>
          <w:szCs w:val="18"/>
          <w:highlight w:val="red"/>
          <w:lang w:eastAsia="pt-BR"/>
        </w:rPr>
      </w:pPr>
    </w:p>
    <w:p w14:paraId="08602F73" w14:textId="77777777" w:rsidR="00C42353" w:rsidRPr="00537AE7" w:rsidRDefault="00C42353" w:rsidP="00537AE7">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c.2) Brasilprev, Brasilcap, Brasildental, BB Corretora e Ciclic</w:t>
      </w:r>
    </w:p>
    <w:p w14:paraId="6D090612" w14:textId="77777777" w:rsidR="00C42353" w:rsidRPr="00537AE7" w:rsidRDefault="00C42353" w:rsidP="00537AE7">
      <w:pPr>
        <w:spacing w:after="0" w:line="240" w:lineRule="auto"/>
        <w:rPr>
          <w:rFonts w:eastAsia="Times New Roman" w:cs="Times New Roman"/>
          <w:b/>
          <w:color w:val="1F4E79" w:themeColor="accent1" w:themeShade="80"/>
          <w:spacing w:val="-2"/>
          <w:szCs w:val="20"/>
          <w:lang w:eastAsia="pt-BR"/>
        </w:rPr>
      </w:pPr>
    </w:p>
    <w:p w14:paraId="0E3AE2B1" w14:textId="77777777" w:rsidR="00C42353" w:rsidRPr="00537AE7" w:rsidRDefault="00C42353" w:rsidP="00537AE7">
      <w:pPr>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t>Informações de Resultado</w:t>
      </w:r>
    </w:p>
    <w:p w14:paraId="04176769" w14:textId="77777777" w:rsidR="00C42353" w:rsidRPr="00537AE7" w:rsidRDefault="00C42353" w:rsidP="00537AE7">
      <w:pPr>
        <w:spacing w:after="0" w:line="240" w:lineRule="auto"/>
        <w:rPr>
          <w:rFonts w:eastAsia="Times New Roman" w:cs="Times New Roman"/>
          <w:b/>
          <w:color w:val="1F4E79" w:themeColor="accent1" w:themeShade="80"/>
          <w:spacing w:val="-2"/>
          <w:szCs w:val="20"/>
          <w:lang w:eastAsia="pt-BR"/>
        </w:rPr>
      </w:pPr>
    </w:p>
    <w:p w14:paraId="10E6E916" w14:textId="77777777" w:rsidR="00C42353" w:rsidRPr="00537AE7" w:rsidRDefault="00C42353" w:rsidP="00537AE7">
      <w:pPr>
        <w:keepNext/>
        <w:keepLines/>
        <w:spacing w:after="0"/>
        <w:jc w:val="right"/>
        <w:rPr>
          <w:rFonts w:cs="Arial"/>
          <w:b/>
          <w:sz w:val="14"/>
          <w:szCs w:val="18"/>
        </w:rPr>
      </w:pPr>
      <w:r w:rsidRPr="00537AE7">
        <w:rPr>
          <w:rFonts w:cs="Arial"/>
          <w:b/>
          <w:sz w:val="14"/>
          <w:szCs w:val="18"/>
        </w:rPr>
        <w:t>R$ mil</w:t>
      </w:r>
    </w:p>
    <w:tbl>
      <w:tblPr>
        <w:tblW w:w="9639" w:type="dxa"/>
        <w:jc w:val="center"/>
        <w:tblLayout w:type="fixed"/>
        <w:tblLook w:val="04A0" w:firstRow="1" w:lastRow="0" w:firstColumn="1" w:lastColumn="0" w:noHBand="0" w:noVBand="1"/>
      </w:tblPr>
      <w:tblGrid>
        <w:gridCol w:w="2909"/>
        <w:gridCol w:w="1346"/>
        <w:gridCol w:w="1346"/>
        <w:gridCol w:w="1346"/>
        <w:gridCol w:w="1346"/>
        <w:gridCol w:w="1346"/>
      </w:tblGrid>
      <w:tr w:rsidR="00C42353" w:rsidRPr="00537AE7" w14:paraId="596521B9" w14:textId="77777777" w:rsidTr="0064478A">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05889E7A" w14:textId="77777777" w:rsidR="00C42353" w:rsidRPr="00537AE7" w:rsidRDefault="00C42353" w:rsidP="00537AE7">
            <w:pPr>
              <w:keepNext/>
              <w:keepLines/>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038"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65346B9C"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692"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27112FD7"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084D27C5" w14:textId="77777777" w:rsidTr="0064478A">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17CB8F26"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773F6F95"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7A88B9B"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346"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7800A979"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34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4C7283F0" w14:textId="77777777" w:rsidR="00C42353" w:rsidRPr="00FC0BA3" w:rsidRDefault="00C42353" w:rsidP="00537AE7">
            <w:pPr>
              <w:keepNext/>
              <w:keepLines/>
              <w:spacing w:before="40" w:after="40" w:line="240" w:lineRule="auto"/>
              <w:jc w:val="center"/>
              <w:rPr>
                <w:rFonts w:eastAsia="Times New Roman" w:cs="Arial"/>
                <w:b/>
                <w:spacing w:val="-2"/>
                <w:sz w:val="14"/>
                <w:szCs w:val="14"/>
                <w:lang w:eastAsia="pt-BR"/>
              </w:rPr>
            </w:pPr>
            <w:r w:rsidRPr="00FC0BA3">
              <w:rPr>
                <w:rFonts w:eastAsia="Times New Roman" w:cs="Arial"/>
                <w:b/>
                <w:spacing w:val="-2"/>
                <w:sz w:val="14"/>
                <w:szCs w:val="14"/>
                <w:lang w:eastAsia="pt-BR"/>
              </w:rPr>
              <w:t>Corretagem</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603C6720" w14:textId="77777777" w:rsidR="00C42353" w:rsidRPr="00537AE7" w:rsidRDefault="00C42353" w:rsidP="00537AE7">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4AE25341" w14:textId="77777777" w:rsidTr="0064478A">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12FB6EAF" w14:textId="77777777" w:rsidR="00C42353" w:rsidRPr="00537AE7" w:rsidRDefault="00C42353" w:rsidP="009167E2">
            <w:pPr>
              <w:keepNext/>
              <w:keepLines/>
              <w:spacing w:before="40" w:after="40" w:line="240" w:lineRule="auto"/>
              <w:jc w:val="center"/>
              <w:rPr>
                <w:rFonts w:eastAsia="Times New Roman" w:cs="Arial"/>
                <w:b/>
                <w:spacing w:val="-2"/>
                <w:sz w:val="14"/>
                <w:szCs w:val="14"/>
                <w:lang w:eastAsia="pt-BR"/>
              </w:rPr>
            </w:pPr>
            <w:r>
              <w:rPr>
                <w:rFonts w:cs="Arial"/>
                <w:b/>
                <w:sz w:val="14"/>
                <w:szCs w:val="14"/>
              </w:rPr>
              <w:t>Exercício 2021</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2D1F94E" w14:textId="77777777" w:rsidR="00C42353" w:rsidRPr="00537AE7" w:rsidRDefault="00C42353" w:rsidP="009167E2">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Brasilprev</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C55F4FC" w14:textId="77777777" w:rsidR="00C42353" w:rsidRPr="00537AE7" w:rsidRDefault="00C42353" w:rsidP="009167E2">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Brasilcap</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68A4449B" w14:textId="77777777" w:rsidR="00C42353" w:rsidRPr="00537AE7" w:rsidRDefault="00C42353" w:rsidP="009167E2">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Brasildental</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00E8DF14" w14:textId="77777777" w:rsidR="00C42353" w:rsidRPr="00FC0BA3" w:rsidRDefault="00C42353" w:rsidP="009167E2">
            <w:pPr>
              <w:keepNext/>
              <w:keepLines/>
              <w:spacing w:before="40" w:after="40" w:line="240" w:lineRule="auto"/>
              <w:jc w:val="center"/>
              <w:rPr>
                <w:rFonts w:eastAsia="Times New Roman" w:cs="Arial"/>
                <w:b/>
                <w:spacing w:val="-2"/>
                <w:sz w:val="14"/>
                <w:szCs w:val="14"/>
                <w:lang w:eastAsia="pt-BR"/>
              </w:rPr>
            </w:pPr>
            <w:r w:rsidRPr="00FC0BA3">
              <w:rPr>
                <w:rFonts w:eastAsia="Times New Roman" w:cs="Arial"/>
                <w:b/>
                <w:spacing w:val="-2"/>
                <w:sz w:val="14"/>
                <w:szCs w:val="14"/>
                <w:lang w:eastAsia="pt-BR"/>
              </w:rPr>
              <w:t>BB Corretora</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00C2C3E8" w14:textId="77777777" w:rsidR="00C42353" w:rsidRPr="00537AE7" w:rsidRDefault="00C42353" w:rsidP="009167E2">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C42353" w:rsidRPr="00DC166E" w14:paraId="7E000589" w14:textId="77777777" w:rsidTr="00DC166E">
        <w:trPr>
          <w:trHeight w:val="238"/>
          <w:jc w:val="center"/>
        </w:trPr>
        <w:tc>
          <w:tcPr>
            <w:tcW w:w="2909" w:type="dxa"/>
            <w:tcBorders>
              <w:top w:val="single" w:sz="2" w:space="0" w:color="1F4E79" w:themeColor="accent1" w:themeShade="80"/>
            </w:tcBorders>
            <w:shd w:val="clear" w:color="auto" w:fill="auto"/>
            <w:vAlign w:val="center"/>
          </w:tcPr>
          <w:p w14:paraId="67A0BDE3" w14:textId="77777777" w:rsidR="00C42353" w:rsidRPr="00DC166E" w:rsidRDefault="00C42353" w:rsidP="00DC166E">
            <w:pPr>
              <w:keepNext/>
              <w:keepLines/>
              <w:spacing w:before="40" w:after="40" w:line="240" w:lineRule="auto"/>
              <w:rPr>
                <w:rFonts w:eastAsia="Times New Roman" w:cs="Arial"/>
                <w:b/>
                <w:spacing w:val="-2"/>
                <w:sz w:val="14"/>
                <w:szCs w:val="14"/>
                <w:lang w:eastAsia="pt-BR"/>
              </w:rPr>
            </w:pPr>
            <w:r w:rsidRPr="00DC166E">
              <w:rPr>
                <w:rFonts w:eastAsia="Times New Roman" w:cs="Arial"/>
                <w:b/>
                <w:spacing w:val="-2"/>
                <w:sz w:val="14"/>
                <w:szCs w:val="14"/>
                <w:lang w:eastAsia="pt-BR"/>
              </w:rPr>
              <w:t>Receitas líquidas das operações/prêmios</w:t>
            </w:r>
          </w:p>
        </w:tc>
        <w:tc>
          <w:tcPr>
            <w:tcW w:w="1346" w:type="dxa"/>
            <w:tcBorders>
              <w:top w:val="single" w:sz="2" w:space="0" w:color="1F4E79" w:themeColor="accent1" w:themeShade="80"/>
            </w:tcBorders>
            <w:shd w:val="clear" w:color="auto" w:fill="auto"/>
            <w:vAlign w:val="center"/>
          </w:tcPr>
          <w:p w14:paraId="1CA193D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2.592.744 </w:t>
            </w:r>
          </w:p>
        </w:tc>
        <w:tc>
          <w:tcPr>
            <w:tcW w:w="1346" w:type="dxa"/>
            <w:tcBorders>
              <w:top w:val="single" w:sz="2" w:space="0" w:color="1F4E79" w:themeColor="accent1" w:themeShade="80"/>
            </w:tcBorders>
            <w:shd w:val="clear" w:color="auto" w:fill="auto"/>
            <w:vAlign w:val="center"/>
          </w:tcPr>
          <w:p w14:paraId="7DB09768"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8.521 </w:t>
            </w:r>
          </w:p>
        </w:tc>
        <w:tc>
          <w:tcPr>
            <w:tcW w:w="1346" w:type="dxa"/>
            <w:tcBorders>
              <w:top w:val="single" w:sz="2" w:space="0" w:color="1F4E79" w:themeColor="accent1" w:themeShade="80"/>
            </w:tcBorders>
            <w:shd w:val="clear" w:color="auto" w:fill="auto"/>
            <w:vAlign w:val="center"/>
          </w:tcPr>
          <w:p w14:paraId="7AAD72DA"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71.224 </w:t>
            </w:r>
          </w:p>
        </w:tc>
        <w:tc>
          <w:tcPr>
            <w:tcW w:w="1346" w:type="dxa"/>
            <w:tcBorders>
              <w:top w:val="single" w:sz="2" w:space="0" w:color="1F4E79" w:themeColor="accent1" w:themeShade="80"/>
            </w:tcBorders>
            <w:shd w:val="clear" w:color="auto" w:fill="auto"/>
            <w:vAlign w:val="center"/>
          </w:tcPr>
          <w:p w14:paraId="6B1C21FC" w14:textId="77777777" w:rsidR="00C42353" w:rsidRPr="00DC166E" w:rsidRDefault="00C42353" w:rsidP="00DC166E">
            <w:pPr>
              <w:keepNext/>
              <w:keepLines/>
              <w:tabs>
                <w:tab w:val="center" w:pos="565"/>
                <w:tab w:val="right" w:pos="1130"/>
              </w:tabs>
              <w:spacing w:before="40" w:after="40" w:line="240" w:lineRule="auto"/>
              <w:jc w:val="right"/>
              <w:rPr>
                <w:rFonts w:eastAsia="Times New Roman" w:cs="Arial"/>
                <w:b/>
                <w:spacing w:val="-2"/>
                <w:sz w:val="14"/>
                <w:szCs w:val="14"/>
                <w:lang w:eastAsia="pt-BR"/>
              </w:rPr>
            </w:pPr>
            <w:r w:rsidRPr="00DC166E">
              <w:rPr>
                <w:rFonts w:eastAsia="Times New Roman" w:cs="Arial"/>
                <w:b/>
                <w:spacing w:val="-2"/>
                <w:sz w:val="14"/>
                <w:szCs w:val="14"/>
                <w:lang w:eastAsia="pt-BR"/>
              </w:rPr>
              <w:t xml:space="preserve">  3.301.756</w:t>
            </w:r>
          </w:p>
        </w:tc>
        <w:tc>
          <w:tcPr>
            <w:tcW w:w="1346" w:type="dxa"/>
            <w:tcBorders>
              <w:top w:val="single" w:sz="2" w:space="0" w:color="1F4E79" w:themeColor="accent1" w:themeShade="80"/>
            </w:tcBorders>
            <w:shd w:val="clear" w:color="auto" w:fill="auto"/>
            <w:vAlign w:val="center"/>
          </w:tcPr>
          <w:p w14:paraId="3150A613"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eastAsia="Times New Roman" w:cs="Arial"/>
                <w:b/>
                <w:spacing w:val="-2"/>
                <w:sz w:val="14"/>
                <w:szCs w:val="14"/>
                <w:lang w:eastAsia="pt-BR"/>
              </w:rPr>
              <w:t xml:space="preserve">  6.578</w:t>
            </w:r>
          </w:p>
        </w:tc>
      </w:tr>
      <w:tr w:rsidR="00C42353" w:rsidRPr="00537AE7" w14:paraId="51E29FE2" w14:textId="77777777" w:rsidTr="00DC166E">
        <w:trPr>
          <w:trHeight w:val="238"/>
          <w:jc w:val="center"/>
        </w:trPr>
        <w:tc>
          <w:tcPr>
            <w:tcW w:w="2909" w:type="dxa"/>
            <w:shd w:val="clear" w:color="auto" w:fill="auto"/>
            <w:vAlign w:val="center"/>
          </w:tcPr>
          <w:p w14:paraId="61E1426B"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Previdência</w:t>
            </w:r>
          </w:p>
        </w:tc>
        <w:tc>
          <w:tcPr>
            <w:tcW w:w="1346" w:type="dxa"/>
            <w:shd w:val="clear" w:color="auto" w:fill="auto"/>
            <w:vAlign w:val="center"/>
          </w:tcPr>
          <w:p w14:paraId="19BDE135"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48.987.349 </w:t>
            </w:r>
          </w:p>
        </w:tc>
        <w:tc>
          <w:tcPr>
            <w:tcW w:w="1346" w:type="dxa"/>
            <w:shd w:val="clear" w:color="auto" w:fill="auto"/>
            <w:vAlign w:val="center"/>
          </w:tcPr>
          <w:p w14:paraId="24757C08"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4A240736"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63358752"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c>
          <w:tcPr>
            <w:tcW w:w="1346" w:type="dxa"/>
            <w:shd w:val="clear" w:color="auto" w:fill="auto"/>
            <w:vAlign w:val="center"/>
          </w:tcPr>
          <w:p w14:paraId="1795336D"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r>
      <w:tr w:rsidR="00C42353" w:rsidRPr="00537AE7" w14:paraId="6E6A42AF" w14:textId="77777777" w:rsidTr="00DC166E">
        <w:trPr>
          <w:trHeight w:val="238"/>
          <w:jc w:val="center"/>
        </w:trPr>
        <w:tc>
          <w:tcPr>
            <w:tcW w:w="2909" w:type="dxa"/>
            <w:shd w:val="clear" w:color="auto" w:fill="auto"/>
            <w:vAlign w:val="center"/>
          </w:tcPr>
          <w:p w14:paraId="7E1C7F48"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Capitalização</w:t>
            </w:r>
          </w:p>
        </w:tc>
        <w:tc>
          <w:tcPr>
            <w:tcW w:w="1346" w:type="dxa"/>
            <w:shd w:val="clear" w:color="auto" w:fill="auto"/>
            <w:vAlign w:val="center"/>
          </w:tcPr>
          <w:p w14:paraId="264BF9B9"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4BB7FEC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582.268 </w:t>
            </w:r>
          </w:p>
        </w:tc>
        <w:tc>
          <w:tcPr>
            <w:tcW w:w="1346" w:type="dxa"/>
            <w:shd w:val="clear" w:color="auto" w:fill="auto"/>
            <w:vAlign w:val="center"/>
          </w:tcPr>
          <w:p w14:paraId="6CB5161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7A1C6FDA"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c>
          <w:tcPr>
            <w:tcW w:w="1346" w:type="dxa"/>
            <w:shd w:val="clear" w:color="auto" w:fill="auto"/>
            <w:vAlign w:val="center"/>
          </w:tcPr>
          <w:p w14:paraId="2FFBEAC5"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r>
      <w:tr w:rsidR="00C42353" w:rsidRPr="00537AE7" w14:paraId="44CBFB9D" w14:textId="77777777" w:rsidTr="00DC166E">
        <w:trPr>
          <w:trHeight w:val="238"/>
          <w:jc w:val="center"/>
        </w:trPr>
        <w:tc>
          <w:tcPr>
            <w:tcW w:w="2909" w:type="dxa"/>
            <w:shd w:val="clear" w:color="auto" w:fill="auto"/>
            <w:vAlign w:val="center"/>
          </w:tcPr>
          <w:p w14:paraId="7D8D1979"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Assistência à saúde</w:t>
            </w:r>
          </w:p>
        </w:tc>
        <w:tc>
          <w:tcPr>
            <w:tcW w:w="1346" w:type="dxa"/>
            <w:shd w:val="clear" w:color="auto" w:fill="auto"/>
            <w:vAlign w:val="center"/>
          </w:tcPr>
          <w:p w14:paraId="2917385C"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7AD9EF92"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15C89F30"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119.517 </w:t>
            </w:r>
          </w:p>
        </w:tc>
        <w:tc>
          <w:tcPr>
            <w:tcW w:w="1346" w:type="dxa"/>
            <w:shd w:val="clear" w:color="auto" w:fill="auto"/>
            <w:vAlign w:val="center"/>
          </w:tcPr>
          <w:p w14:paraId="4C8FC4AF"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c>
          <w:tcPr>
            <w:tcW w:w="1346" w:type="dxa"/>
            <w:shd w:val="clear" w:color="auto" w:fill="auto"/>
            <w:vAlign w:val="center"/>
          </w:tcPr>
          <w:p w14:paraId="42795C05"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eastAsia="Times New Roman" w:cs="Arial"/>
                <w:spacing w:val="-2"/>
                <w:sz w:val="14"/>
                <w:szCs w:val="14"/>
                <w:lang w:eastAsia="pt-BR"/>
              </w:rPr>
              <w:t>--</w:t>
            </w:r>
          </w:p>
        </w:tc>
      </w:tr>
      <w:tr w:rsidR="00C42353" w:rsidRPr="00537AE7" w14:paraId="6636F890" w14:textId="77777777" w:rsidTr="00DC166E">
        <w:trPr>
          <w:trHeight w:val="238"/>
          <w:jc w:val="center"/>
        </w:trPr>
        <w:tc>
          <w:tcPr>
            <w:tcW w:w="2909" w:type="dxa"/>
            <w:shd w:val="clear" w:color="auto" w:fill="auto"/>
            <w:vAlign w:val="center"/>
          </w:tcPr>
          <w:p w14:paraId="6080A108"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Corretagem</w:t>
            </w:r>
          </w:p>
        </w:tc>
        <w:tc>
          <w:tcPr>
            <w:tcW w:w="1346" w:type="dxa"/>
            <w:shd w:val="clear" w:color="auto" w:fill="auto"/>
            <w:vAlign w:val="center"/>
          </w:tcPr>
          <w:p w14:paraId="41AE986E"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621A9CB5"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31FAC969"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7D0D8C12"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3.495.586 </w:t>
            </w:r>
          </w:p>
        </w:tc>
        <w:tc>
          <w:tcPr>
            <w:tcW w:w="1346" w:type="dxa"/>
            <w:shd w:val="clear" w:color="auto" w:fill="auto"/>
            <w:vAlign w:val="center"/>
          </w:tcPr>
          <w:p w14:paraId="0BC380F5"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9.037 </w:t>
            </w:r>
          </w:p>
        </w:tc>
      </w:tr>
      <w:tr w:rsidR="00C42353" w:rsidRPr="00537AE7" w14:paraId="3ED05C0A" w14:textId="77777777" w:rsidTr="00DC166E">
        <w:trPr>
          <w:trHeight w:val="238"/>
          <w:jc w:val="center"/>
        </w:trPr>
        <w:tc>
          <w:tcPr>
            <w:tcW w:w="2909" w:type="dxa"/>
            <w:shd w:val="clear" w:color="auto" w:fill="auto"/>
            <w:vAlign w:val="center"/>
          </w:tcPr>
          <w:p w14:paraId="65EAAA0A" w14:textId="77777777" w:rsidR="00C42353" w:rsidRPr="00537AE7" w:rsidRDefault="00C42353" w:rsidP="00DC166E">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color w:val="000000"/>
                <w:spacing w:val="-2"/>
                <w:sz w:val="14"/>
                <w:szCs w:val="14"/>
                <w:lang w:eastAsia="pt-BR"/>
              </w:rPr>
              <w:t>Custos/despesas</w:t>
            </w:r>
          </w:p>
        </w:tc>
        <w:tc>
          <w:tcPr>
            <w:tcW w:w="1346" w:type="dxa"/>
            <w:shd w:val="clear" w:color="auto" w:fill="auto"/>
            <w:vAlign w:val="center"/>
          </w:tcPr>
          <w:p w14:paraId="768A39E4"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(46.394.605)</w:t>
            </w:r>
          </w:p>
        </w:tc>
        <w:tc>
          <w:tcPr>
            <w:tcW w:w="1346" w:type="dxa"/>
            <w:shd w:val="clear" w:color="auto" w:fill="auto"/>
            <w:vAlign w:val="center"/>
          </w:tcPr>
          <w:p w14:paraId="2FDBCE20"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(573.747)</w:t>
            </w:r>
          </w:p>
        </w:tc>
        <w:tc>
          <w:tcPr>
            <w:tcW w:w="1346" w:type="dxa"/>
            <w:shd w:val="clear" w:color="auto" w:fill="auto"/>
            <w:vAlign w:val="center"/>
          </w:tcPr>
          <w:p w14:paraId="1E7F637D"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(48.293)</w:t>
            </w:r>
          </w:p>
        </w:tc>
        <w:tc>
          <w:tcPr>
            <w:tcW w:w="1346" w:type="dxa"/>
            <w:shd w:val="clear" w:color="auto" w:fill="auto"/>
            <w:vAlign w:val="center"/>
          </w:tcPr>
          <w:p w14:paraId="18187F4A"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(193.830)</w:t>
            </w:r>
          </w:p>
        </w:tc>
        <w:tc>
          <w:tcPr>
            <w:tcW w:w="1346" w:type="dxa"/>
            <w:shd w:val="clear" w:color="auto" w:fill="auto"/>
            <w:vAlign w:val="center"/>
          </w:tcPr>
          <w:p w14:paraId="7ED7FB4B"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(2.459)</w:t>
            </w:r>
          </w:p>
        </w:tc>
      </w:tr>
      <w:tr w:rsidR="00C42353" w:rsidRPr="00DC166E" w14:paraId="4097A1AE" w14:textId="77777777" w:rsidTr="00DC166E">
        <w:trPr>
          <w:trHeight w:val="238"/>
          <w:jc w:val="center"/>
        </w:trPr>
        <w:tc>
          <w:tcPr>
            <w:tcW w:w="2909" w:type="dxa"/>
            <w:shd w:val="clear" w:color="auto" w:fill="auto"/>
            <w:vAlign w:val="center"/>
          </w:tcPr>
          <w:p w14:paraId="5A67C5C5" w14:textId="77777777" w:rsidR="00C42353" w:rsidRPr="00DC166E" w:rsidRDefault="00C42353" w:rsidP="00DC166E">
            <w:pPr>
              <w:keepNext/>
              <w:keepLines/>
              <w:spacing w:before="40" w:after="40" w:line="240" w:lineRule="auto"/>
              <w:rPr>
                <w:rFonts w:eastAsia="Times New Roman" w:cs="Arial"/>
                <w:b/>
                <w:spacing w:val="-2"/>
                <w:sz w:val="14"/>
                <w:szCs w:val="14"/>
                <w:lang w:eastAsia="pt-BR"/>
              </w:rPr>
            </w:pPr>
            <w:r w:rsidRPr="00DC166E">
              <w:rPr>
                <w:rFonts w:eastAsia="Times New Roman" w:cs="Arial"/>
                <w:b/>
                <w:spacing w:val="-2"/>
                <w:sz w:val="14"/>
                <w:szCs w:val="14"/>
                <w:lang w:eastAsia="pt-BR"/>
              </w:rPr>
              <w:t>Resultado financeiro</w:t>
            </w:r>
          </w:p>
        </w:tc>
        <w:tc>
          <w:tcPr>
            <w:tcW w:w="1346" w:type="dxa"/>
            <w:shd w:val="clear" w:color="auto" w:fill="auto"/>
            <w:vAlign w:val="center"/>
          </w:tcPr>
          <w:p w14:paraId="5A1B041C"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(333.910)</w:t>
            </w:r>
          </w:p>
        </w:tc>
        <w:tc>
          <w:tcPr>
            <w:tcW w:w="1346" w:type="dxa"/>
            <w:shd w:val="clear" w:color="auto" w:fill="auto"/>
            <w:vAlign w:val="center"/>
          </w:tcPr>
          <w:p w14:paraId="59799570"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(37.82</w:t>
            </w:r>
            <w:r>
              <w:rPr>
                <w:rFonts w:cs="Arial"/>
                <w:b/>
                <w:sz w:val="14"/>
                <w:szCs w:val="14"/>
              </w:rPr>
              <w:t>8</w:t>
            </w:r>
            <w:r w:rsidRPr="00DC166E">
              <w:rPr>
                <w:rFonts w:cs="Arial"/>
                <w:b/>
                <w:sz w:val="14"/>
                <w:szCs w:val="14"/>
              </w:rPr>
              <w:t>)</w:t>
            </w:r>
          </w:p>
        </w:tc>
        <w:tc>
          <w:tcPr>
            <w:tcW w:w="1346" w:type="dxa"/>
            <w:shd w:val="clear" w:color="auto" w:fill="auto"/>
            <w:vAlign w:val="center"/>
          </w:tcPr>
          <w:p w14:paraId="2866DFC7"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(8)</w:t>
            </w:r>
          </w:p>
        </w:tc>
        <w:tc>
          <w:tcPr>
            <w:tcW w:w="1346" w:type="dxa"/>
            <w:shd w:val="clear" w:color="auto" w:fill="auto"/>
            <w:vAlign w:val="center"/>
          </w:tcPr>
          <w:p w14:paraId="0DA392F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113.452 </w:t>
            </w:r>
          </w:p>
        </w:tc>
        <w:tc>
          <w:tcPr>
            <w:tcW w:w="1346" w:type="dxa"/>
            <w:shd w:val="clear" w:color="auto" w:fill="auto"/>
            <w:vAlign w:val="center"/>
          </w:tcPr>
          <w:p w14:paraId="5749ADA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w:t>
            </w:r>
            <w:r>
              <w:rPr>
                <w:rFonts w:cs="Arial"/>
                <w:b/>
                <w:sz w:val="14"/>
                <w:szCs w:val="14"/>
              </w:rPr>
              <w:t>20</w:t>
            </w:r>
            <w:r w:rsidRPr="00DC166E">
              <w:rPr>
                <w:rFonts w:cs="Arial"/>
                <w:b/>
                <w:sz w:val="14"/>
                <w:szCs w:val="14"/>
              </w:rPr>
              <w:t>)</w:t>
            </w:r>
          </w:p>
        </w:tc>
      </w:tr>
      <w:tr w:rsidR="00C42353" w:rsidRPr="00537AE7" w14:paraId="4E28B586" w14:textId="77777777" w:rsidTr="00DC166E">
        <w:trPr>
          <w:trHeight w:val="238"/>
          <w:jc w:val="center"/>
        </w:trPr>
        <w:tc>
          <w:tcPr>
            <w:tcW w:w="2909" w:type="dxa"/>
            <w:shd w:val="clear" w:color="auto" w:fill="auto"/>
            <w:vAlign w:val="center"/>
          </w:tcPr>
          <w:p w14:paraId="14226B07" w14:textId="77777777" w:rsidR="00C42353" w:rsidRPr="00537AE7" w:rsidRDefault="00C42353" w:rsidP="00DC166E">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Receitas de juros</w:t>
            </w:r>
          </w:p>
        </w:tc>
        <w:tc>
          <w:tcPr>
            <w:tcW w:w="1346" w:type="dxa"/>
            <w:shd w:val="clear" w:color="auto" w:fill="auto"/>
            <w:vAlign w:val="center"/>
          </w:tcPr>
          <w:p w14:paraId="0770A4B8"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5.381.791 </w:t>
            </w:r>
          </w:p>
        </w:tc>
        <w:tc>
          <w:tcPr>
            <w:tcW w:w="1346" w:type="dxa"/>
            <w:shd w:val="clear" w:color="auto" w:fill="auto"/>
            <w:vAlign w:val="center"/>
          </w:tcPr>
          <w:p w14:paraId="076BCAAA"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620.178 </w:t>
            </w:r>
          </w:p>
        </w:tc>
        <w:tc>
          <w:tcPr>
            <w:tcW w:w="1346" w:type="dxa"/>
            <w:shd w:val="clear" w:color="auto" w:fill="auto"/>
            <w:vAlign w:val="center"/>
          </w:tcPr>
          <w:p w14:paraId="4D4A887D"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3F630E1C"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116.801 </w:t>
            </w:r>
          </w:p>
        </w:tc>
        <w:tc>
          <w:tcPr>
            <w:tcW w:w="1346" w:type="dxa"/>
            <w:shd w:val="clear" w:color="auto" w:fill="auto"/>
            <w:vAlign w:val="center"/>
          </w:tcPr>
          <w:p w14:paraId="562114D3"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0 </w:t>
            </w:r>
          </w:p>
        </w:tc>
      </w:tr>
      <w:tr w:rsidR="00C42353" w:rsidRPr="00537AE7" w14:paraId="7DC0B3E4" w14:textId="77777777" w:rsidTr="00DC166E">
        <w:trPr>
          <w:trHeight w:val="238"/>
          <w:jc w:val="center"/>
        </w:trPr>
        <w:tc>
          <w:tcPr>
            <w:tcW w:w="2909" w:type="dxa"/>
            <w:shd w:val="clear" w:color="auto" w:fill="auto"/>
            <w:vAlign w:val="center"/>
          </w:tcPr>
          <w:p w14:paraId="0AC8AB7A" w14:textId="77777777" w:rsidR="00C42353" w:rsidRPr="00537AE7" w:rsidRDefault="00C42353" w:rsidP="00DC166E">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receitas financeiras</w:t>
            </w:r>
          </w:p>
        </w:tc>
        <w:tc>
          <w:tcPr>
            <w:tcW w:w="1346" w:type="dxa"/>
            <w:shd w:val="clear" w:color="auto" w:fill="auto"/>
            <w:vAlign w:val="center"/>
          </w:tcPr>
          <w:p w14:paraId="4F6719F9"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542.196 </w:t>
            </w:r>
          </w:p>
        </w:tc>
        <w:tc>
          <w:tcPr>
            <w:tcW w:w="1346" w:type="dxa"/>
            <w:shd w:val="clear" w:color="auto" w:fill="auto"/>
            <w:vAlign w:val="center"/>
          </w:tcPr>
          <w:p w14:paraId="415C3734"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461.001 </w:t>
            </w:r>
          </w:p>
        </w:tc>
        <w:tc>
          <w:tcPr>
            <w:tcW w:w="1346" w:type="dxa"/>
            <w:shd w:val="clear" w:color="auto" w:fill="auto"/>
            <w:vAlign w:val="center"/>
          </w:tcPr>
          <w:p w14:paraId="09BEA64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1.498 </w:t>
            </w:r>
          </w:p>
        </w:tc>
        <w:tc>
          <w:tcPr>
            <w:tcW w:w="1346" w:type="dxa"/>
            <w:shd w:val="clear" w:color="auto" w:fill="auto"/>
            <w:vAlign w:val="center"/>
          </w:tcPr>
          <w:p w14:paraId="71FCAF5A"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05E0023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270 </w:t>
            </w:r>
          </w:p>
        </w:tc>
      </w:tr>
      <w:tr w:rsidR="00C42353" w:rsidRPr="00537AE7" w14:paraId="34B914E2" w14:textId="77777777" w:rsidTr="00DC166E">
        <w:trPr>
          <w:trHeight w:val="238"/>
          <w:jc w:val="center"/>
        </w:trPr>
        <w:tc>
          <w:tcPr>
            <w:tcW w:w="2909" w:type="dxa"/>
            <w:shd w:val="clear" w:color="auto" w:fill="auto"/>
            <w:vAlign w:val="center"/>
          </w:tcPr>
          <w:p w14:paraId="64C22477" w14:textId="77777777" w:rsidR="00C42353" w:rsidRPr="00537AE7" w:rsidRDefault="00C42353" w:rsidP="00DC166E">
            <w:pPr>
              <w:keepNext/>
              <w:keepLines/>
              <w:spacing w:before="40" w:after="40" w:line="240" w:lineRule="auto"/>
              <w:ind w:left="113"/>
              <w:rPr>
                <w:rFonts w:eastAsia="Times New Roman" w:cs="Arial"/>
                <w:b/>
                <w:bCs/>
                <w:color w:val="000000"/>
                <w:spacing w:val="-2"/>
                <w:sz w:val="14"/>
                <w:szCs w:val="14"/>
                <w:lang w:eastAsia="pt-BR"/>
              </w:rPr>
            </w:pPr>
            <w:r w:rsidRPr="00537AE7">
              <w:rPr>
                <w:rFonts w:eastAsia="Times New Roman" w:cs="Arial"/>
                <w:bCs/>
                <w:spacing w:val="-2"/>
                <w:sz w:val="14"/>
                <w:szCs w:val="14"/>
                <w:lang w:eastAsia="pt-BR"/>
              </w:rPr>
              <w:t>Despesas de juros</w:t>
            </w:r>
          </w:p>
        </w:tc>
        <w:tc>
          <w:tcPr>
            <w:tcW w:w="1346" w:type="dxa"/>
            <w:shd w:val="clear" w:color="auto" w:fill="auto"/>
            <w:vAlign w:val="center"/>
          </w:tcPr>
          <w:p w14:paraId="06FDE624"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(2.231.100)</w:t>
            </w:r>
          </w:p>
        </w:tc>
        <w:tc>
          <w:tcPr>
            <w:tcW w:w="1346" w:type="dxa"/>
            <w:shd w:val="clear" w:color="auto" w:fill="auto"/>
            <w:vAlign w:val="center"/>
          </w:tcPr>
          <w:p w14:paraId="55729EAF"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(408.323)</w:t>
            </w:r>
          </w:p>
        </w:tc>
        <w:tc>
          <w:tcPr>
            <w:tcW w:w="1346" w:type="dxa"/>
            <w:shd w:val="clear" w:color="auto" w:fill="auto"/>
            <w:vAlign w:val="center"/>
          </w:tcPr>
          <w:p w14:paraId="293E94D7"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 </w:t>
            </w:r>
          </w:p>
        </w:tc>
        <w:tc>
          <w:tcPr>
            <w:tcW w:w="1346" w:type="dxa"/>
            <w:shd w:val="clear" w:color="auto" w:fill="auto"/>
            <w:vAlign w:val="center"/>
          </w:tcPr>
          <w:p w14:paraId="60E0B9D8"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(2.935)</w:t>
            </w:r>
          </w:p>
        </w:tc>
        <w:tc>
          <w:tcPr>
            <w:tcW w:w="1346" w:type="dxa"/>
            <w:shd w:val="clear" w:color="auto" w:fill="auto"/>
            <w:vAlign w:val="center"/>
          </w:tcPr>
          <w:p w14:paraId="2846871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(5)</w:t>
            </w:r>
          </w:p>
        </w:tc>
      </w:tr>
      <w:tr w:rsidR="00C42353" w:rsidRPr="00537AE7" w14:paraId="5968E06B" w14:textId="77777777" w:rsidTr="00DC166E">
        <w:trPr>
          <w:trHeight w:val="238"/>
          <w:jc w:val="center"/>
        </w:trPr>
        <w:tc>
          <w:tcPr>
            <w:tcW w:w="2909" w:type="dxa"/>
            <w:shd w:val="clear" w:color="auto" w:fill="auto"/>
            <w:vAlign w:val="center"/>
          </w:tcPr>
          <w:p w14:paraId="3B62FD4A" w14:textId="77777777" w:rsidR="00C42353" w:rsidRPr="00537AE7" w:rsidRDefault="00C42353" w:rsidP="00DC166E">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bCs/>
                <w:spacing w:val="-2"/>
                <w:sz w:val="14"/>
                <w:szCs w:val="14"/>
                <w:lang w:eastAsia="pt-BR"/>
              </w:rPr>
              <w:t>Outras despesas financeiras</w:t>
            </w:r>
          </w:p>
        </w:tc>
        <w:tc>
          <w:tcPr>
            <w:tcW w:w="1346" w:type="dxa"/>
            <w:shd w:val="clear" w:color="auto" w:fill="auto"/>
            <w:vAlign w:val="center"/>
          </w:tcPr>
          <w:p w14:paraId="5F9BDBE5"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(4.026.797)</w:t>
            </w:r>
          </w:p>
        </w:tc>
        <w:tc>
          <w:tcPr>
            <w:tcW w:w="1346" w:type="dxa"/>
            <w:shd w:val="clear" w:color="auto" w:fill="auto"/>
            <w:vAlign w:val="center"/>
          </w:tcPr>
          <w:p w14:paraId="794FBC20"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(710.684)</w:t>
            </w:r>
          </w:p>
        </w:tc>
        <w:tc>
          <w:tcPr>
            <w:tcW w:w="1346" w:type="dxa"/>
            <w:shd w:val="clear" w:color="auto" w:fill="auto"/>
            <w:vAlign w:val="center"/>
          </w:tcPr>
          <w:p w14:paraId="02F112F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(1.506)</w:t>
            </w:r>
          </w:p>
        </w:tc>
        <w:tc>
          <w:tcPr>
            <w:tcW w:w="1346" w:type="dxa"/>
            <w:shd w:val="clear" w:color="auto" w:fill="auto"/>
            <w:vAlign w:val="center"/>
          </w:tcPr>
          <w:p w14:paraId="75711A3E"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(414)</w:t>
            </w:r>
          </w:p>
        </w:tc>
        <w:tc>
          <w:tcPr>
            <w:tcW w:w="1346" w:type="dxa"/>
            <w:shd w:val="clear" w:color="auto" w:fill="auto"/>
            <w:vAlign w:val="center"/>
          </w:tcPr>
          <w:p w14:paraId="0F08A32E"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(585)</w:t>
            </w:r>
          </w:p>
        </w:tc>
      </w:tr>
      <w:tr w:rsidR="00C42353" w:rsidRPr="00DC166E" w14:paraId="7DFF5516" w14:textId="77777777" w:rsidTr="00DC166E">
        <w:trPr>
          <w:trHeight w:val="238"/>
          <w:jc w:val="center"/>
        </w:trPr>
        <w:tc>
          <w:tcPr>
            <w:tcW w:w="2909" w:type="dxa"/>
            <w:shd w:val="clear" w:color="auto" w:fill="auto"/>
            <w:vAlign w:val="center"/>
          </w:tcPr>
          <w:p w14:paraId="2776585E"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Resultado patrimonial</w:t>
            </w:r>
          </w:p>
        </w:tc>
        <w:tc>
          <w:tcPr>
            <w:tcW w:w="1346" w:type="dxa"/>
            <w:shd w:val="clear" w:color="auto" w:fill="auto"/>
            <w:vAlign w:val="center"/>
          </w:tcPr>
          <w:p w14:paraId="0228CC6B"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(45.453)</w:t>
            </w:r>
          </w:p>
        </w:tc>
        <w:tc>
          <w:tcPr>
            <w:tcW w:w="1346" w:type="dxa"/>
            <w:shd w:val="clear" w:color="auto" w:fill="auto"/>
            <w:vAlign w:val="center"/>
          </w:tcPr>
          <w:p w14:paraId="7236D62C"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(576)</w:t>
            </w:r>
          </w:p>
        </w:tc>
        <w:tc>
          <w:tcPr>
            <w:tcW w:w="1346" w:type="dxa"/>
            <w:shd w:val="clear" w:color="auto" w:fill="auto"/>
            <w:vAlign w:val="center"/>
          </w:tcPr>
          <w:p w14:paraId="3CC343C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(60)</w:t>
            </w:r>
          </w:p>
        </w:tc>
        <w:tc>
          <w:tcPr>
            <w:tcW w:w="1346" w:type="dxa"/>
            <w:shd w:val="clear" w:color="auto" w:fill="auto"/>
            <w:vAlign w:val="center"/>
          </w:tcPr>
          <w:p w14:paraId="2A0B37EE"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(586)</w:t>
            </w:r>
          </w:p>
        </w:tc>
        <w:tc>
          <w:tcPr>
            <w:tcW w:w="1346" w:type="dxa"/>
            <w:shd w:val="clear" w:color="auto" w:fill="auto"/>
            <w:vAlign w:val="center"/>
          </w:tcPr>
          <w:p w14:paraId="0B6D5FC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(23.154)</w:t>
            </w:r>
          </w:p>
        </w:tc>
      </w:tr>
      <w:tr w:rsidR="00C42353" w:rsidRPr="00537AE7" w14:paraId="054FE2F8" w14:textId="77777777" w:rsidTr="00DC166E">
        <w:trPr>
          <w:trHeight w:val="238"/>
          <w:jc w:val="center"/>
        </w:trPr>
        <w:tc>
          <w:tcPr>
            <w:tcW w:w="2909" w:type="dxa"/>
            <w:shd w:val="clear" w:color="auto" w:fill="auto"/>
            <w:vAlign w:val="center"/>
          </w:tcPr>
          <w:p w14:paraId="4770355D" w14:textId="77777777" w:rsidR="00C42353" w:rsidRPr="00537AE7" w:rsidRDefault="00C42353" w:rsidP="00DC166E">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bCs/>
                <w:color w:val="000000"/>
                <w:spacing w:val="-2"/>
                <w:sz w:val="14"/>
                <w:szCs w:val="14"/>
                <w:lang w:eastAsia="pt-BR"/>
              </w:rPr>
              <w:t>Depreciação e amortização</w:t>
            </w:r>
          </w:p>
        </w:tc>
        <w:tc>
          <w:tcPr>
            <w:tcW w:w="1346" w:type="dxa"/>
            <w:shd w:val="clear" w:color="auto" w:fill="auto"/>
            <w:vAlign w:val="center"/>
          </w:tcPr>
          <w:p w14:paraId="36BBFABE"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(45.453)</w:t>
            </w:r>
          </w:p>
        </w:tc>
        <w:tc>
          <w:tcPr>
            <w:tcW w:w="1346" w:type="dxa"/>
            <w:shd w:val="clear" w:color="auto" w:fill="auto"/>
            <w:vAlign w:val="center"/>
          </w:tcPr>
          <w:p w14:paraId="648F0936"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(576)</w:t>
            </w:r>
          </w:p>
        </w:tc>
        <w:tc>
          <w:tcPr>
            <w:tcW w:w="1346" w:type="dxa"/>
            <w:shd w:val="clear" w:color="auto" w:fill="auto"/>
            <w:vAlign w:val="center"/>
          </w:tcPr>
          <w:p w14:paraId="5E6153AD"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(60)</w:t>
            </w:r>
          </w:p>
        </w:tc>
        <w:tc>
          <w:tcPr>
            <w:tcW w:w="1346" w:type="dxa"/>
            <w:shd w:val="clear" w:color="auto" w:fill="auto"/>
            <w:vAlign w:val="center"/>
          </w:tcPr>
          <w:p w14:paraId="56D405BD"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(586)</w:t>
            </w:r>
          </w:p>
        </w:tc>
        <w:tc>
          <w:tcPr>
            <w:tcW w:w="1346" w:type="dxa"/>
            <w:shd w:val="clear" w:color="auto" w:fill="auto"/>
            <w:vAlign w:val="center"/>
          </w:tcPr>
          <w:p w14:paraId="1EED0119"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(758)</w:t>
            </w:r>
          </w:p>
        </w:tc>
      </w:tr>
      <w:tr w:rsidR="00C42353" w:rsidRPr="00537AE7" w14:paraId="09E54839" w14:textId="77777777" w:rsidTr="00DC166E">
        <w:trPr>
          <w:trHeight w:val="238"/>
          <w:jc w:val="center"/>
        </w:trPr>
        <w:tc>
          <w:tcPr>
            <w:tcW w:w="2909" w:type="dxa"/>
            <w:shd w:val="clear" w:color="auto" w:fill="auto"/>
            <w:vAlign w:val="center"/>
          </w:tcPr>
          <w:p w14:paraId="64C2F120"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2B64C0">
              <w:rPr>
                <w:rFonts w:eastAsia="Times New Roman" w:cs="Arial"/>
                <w:bCs/>
                <w:color w:val="000000"/>
                <w:spacing w:val="-2"/>
                <w:sz w:val="14"/>
                <w:szCs w:val="14"/>
                <w:lang w:eastAsia="pt-BR"/>
              </w:rPr>
              <w:t>Outras receitas/despesas patrimoniais</w:t>
            </w:r>
          </w:p>
        </w:tc>
        <w:tc>
          <w:tcPr>
            <w:tcW w:w="1346" w:type="dxa"/>
            <w:shd w:val="clear" w:color="auto" w:fill="auto"/>
            <w:vAlign w:val="center"/>
          </w:tcPr>
          <w:p w14:paraId="25A938D6" w14:textId="77777777" w:rsidR="00C42353" w:rsidRPr="00DC166E" w:rsidRDefault="00C42353" w:rsidP="00DC166E">
            <w:pPr>
              <w:keepNext/>
              <w:keepLines/>
              <w:spacing w:before="40" w:after="40" w:line="240" w:lineRule="auto"/>
              <w:jc w:val="right"/>
              <w:rPr>
                <w:rFonts w:cs="Arial"/>
                <w:sz w:val="14"/>
                <w:szCs w:val="14"/>
              </w:rPr>
            </w:pPr>
            <w:r w:rsidRPr="00DC166E">
              <w:rPr>
                <w:rFonts w:cs="Arial"/>
                <w:sz w:val="14"/>
                <w:szCs w:val="14"/>
              </w:rPr>
              <w:t xml:space="preserve">  -- </w:t>
            </w:r>
          </w:p>
        </w:tc>
        <w:tc>
          <w:tcPr>
            <w:tcW w:w="1346" w:type="dxa"/>
            <w:shd w:val="clear" w:color="auto" w:fill="auto"/>
            <w:vAlign w:val="center"/>
          </w:tcPr>
          <w:p w14:paraId="67F625E8" w14:textId="77777777" w:rsidR="00C42353" w:rsidRPr="00DC166E" w:rsidRDefault="00C42353" w:rsidP="00DC166E">
            <w:pPr>
              <w:keepNext/>
              <w:keepLines/>
              <w:spacing w:before="40" w:after="40" w:line="240" w:lineRule="auto"/>
              <w:jc w:val="right"/>
              <w:rPr>
                <w:rFonts w:cs="Arial"/>
                <w:sz w:val="14"/>
                <w:szCs w:val="14"/>
              </w:rPr>
            </w:pPr>
            <w:r w:rsidRPr="00DC166E">
              <w:rPr>
                <w:rFonts w:cs="Arial"/>
                <w:sz w:val="14"/>
                <w:szCs w:val="14"/>
              </w:rPr>
              <w:t xml:space="preserve">-- </w:t>
            </w:r>
          </w:p>
        </w:tc>
        <w:tc>
          <w:tcPr>
            <w:tcW w:w="1346" w:type="dxa"/>
            <w:shd w:val="clear" w:color="auto" w:fill="auto"/>
            <w:vAlign w:val="center"/>
          </w:tcPr>
          <w:p w14:paraId="69193003" w14:textId="77777777" w:rsidR="00C42353" w:rsidRPr="00DC166E" w:rsidRDefault="00C42353" w:rsidP="00DC166E">
            <w:pPr>
              <w:keepNext/>
              <w:keepLines/>
              <w:spacing w:before="40" w:after="40" w:line="240" w:lineRule="auto"/>
              <w:jc w:val="right"/>
              <w:rPr>
                <w:rFonts w:cs="Arial"/>
                <w:sz w:val="14"/>
                <w:szCs w:val="14"/>
              </w:rPr>
            </w:pPr>
            <w:r w:rsidRPr="00DC166E">
              <w:rPr>
                <w:rFonts w:cs="Arial"/>
                <w:sz w:val="14"/>
                <w:szCs w:val="14"/>
              </w:rPr>
              <w:t xml:space="preserve">-- </w:t>
            </w:r>
          </w:p>
        </w:tc>
        <w:tc>
          <w:tcPr>
            <w:tcW w:w="1346" w:type="dxa"/>
            <w:shd w:val="clear" w:color="auto" w:fill="auto"/>
            <w:vAlign w:val="center"/>
          </w:tcPr>
          <w:p w14:paraId="0653D12A"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 </w:t>
            </w:r>
          </w:p>
        </w:tc>
        <w:tc>
          <w:tcPr>
            <w:tcW w:w="1346" w:type="dxa"/>
            <w:shd w:val="clear" w:color="auto" w:fill="auto"/>
            <w:vAlign w:val="center"/>
          </w:tcPr>
          <w:p w14:paraId="588BE537" w14:textId="77777777" w:rsidR="00C42353" w:rsidRPr="00DC166E" w:rsidRDefault="00C42353" w:rsidP="00DC166E">
            <w:pPr>
              <w:keepNext/>
              <w:keepLines/>
              <w:spacing w:before="40" w:after="40" w:line="240" w:lineRule="auto"/>
              <w:jc w:val="right"/>
              <w:rPr>
                <w:rFonts w:eastAsia="Times New Roman" w:cs="Arial"/>
                <w:b/>
                <w:bCs/>
                <w:spacing w:val="-2"/>
                <w:sz w:val="14"/>
                <w:szCs w:val="14"/>
                <w:lang w:eastAsia="pt-BR"/>
              </w:rPr>
            </w:pPr>
            <w:r w:rsidRPr="00DC166E">
              <w:rPr>
                <w:rFonts w:cs="Arial"/>
                <w:sz w:val="14"/>
                <w:szCs w:val="14"/>
              </w:rPr>
              <w:t xml:space="preserve">  (22.396)</w:t>
            </w:r>
          </w:p>
        </w:tc>
      </w:tr>
      <w:tr w:rsidR="00C42353" w:rsidRPr="00DC166E" w14:paraId="0C03D716" w14:textId="77777777" w:rsidTr="00DC166E">
        <w:trPr>
          <w:trHeight w:val="238"/>
          <w:jc w:val="center"/>
        </w:trPr>
        <w:tc>
          <w:tcPr>
            <w:tcW w:w="2909" w:type="dxa"/>
            <w:shd w:val="clear" w:color="auto" w:fill="auto"/>
            <w:vAlign w:val="center"/>
          </w:tcPr>
          <w:p w14:paraId="3C1072FF"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Outras receitas e despesas</w:t>
            </w:r>
          </w:p>
        </w:tc>
        <w:tc>
          <w:tcPr>
            <w:tcW w:w="1346" w:type="dxa"/>
            <w:shd w:val="clear" w:color="auto" w:fill="auto"/>
            <w:vAlign w:val="center"/>
          </w:tcPr>
          <w:p w14:paraId="5E1874A1"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(612.636)</w:t>
            </w:r>
          </w:p>
        </w:tc>
        <w:tc>
          <w:tcPr>
            <w:tcW w:w="1346" w:type="dxa"/>
            <w:shd w:val="clear" w:color="auto" w:fill="auto"/>
            <w:vAlign w:val="center"/>
          </w:tcPr>
          <w:p w14:paraId="6B3F3614"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44.442 </w:t>
            </w:r>
          </w:p>
        </w:tc>
        <w:tc>
          <w:tcPr>
            <w:tcW w:w="1346" w:type="dxa"/>
            <w:shd w:val="clear" w:color="auto" w:fill="auto"/>
            <w:vAlign w:val="center"/>
          </w:tcPr>
          <w:p w14:paraId="730A8530"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(35.695)</w:t>
            </w:r>
          </w:p>
        </w:tc>
        <w:tc>
          <w:tcPr>
            <w:tcW w:w="1346" w:type="dxa"/>
            <w:shd w:val="clear" w:color="auto" w:fill="auto"/>
            <w:vAlign w:val="center"/>
          </w:tcPr>
          <w:p w14:paraId="75A4803D"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(150.451)</w:t>
            </w:r>
          </w:p>
        </w:tc>
        <w:tc>
          <w:tcPr>
            <w:tcW w:w="1346" w:type="dxa"/>
            <w:shd w:val="clear" w:color="auto" w:fill="auto"/>
            <w:vAlign w:val="center"/>
          </w:tcPr>
          <w:p w14:paraId="42D8A377"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40 </w:t>
            </w:r>
          </w:p>
        </w:tc>
      </w:tr>
      <w:tr w:rsidR="00C42353" w:rsidRPr="00537AE7" w14:paraId="749593C8" w14:textId="77777777" w:rsidTr="00DC166E">
        <w:trPr>
          <w:trHeight w:val="238"/>
          <w:jc w:val="center"/>
        </w:trPr>
        <w:tc>
          <w:tcPr>
            <w:tcW w:w="2909" w:type="dxa"/>
            <w:shd w:val="clear" w:color="auto" w:fill="auto"/>
            <w:vAlign w:val="center"/>
          </w:tcPr>
          <w:p w14:paraId="0A5F2C14"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receitas</w:t>
            </w:r>
          </w:p>
        </w:tc>
        <w:tc>
          <w:tcPr>
            <w:tcW w:w="1346" w:type="dxa"/>
            <w:shd w:val="clear" w:color="auto" w:fill="auto"/>
            <w:vAlign w:val="center"/>
          </w:tcPr>
          <w:p w14:paraId="002AC0E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17.073 </w:t>
            </w:r>
          </w:p>
        </w:tc>
        <w:tc>
          <w:tcPr>
            <w:tcW w:w="1346" w:type="dxa"/>
            <w:shd w:val="clear" w:color="auto" w:fill="auto"/>
            <w:vAlign w:val="center"/>
          </w:tcPr>
          <w:p w14:paraId="03362167"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46.280 </w:t>
            </w:r>
          </w:p>
        </w:tc>
        <w:tc>
          <w:tcPr>
            <w:tcW w:w="1346" w:type="dxa"/>
            <w:shd w:val="clear" w:color="auto" w:fill="auto"/>
            <w:vAlign w:val="center"/>
          </w:tcPr>
          <w:p w14:paraId="4EAC1F98"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167 </w:t>
            </w:r>
          </w:p>
        </w:tc>
        <w:tc>
          <w:tcPr>
            <w:tcW w:w="1346" w:type="dxa"/>
            <w:shd w:val="clear" w:color="auto" w:fill="auto"/>
            <w:vAlign w:val="center"/>
          </w:tcPr>
          <w:p w14:paraId="3C44F4C1"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c>
          <w:tcPr>
            <w:tcW w:w="1346" w:type="dxa"/>
            <w:shd w:val="clear" w:color="auto" w:fill="auto"/>
            <w:vAlign w:val="center"/>
          </w:tcPr>
          <w:p w14:paraId="3C6E7544"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40 </w:t>
            </w:r>
          </w:p>
        </w:tc>
      </w:tr>
      <w:tr w:rsidR="00C42353" w:rsidRPr="00537AE7" w14:paraId="601972C1" w14:textId="77777777" w:rsidTr="00DC166E">
        <w:trPr>
          <w:trHeight w:val="238"/>
          <w:jc w:val="center"/>
        </w:trPr>
        <w:tc>
          <w:tcPr>
            <w:tcW w:w="2909" w:type="dxa"/>
            <w:shd w:val="clear" w:color="auto" w:fill="auto"/>
            <w:vAlign w:val="center"/>
          </w:tcPr>
          <w:p w14:paraId="295356F2" w14:textId="77777777" w:rsidR="00C42353" w:rsidRPr="00537AE7"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despesas</w:t>
            </w:r>
          </w:p>
        </w:tc>
        <w:tc>
          <w:tcPr>
            <w:tcW w:w="1346" w:type="dxa"/>
            <w:shd w:val="clear" w:color="auto" w:fill="auto"/>
            <w:vAlign w:val="center"/>
          </w:tcPr>
          <w:p w14:paraId="7D3B3BFB"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(629.709)</w:t>
            </w:r>
          </w:p>
        </w:tc>
        <w:tc>
          <w:tcPr>
            <w:tcW w:w="1346" w:type="dxa"/>
            <w:shd w:val="clear" w:color="auto" w:fill="auto"/>
            <w:vAlign w:val="center"/>
          </w:tcPr>
          <w:p w14:paraId="6479039E"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(1.838)</w:t>
            </w:r>
          </w:p>
        </w:tc>
        <w:tc>
          <w:tcPr>
            <w:tcW w:w="1346" w:type="dxa"/>
            <w:shd w:val="clear" w:color="auto" w:fill="auto"/>
            <w:vAlign w:val="center"/>
          </w:tcPr>
          <w:p w14:paraId="118CB2EC"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(35.862)</w:t>
            </w:r>
          </w:p>
        </w:tc>
        <w:tc>
          <w:tcPr>
            <w:tcW w:w="1346" w:type="dxa"/>
            <w:shd w:val="clear" w:color="auto" w:fill="auto"/>
            <w:vAlign w:val="center"/>
          </w:tcPr>
          <w:p w14:paraId="5DB8B823"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(150.451)</w:t>
            </w:r>
          </w:p>
        </w:tc>
        <w:tc>
          <w:tcPr>
            <w:tcW w:w="1346" w:type="dxa"/>
            <w:shd w:val="clear" w:color="auto" w:fill="auto"/>
            <w:vAlign w:val="center"/>
          </w:tcPr>
          <w:p w14:paraId="127CFD98" w14:textId="77777777" w:rsidR="00C42353" w:rsidRPr="00DC166E" w:rsidRDefault="00C42353" w:rsidP="00DC166E">
            <w:pPr>
              <w:keepNext/>
              <w:keepLines/>
              <w:spacing w:before="40" w:after="40" w:line="240" w:lineRule="auto"/>
              <w:jc w:val="right"/>
              <w:rPr>
                <w:rFonts w:eastAsia="Times New Roman" w:cs="Arial"/>
                <w:spacing w:val="-2"/>
                <w:sz w:val="14"/>
                <w:szCs w:val="14"/>
                <w:lang w:eastAsia="pt-BR"/>
              </w:rPr>
            </w:pPr>
            <w:r w:rsidRPr="00DC166E">
              <w:rPr>
                <w:rFonts w:cs="Arial"/>
                <w:sz w:val="14"/>
                <w:szCs w:val="14"/>
              </w:rPr>
              <w:t xml:space="preserve">  -- </w:t>
            </w:r>
          </w:p>
        </w:tc>
      </w:tr>
      <w:tr w:rsidR="00C42353" w:rsidRPr="00DC166E" w14:paraId="5F645EC1" w14:textId="77777777" w:rsidTr="00DC166E">
        <w:trPr>
          <w:trHeight w:val="238"/>
          <w:jc w:val="center"/>
        </w:trPr>
        <w:tc>
          <w:tcPr>
            <w:tcW w:w="2909" w:type="dxa"/>
            <w:shd w:val="clear" w:color="auto" w:fill="auto"/>
            <w:vAlign w:val="center"/>
          </w:tcPr>
          <w:p w14:paraId="4B543B57"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Resultado operacional</w:t>
            </w:r>
          </w:p>
        </w:tc>
        <w:tc>
          <w:tcPr>
            <w:tcW w:w="1346" w:type="dxa"/>
            <w:shd w:val="clear" w:color="auto" w:fill="auto"/>
            <w:vAlign w:val="center"/>
          </w:tcPr>
          <w:p w14:paraId="797561A7"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1.600.745 </w:t>
            </w:r>
          </w:p>
        </w:tc>
        <w:tc>
          <w:tcPr>
            <w:tcW w:w="1346" w:type="dxa"/>
            <w:shd w:val="clear" w:color="auto" w:fill="auto"/>
            <w:vAlign w:val="center"/>
          </w:tcPr>
          <w:p w14:paraId="273036D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14.559 </w:t>
            </w:r>
          </w:p>
        </w:tc>
        <w:tc>
          <w:tcPr>
            <w:tcW w:w="1346" w:type="dxa"/>
            <w:shd w:val="clear" w:color="auto" w:fill="auto"/>
            <w:vAlign w:val="center"/>
          </w:tcPr>
          <w:p w14:paraId="7FB46A4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35.461 </w:t>
            </w:r>
          </w:p>
        </w:tc>
        <w:tc>
          <w:tcPr>
            <w:tcW w:w="1346" w:type="dxa"/>
            <w:shd w:val="clear" w:color="auto" w:fill="auto"/>
            <w:vAlign w:val="center"/>
          </w:tcPr>
          <w:p w14:paraId="475D60DC"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3.264.171 </w:t>
            </w:r>
          </w:p>
        </w:tc>
        <w:tc>
          <w:tcPr>
            <w:tcW w:w="1346" w:type="dxa"/>
            <w:shd w:val="clear" w:color="auto" w:fill="auto"/>
            <w:vAlign w:val="center"/>
          </w:tcPr>
          <w:p w14:paraId="6459AD90"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(16.85</w:t>
            </w:r>
            <w:r>
              <w:rPr>
                <w:rFonts w:cs="Arial"/>
                <w:b/>
                <w:sz w:val="14"/>
                <w:szCs w:val="14"/>
              </w:rPr>
              <w:t>6</w:t>
            </w:r>
            <w:r w:rsidRPr="00DC166E">
              <w:rPr>
                <w:rFonts w:cs="Arial"/>
                <w:b/>
                <w:sz w:val="14"/>
                <w:szCs w:val="14"/>
              </w:rPr>
              <w:t>)</w:t>
            </w:r>
          </w:p>
        </w:tc>
      </w:tr>
      <w:tr w:rsidR="00C42353" w:rsidRPr="002D6136" w14:paraId="4DE8D362" w14:textId="77777777" w:rsidTr="00DC166E">
        <w:trPr>
          <w:trHeight w:val="238"/>
          <w:jc w:val="center"/>
        </w:trPr>
        <w:tc>
          <w:tcPr>
            <w:tcW w:w="2909" w:type="dxa"/>
            <w:shd w:val="clear" w:color="auto" w:fill="auto"/>
            <w:vAlign w:val="center"/>
          </w:tcPr>
          <w:p w14:paraId="2893EC1B" w14:textId="77777777" w:rsidR="00C42353" w:rsidRPr="00D96C18"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D96C18">
              <w:rPr>
                <w:rFonts w:eastAsia="Times New Roman" w:cs="Arial"/>
                <w:bCs/>
                <w:color w:val="000000"/>
                <w:spacing w:val="-2"/>
                <w:sz w:val="14"/>
                <w:szCs w:val="14"/>
                <w:lang w:eastAsia="pt-BR"/>
              </w:rPr>
              <w:t>Ganhos/perdas com ativos não correntes</w:t>
            </w:r>
          </w:p>
        </w:tc>
        <w:tc>
          <w:tcPr>
            <w:tcW w:w="1346" w:type="dxa"/>
            <w:shd w:val="clear" w:color="auto" w:fill="auto"/>
            <w:vAlign w:val="center"/>
          </w:tcPr>
          <w:p w14:paraId="4DD5810E"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(191)</w:t>
            </w:r>
          </w:p>
        </w:tc>
        <w:tc>
          <w:tcPr>
            <w:tcW w:w="1346" w:type="dxa"/>
            <w:shd w:val="clear" w:color="auto" w:fill="auto"/>
            <w:vAlign w:val="center"/>
          </w:tcPr>
          <w:p w14:paraId="12C4C73D"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(2)</w:t>
            </w:r>
          </w:p>
        </w:tc>
        <w:tc>
          <w:tcPr>
            <w:tcW w:w="1346" w:type="dxa"/>
            <w:shd w:val="clear" w:color="auto" w:fill="auto"/>
            <w:vAlign w:val="center"/>
          </w:tcPr>
          <w:p w14:paraId="221C17C6"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 </w:t>
            </w:r>
          </w:p>
        </w:tc>
        <w:tc>
          <w:tcPr>
            <w:tcW w:w="1346" w:type="dxa"/>
            <w:shd w:val="clear" w:color="auto" w:fill="auto"/>
            <w:vAlign w:val="center"/>
          </w:tcPr>
          <w:p w14:paraId="2AC8CBA4"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 </w:t>
            </w:r>
          </w:p>
        </w:tc>
        <w:tc>
          <w:tcPr>
            <w:tcW w:w="1346" w:type="dxa"/>
            <w:shd w:val="clear" w:color="auto" w:fill="auto"/>
            <w:vAlign w:val="center"/>
          </w:tcPr>
          <w:p w14:paraId="74391BB5"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10 </w:t>
            </w:r>
          </w:p>
        </w:tc>
      </w:tr>
      <w:tr w:rsidR="00C42353" w:rsidRPr="00DC166E" w14:paraId="55A411A0" w14:textId="77777777" w:rsidTr="00DC166E">
        <w:trPr>
          <w:trHeight w:val="238"/>
          <w:jc w:val="center"/>
        </w:trPr>
        <w:tc>
          <w:tcPr>
            <w:tcW w:w="2909" w:type="dxa"/>
            <w:shd w:val="clear" w:color="auto" w:fill="auto"/>
            <w:vAlign w:val="center"/>
          </w:tcPr>
          <w:p w14:paraId="78022E57"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Resultado antes dos impostos</w:t>
            </w:r>
          </w:p>
        </w:tc>
        <w:tc>
          <w:tcPr>
            <w:tcW w:w="1346" w:type="dxa"/>
            <w:shd w:val="clear" w:color="auto" w:fill="auto"/>
            <w:vAlign w:val="center"/>
          </w:tcPr>
          <w:p w14:paraId="06B8B459"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1.600.554 </w:t>
            </w:r>
          </w:p>
        </w:tc>
        <w:tc>
          <w:tcPr>
            <w:tcW w:w="1346" w:type="dxa"/>
            <w:shd w:val="clear" w:color="auto" w:fill="auto"/>
            <w:vAlign w:val="center"/>
          </w:tcPr>
          <w:p w14:paraId="76EB6DCE"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14.557 </w:t>
            </w:r>
          </w:p>
        </w:tc>
        <w:tc>
          <w:tcPr>
            <w:tcW w:w="1346" w:type="dxa"/>
            <w:shd w:val="clear" w:color="auto" w:fill="auto"/>
            <w:vAlign w:val="center"/>
          </w:tcPr>
          <w:p w14:paraId="40E06FDF"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35.461 </w:t>
            </w:r>
          </w:p>
        </w:tc>
        <w:tc>
          <w:tcPr>
            <w:tcW w:w="1346" w:type="dxa"/>
            <w:shd w:val="clear" w:color="auto" w:fill="auto"/>
            <w:vAlign w:val="center"/>
          </w:tcPr>
          <w:p w14:paraId="7D30978C"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3.264.171 </w:t>
            </w:r>
          </w:p>
        </w:tc>
        <w:tc>
          <w:tcPr>
            <w:tcW w:w="1346" w:type="dxa"/>
            <w:shd w:val="clear" w:color="auto" w:fill="auto"/>
            <w:vAlign w:val="center"/>
          </w:tcPr>
          <w:p w14:paraId="4C32D86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(16.84</w:t>
            </w:r>
            <w:r>
              <w:rPr>
                <w:rFonts w:cs="Arial"/>
                <w:b/>
                <w:sz w:val="14"/>
                <w:szCs w:val="14"/>
              </w:rPr>
              <w:t>6</w:t>
            </w:r>
            <w:r w:rsidRPr="00DC166E">
              <w:rPr>
                <w:rFonts w:cs="Arial"/>
                <w:b/>
                <w:sz w:val="14"/>
                <w:szCs w:val="14"/>
              </w:rPr>
              <w:t>)</w:t>
            </w:r>
          </w:p>
        </w:tc>
      </w:tr>
      <w:tr w:rsidR="00C42353" w:rsidRPr="00082F42" w14:paraId="23901211" w14:textId="77777777" w:rsidTr="00DC166E">
        <w:trPr>
          <w:trHeight w:val="238"/>
          <w:jc w:val="center"/>
        </w:trPr>
        <w:tc>
          <w:tcPr>
            <w:tcW w:w="2909" w:type="dxa"/>
            <w:shd w:val="clear" w:color="auto" w:fill="auto"/>
            <w:vAlign w:val="center"/>
          </w:tcPr>
          <w:p w14:paraId="124501CB" w14:textId="77777777" w:rsidR="00C42353" w:rsidRPr="00082F42"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082F42">
              <w:rPr>
                <w:rFonts w:eastAsia="Times New Roman" w:cs="Arial"/>
                <w:bCs/>
                <w:color w:val="000000"/>
                <w:spacing w:val="-2"/>
                <w:sz w:val="14"/>
                <w:szCs w:val="14"/>
                <w:lang w:eastAsia="pt-BR"/>
              </w:rPr>
              <w:t xml:space="preserve">Impostos </w:t>
            </w:r>
          </w:p>
        </w:tc>
        <w:tc>
          <w:tcPr>
            <w:tcW w:w="1346" w:type="dxa"/>
            <w:shd w:val="clear" w:color="auto" w:fill="auto"/>
            <w:vAlign w:val="center"/>
          </w:tcPr>
          <w:p w14:paraId="7C6273FA" w14:textId="77777777" w:rsidR="00C42353" w:rsidRPr="00DC166E" w:rsidRDefault="00C42353" w:rsidP="00DC166E">
            <w:pPr>
              <w:keepNext/>
              <w:keepLines/>
              <w:spacing w:before="40" w:after="40" w:line="240" w:lineRule="auto"/>
              <w:jc w:val="right"/>
              <w:rPr>
                <w:rFonts w:eastAsia="Times New Roman" w:cs="Arial"/>
                <w:bCs/>
                <w:spacing w:val="-2"/>
                <w:sz w:val="14"/>
                <w:szCs w:val="14"/>
                <w:lang w:eastAsia="pt-BR"/>
              </w:rPr>
            </w:pPr>
            <w:r w:rsidRPr="00DC166E">
              <w:rPr>
                <w:rFonts w:cs="Arial"/>
                <w:sz w:val="14"/>
                <w:szCs w:val="14"/>
              </w:rPr>
              <w:t xml:space="preserve">  (578.677)</w:t>
            </w:r>
          </w:p>
        </w:tc>
        <w:tc>
          <w:tcPr>
            <w:tcW w:w="1346" w:type="dxa"/>
            <w:shd w:val="clear" w:color="auto" w:fill="auto"/>
            <w:vAlign w:val="center"/>
          </w:tcPr>
          <w:p w14:paraId="6808369A" w14:textId="77777777" w:rsidR="00C42353" w:rsidRPr="00DC166E" w:rsidRDefault="00C42353" w:rsidP="00DC166E">
            <w:pPr>
              <w:keepNext/>
              <w:keepLines/>
              <w:spacing w:before="40" w:after="40" w:line="240" w:lineRule="auto"/>
              <w:jc w:val="right"/>
              <w:rPr>
                <w:rFonts w:eastAsia="Times New Roman" w:cs="Arial"/>
                <w:bCs/>
                <w:spacing w:val="-2"/>
                <w:sz w:val="14"/>
                <w:szCs w:val="14"/>
                <w:lang w:eastAsia="pt-BR"/>
              </w:rPr>
            </w:pPr>
            <w:r w:rsidRPr="00DC166E">
              <w:rPr>
                <w:rFonts w:cs="Arial"/>
                <w:sz w:val="14"/>
                <w:szCs w:val="14"/>
              </w:rPr>
              <w:t xml:space="preserve">  (5.124)</w:t>
            </w:r>
          </w:p>
        </w:tc>
        <w:tc>
          <w:tcPr>
            <w:tcW w:w="1346" w:type="dxa"/>
            <w:shd w:val="clear" w:color="auto" w:fill="auto"/>
            <w:vAlign w:val="center"/>
          </w:tcPr>
          <w:p w14:paraId="1E23AAA8" w14:textId="77777777" w:rsidR="00C42353" w:rsidRPr="00DC166E" w:rsidRDefault="00C42353" w:rsidP="00DC166E">
            <w:pPr>
              <w:keepNext/>
              <w:keepLines/>
              <w:spacing w:before="40" w:after="40" w:line="240" w:lineRule="auto"/>
              <w:jc w:val="right"/>
              <w:rPr>
                <w:rFonts w:eastAsia="Times New Roman" w:cs="Arial"/>
                <w:bCs/>
                <w:spacing w:val="-2"/>
                <w:sz w:val="14"/>
                <w:szCs w:val="14"/>
                <w:lang w:eastAsia="pt-BR"/>
              </w:rPr>
            </w:pPr>
            <w:r w:rsidRPr="00DC166E">
              <w:rPr>
                <w:rFonts w:cs="Arial"/>
                <w:sz w:val="14"/>
                <w:szCs w:val="14"/>
              </w:rPr>
              <w:t xml:space="preserve">  (12.142)</w:t>
            </w:r>
          </w:p>
        </w:tc>
        <w:tc>
          <w:tcPr>
            <w:tcW w:w="1346" w:type="dxa"/>
            <w:shd w:val="clear" w:color="auto" w:fill="auto"/>
            <w:vAlign w:val="center"/>
          </w:tcPr>
          <w:p w14:paraId="5956BA68" w14:textId="77777777" w:rsidR="00C42353" w:rsidRPr="00DC166E" w:rsidRDefault="00C42353" w:rsidP="00DC166E">
            <w:pPr>
              <w:keepNext/>
              <w:keepLines/>
              <w:spacing w:before="40" w:after="40" w:line="240" w:lineRule="auto"/>
              <w:jc w:val="right"/>
              <w:rPr>
                <w:rFonts w:eastAsia="Times New Roman" w:cs="Arial"/>
                <w:bCs/>
                <w:spacing w:val="-2"/>
                <w:sz w:val="14"/>
                <w:szCs w:val="14"/>
                <w:lang w:eastAsia="pt-BR"/>
              </w:rPr>
            </w:pPr>
            <w:r w:rsidRPr="00DC166E">
              <w:rPr>
                <w:rFonts w:cs="Arial"/>
                <w:sz w:val="14"/>
                <w:szCs w:val="14"/>
              </w:rPr>
              <w:t xml:space="preserve">  (1.102.132)</w:t>
            </w:r>
          </w:p>
        </w:tc>
        <w:tc>
          <w:tcPr>
            <w:tcW w:w="1346" w:type="dxa"/>
            <w:shd w:val="clear" w:color="auto" w:fill="auto"/>
            <w:vAlign w:val="center"/>
          </w:tcPr>
          <w:p w14:paraId="6F3A1DA4" w14:textId="77777777" w:rsidR="00C42353" w:rsidRPr="00DC166E" w:rsidRDefault="00C42353" w:rsidP="00DC166E">
            <w:pPr>
              <w:keepNext/>
              <w:keepLines/>
              <w:spacing w:before="40" w:after="40" w:line="240" w:lineRule="auto"/>
              <w:jc w:val="right"/>
              <w:rPr>
                <w:rFonts w:eastAsia="Times New Roman" w:cs="Arial"/>
                <w:bCs/>
                <w:spacing w:val="-2"/>
                <w:sz w:val="14"/>
                <w:szCs w:val="14"/>
                <w:lang w:eastAsia="pt-BR"/>
              </w:rPr>
            </w:pPr>
            <w:r w:rsidRPr="00DC166E">
              <w:rPr>
                <w:rFonts w:cs="Arial"/>
                <w:sz w:val="14"/>
                <w:szCs w:val="14"/>
              </w:rPr>
              <w:t xml:space="preserve">  -- </w:t>
            </w:r>
          </w:p>
        </w:tc>
      </w:tr>
      <w:tr w:rsidR="00C42353" w:rsidRPr="00537AE7" w14:paraId="3F2EFA03" w14:textId="77777777" w:rsidTr="00DC166E">
        <w:trPr>
          <w:trHeight w:val="238"/>
          <w:jc w:val="center"/>
        </w:trPr>
        <w:tc>
          <w:tcPr>
            <w:tcW w:w="2909" w:type="dxa"/>
            <w:shd w:val="clear" w:color="auto" w:fill="auto"/>
            <w:vAlign w:val="center"/>
          </w:tcPr>
          <w:p w14:paraId="6911E8D2" w14:textId="77777777" w:rsidR="00C42353" w:rsidRPr="00537AE7" w:rsidRDefault="00C42353" w:rsidP="00DC166E">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bCs/>
                <w:color w:val="000000"/>
                <w:spacing w:val="-2"/>
                <w:sz w:val="14"/>
                <w:szCs w:val="14"/>
                <w:lang w:eastAsia="pt-BR"/>
              </w:rPr>
              <w:t>Participações nos lucros</w:t>
            </w:r>
          </w:p>
        </w:tc>
        <w:tc>
          <w:tcPr>
            <w:tcW w:w="1346" w:type="dxa"/>
            <w:shd w:val="clear" w:color="auto" w:fill="auto"/>
            <w:vAlign w:val="center"/>
          </w:tcPr>
          <w:p w14:paraId="6F1DA78A"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(13.084)</w:t>
            </w:r>
          </w:p>
        </w:tc>
        <w:tc>
          <w:tcPr>
            <w:tcW w:w="1346" w:type="dxa"/>
            <w:shd w:val="clear" w:color="auto" w:fill="auto"/>
            <w:vAlign w:val="center"/>
          </w:tcPr>
          <w:p w14:paraId="5FB13E8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(5.921)</w:t>
            </w:r>
          </w:p>
        </w:tc>
        <w:tc>
          <w:tcPr>
            <w:tcW w:w="1346" w:type="dxa"/>
            <w:shd w:val="clear" w:color="auto" w:fill="auto"/>
            <w:vAlign w:val="center"/>
          </w:tcPr>
          <w:p w14:paraId="2DB7F84A"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(541)</w:t>
            </w:r>
          </w:p>
        </w:tc>
        <w:tc>
          <w:tcPr>
            <w:tcW w:w="1346" w:type="dxa"/>
            <w:shd w:val="clear" w:color="auto" w:fill="auto"/>
            <w:vAlign w:val="center"/>
          </w:tcPr>
          <w:p w14:paraId="05BCFA6A"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 </w:t>
            </w:r>
          </w:p>
        </w:tc>
        <w:tc>
          <w:tcPr>
            <w:tcW w:w="1346" w:type="dxa"/>
            <w:shd w:val="clear" w:color="auto" w:fill="auto"/>
            <w:vAlign w:val="center"/>
          </w:tcPr>
          <w:p w14:paraId="3DDF6B95"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sz w:val="14"/>
                <w:szCs w:val="14"/>
              </w:rPr>
              <w:t xml:space="preserve">  -- </w:t>
            </w:r>
          </w:p>
        </w:tc>
      </w:tr>
      <w:tr w:rsidR="00C42353" w:rsidRPr="00DC166E" w14:paraId="1351C014" w14:textId="77777777" w:rsidTr="00DC166E">
        <w:trPr>
          <w:trHeight w:val="238"/>
          <w:jc w:val="center"/>
        </w:trPr>
        <w:tc>
          <w:tcPr>
            <w:tcW w:w="2909" w:type="dxa"/>
            <w:shd w:val="clear" w:color="auto" w:fill="auto"/>
            <w:vAlign w:val="center"/>
          </w:tcPr>
          <w:p w14:paraId="083A187D"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Lucro (prejuízo) líquido do exercício</w:t>
            </w:r>
          </w:p>
        </w:tc>
        <w:tc>
          <w:tcPr>
            <w:tcW w:w="1346" w:type="dxa"/>
            <w:shd w:val="clear" w:color="auto" w:fill="auto"/>
            <w:vAlign w:val="center"/>
          </w:tcPr>
          <w:p w14:paraId="37CA2D41"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1.008.793 </w:t>
            </w:r>
          </w:p>
        </w:tc>
        <w:tc>
          <w:tcPr>
            <w:tcW w:w="1346" w:type="dxa"/>
            <w:shd w:val="clear" w:color="auto" w:fill="auto"/>
            <w:vAlign w:val="center"/>
          </w:tcPr>
          <w:p w14:paraId="6236F924"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3.512 </w:t>
            </w:r>
          </w:p>
        </w:tc>
        <w:tc>
          <w:tcPr>
            <w:tcW w:w="1346" w:type="dxa"/>
            <w:shd w:val="clear" w:color="auto" w:fill="auto"/>
            <w:vAlign w:val="center"/>
          </w:tcPr>
          <w:p w14:paraId="7200D4CF"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22.778 </w:t>
            </w:r>
          </w:p>
        </w:tc>
        <w:tc>
          <w:tcPr>
            <w:tcW w:w="1346" w:type="dxa"/>
            <w:shd w:val="clear" w:color="auto" w:fill="auto"/>
            <w:vAlign w:val="center"/>
          </w:tcPr>
          <w:p w14:paraId="24F0F745"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2.162.039 </w:t>
            </w:r>
          </w:p>
        </w:tc>
        <w:tc>
          <w:tcPr>
            <w:tcW w:w="1346" w:type="dxa"/>
            <w:shd w:val="clear" w:color="auto" w:fill="auto"/>
            <w:vAlign w:val="center"/>
          </w:tcPr>
          <w:p w14:paraId="4B4AE57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(16.84</w:t>
            </w:r>
            <w:r>
              <w:rPr>
                <w:rFonts w:cs="Arial"/>
                <w:b/>
                <w:sz w:val="14"/>
                <w:szCs w:val="14"/>
              </w:rPr>
              <w:t>6</w:t>
            </w:r>
            <w:r w:rsidRPr="00DC166E">
              <w:rPr>
                <w:rFonts w:cs="Arial"/>
                <w:b/>
                <w:sz w:val="14"/>
                <w:szCs w:val="14"/>
              </w:rPr>
              <w:t>)</w:t>
            </w:r>
          </w:p>
        </w:tc>
      </w:tr>
      <w:tr w:rsidR="00C42353" w:rsidRPr="002D6136" w14:paraId="6BA7AEDD" w14:textId="77777777" w:rsidTr="00DC166E">
        <w:trPr>
          <w:trHeight w:val="238"/>
          <w:jc w:val="center"/>
        </w:trPr>
        <w:tc>
          <w:tcPr>
            <w:tcW w:w="2909" w:type="dxa"/>
            <w:shd w:val="clear" w:color="auto" w:fill="auto"/>
            <w:vAlign w:val="center"/>
          </w:tcPr>
          <w:p w14:paraId="42427B6F" w14:textId="77777777" w:rsidR="00C42353" w:rsidRPr="00D96C18" w:rsidRDefault="00C42353" w:rsidP="00DC166E">
            <w:pPr>
              <w:keepNext/>
              <w:keepLines/>
              <w:spacing w:before="40" w:after="40" w:line="240" w:lineRule="auto"/>
              <w:ind w:left="113"/>
              <w:rPr>
                <w:rFonts w:eastAsia="Times New Roman" w:cs="Arial"/>
                <w:bCs/>
                <w:color w:val="000000"/>
                <w:spacing w:val="-2"/>
                <w:sz w:val="14"/>
                <w:szCs w:val="14"/>
                <w:lang w:eastAsia="pt-BR"/>
              </w:rPr>
            </w:pPr>
            <w:r w:rsidRPr="00D96C18">
              <w:rPr>
                <w:rFonts w:eastAsia="Times New Roman" w:cs="Arial"/>
                <w:bCs/>
                <w:color w:val="000000"/>
                <w:spacing w:val="-2"/>
                <w:sz w:val="14"/>
                <w:szCs w:val="14"/>
                <w:lang w:eastAsia="pt-BR"/>
              </w:rPr>
              <w:t>Outros resultados abrangentes</w:t>
            </w:r>
          </w:p>
        </w:tc>
        <w:tc>
          <w:tcPr>
            <w:tcW w:w="1346" w:type="dxa"/>
            <w:shd w:val="clear" w:color="auto" w:fill="auto"/>
            <w:vAlign w:val="center"/>
          </w:tcPr>
          <w:p w14:paraId="0B8625B2"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(447)</w:t>
            </w:r>
          </w:p>
        </w:tc>
        <w:tc>
          <w:tcPr>
            <w:tcW w:w="1346" w:type="dxa"/>
            <w:shd w:val="clear" w:color="auto" w:fill="auto"/>
            <w:vAlign w:val="center"/>
          </w:tcPr>
          <w:p w14:paraId="3460E55F"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(90.927)</w:t>
            </w:r>
          </w:p>
        </w:tc>
        <w:tc>
          <w:tcPr>
            <w:tcW w:w="1346" w:type="dxa"/>
            <w:shd w:val="clear" w:color="auto" w:fill="auto"/>
            <w:vAlign w:val="center"/>
          </w:tcPr>
          <w:p w14:paraId="044C40D6"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 </w:t>
            </w:r>
          </w:p>
        </w:tc>
        <w:tc>
          <w:tcPr>
            <w:tcW w:w="1346" w:type="dxa"/>
            <w:shd w:val="clear" w:color="auto" w:fill="auto"/>
            <w:vAlign w:val="center"/>
          </w:tcPr>
          <w:p w14:paraId="7C60049D"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 </w:t>
            </w:r>
          </w:p>
        </w:tc>
        <w:tc>
          <w:tcPr>
            <w:tcW w:w="1346" w:type="dxa"/>
            <w:shd w:val="clear" w:color="auto" w:fill="auto"/>
            <w:vAlign w:val="center"/>
          </w:tcPr>
          <w:p w14:paraId="0A9E080E" w14:textId="77777777" w:rsidR="00C42353" w:rsidRPr="00DC166E" w:rsidRDefault="00C42353" w:rsidP="00DC166E">
            <w:pPr>
              <w:keepNext/>
              <w:keepLines/>
              <w:spacing w:before="40" w:after="40" w:line="240" w:lineRule="auto"/>
              <w:ind w:left="113"/>
              <w:jc w:val="right"/>
              <w:rPr>
                <w:rFonts w:eastAsia="Times New Roman" w:cs="Arial"/>
                <w:bCs/>
                <w:color w:val="000000"/>
                <w:spacing w:val="-2"/>
                <w:sz w:val="14"/>
                <w:szCs w:val="14"/>
                <w:lang w:eastAsia="pt-BR"/>
              </w:rPr>
            </w:pPr>
            <w:r w:rsidRPr="00DC166E">
              <w:rPr>
                <w:rFonts w:cs="Arial"/>
                <w:sz w:val="14"/>
                <w:szCs w:val="14"/>
              </w:rPr>
              <w:t xml:space="preserve">  -- </w:t>
            </w:r>
          </w:p>
        </w:tc>
      </w:tr>
      <w:tr w:rsidR="00C42353" w:rsidRPr="00DC166E" w14:paraId="16283D49" w14:textId="77777777" w:rsidTr="00DC166E">
        <w:trPr>
          <w:trHeight w:val="238"/>
          <w:jc w:val="center"/>
        </w:trPr>
        <w:tc>
          <w:tcPr>
            <w:tcW w:w="2909" w:type="dxa"/>
            <w:shd w:val="clear" w:color="auto" w:fill="auto"/>
            <w:vAlign w:val="center"/>
          </w:tcPr>
          <w:p w14:paraId="1AEC53D1"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Resultado abrangente total</w:t>
            </w:r>
          </w:p>
        </w:tc>
        <w:tc>
          <w:tcPr>
            <w:tcW w:w="1346" w:type="dxa"/>
            <w:shd w:val="clear" w:color="auto" w:fill="auto"/>
            <w:vAlign w:val="center"/>
          </w:tcPr>
          <w:p w14:paraId="77583265"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1.008.346 </w:t>
            </w:r>
          </w:p>
        </w:tc>
        <w:tc>
          <w:tcPr>
            <w:tcW w:w="1346" w:type="dxa"/>
            <w:shd w:val="clear" w:color="auto" w:fill="auto"/>
            <w:vAlign w:val="center"/>
          </w:tcPr>
          <w:p w14:paraId="0D9232BF"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(87.415)</w:t>
            </w:r>
          </w:p>
        </w:tc>
        <w:tc>
          <w:tcPr>
            <w:tcW w:w="1346" w:type="dxa"/>
            <w:shd w:val="clear" w:color="auto" w:fill="auto"/>
            <w:vAlign w:val="center"/>
          </w:tcPr>
          <w:p w14:paraId="3CB18C2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22.778 </w:t>
            </w:r>
          </w:p>
        </w:tc>
        <w:tc>
          <w:tcPr>
            <w:tcW w:w="1346" w:type="dxa"/>
            <w:shd w:val="clear" w:color="auto" w:fill="auto"/>
            <w:vAlign w:val="center"/>
          </w:tcPr>
          <w:p w14:paraId="025A6194"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2.162.039 </w:t>
            </w:r>
          </w:p>
        </w:tc>
        <w:tc>
          <w:tcPr>
            <w:tcW w:w="1346" w:type="dxa"/>
            <w:shd w:val="clear" w:color="auto" w:fill="auto"/>
            <w:vAlign w:val="center"/>
          </w:tcPr>
          <w:p w14:paraId="605E211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(16.84</w:t>
            </w:r>
            <w:r>
              <w:rPr>
                <w:rFonts w:cs="Arial"/>
                <w:b/>
                <w:sz w:val="14"/>
                <w:szCs w:val="14"/>
              </w:rPr>
              <w:t>6</w:t>
            </w:r>
            <w:r w:rsidRPr="00DC166E">
              <w:rPr>
                <w:rFonts w:cs="Arial"/>
                <w:b/>
                <w:sz w:val="14"/>
                <w:szCs w:val="14"/>
              </w:rPr>
              <w:t>)</w:t>
            </w:r>
          </w:p>
        </w:tc>
      </w:tr>
      <w:tr w:rsidR="00C42353" w:rsidRPr="00DC166E" w14:paraId="2FFAA527" w14:textId="77777777" w:rsidTr="00DC166E">
        <w:trPr>
          <w:trHeight w:val="238"/>
          <w:jc w:val="center"/>
        </w:trPr>
        <w:tc>
          <w:tcPr>
            <w:tcW w:w="2909" w:type="dxa"/>
            <w:shd w:val="clear" w:color="auto" w:fill="auto"/>
            <w:vAlign w:val="center"/>
          </w:tcPr>
          <w:p w14:paraId="20C3E067"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Atribuível à BB Seguridade</w:t>
            </w:r>
          </w:p>
        </w:tc>
        <w:tc>
          <w:tcPr>
            <w:tcW w:w="1346" w:type="dxa"/>
            <w:shd w:val="clear" w:color="auto" w:fill="auto"/>
            <w:vAlign w:val="center"/>
          </w:tcPr>
          <w:p w14:paraId="1584A2D1"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756.544 </w:t>
            </w:r>
          </w:p>
        </w:tc>
        <w:tc>
          <w:tcPr>
            <w:tcW w:w="1346" w:type="dxa"/>
            <w:shd w:val="clear" w:color="auto" w:fill="auto"/>
            <w:vAlign w:val="center"/>
          </w:tcPr>
          <w:p w14:paraId="1C66E5C6"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2.341 </w:t>
            </w:r>
          </w:p>
        </w:tc>
        <w:tc>
          <w:tcPr>
            <w:tcW w:w="1346" w:type="dxa"/>
            <w:shd w:val="clear" w:color="auto" w:fill="auto"/>
            <w:vAlign w:val="center"/>
          </w:tcPr>
          <w:p w14:paraId="32899919"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17.083 </w:t>
            </w:r>
          </w:p>
        </w:tc>
        <w:tc>
          <w:tcPr>
            <w:tcW w:w="1346" w:type="dxa"/>
            <w:shd w:val="clear" w:color="auto" w:fill="auto"/>
            <w:vAlign w:val="center"/>
          </w:tcPr>
          <w:p w14:paraId="63C32873"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2.162.039 </w:t>
            </w:r>
          </w:p>
        </w:tc>
        <w:tc>
          <w:tcPr>
            <w:tcW w:w="1346" w:type="dxa"/>
            <w:shd w:val="clear" w:color="auto" w:fill="auto"/>
            <w:vAlign w:val="center"/>
          </w:tcPr>
          <w:p w14:paraId="50F3B1D9"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(12.633)</w:t>
            </w:r>
          </w:p>
        </w:tc>
      </w:tr>
      <w:tr w:rsidR="00C42353" w:rsidRPr="00DC166E" w14:paraId="04269236" w14:textId="77777777" w:rsidTr="00DC166E">
        <w:trPr>
          <w:trHeight w:val="238"/>
          <w:jc w:val="center"/>
        </w:trPr>
        <w:tc>
          <w:tcPr>
            <w:tcW w:w="2909" w:type="dxa"/>
            <w:tcBorders>
              <w:bottom w:val="single" w:sz="2" w:space="0" w:color="1F4E79" w:themeColor="accent1" w:themeShade="80"/>
            </w:tcBorders>
            <w:shd w:val="clear" w:color="auto" w:fill="auto"/>
            <w:vAlign w:val="center"/>
          </w:tcPr>
          <w:p w14:paraId="3D9EA268" w14:textId="77777777" w:rsidR="00C42353" w:rsidRPr="00DC166E" w:rsidRDefault="00C42353" w:rsidP="00DC166E">
            <w:pPr>
              <w:keepNext/>
              <w:keepLines/>
              <w:spacing w:before="40" w:after="40" w:line="240" w:lineRule="auto"/>
              <w:rPr>
                <w:rFonts w:eastAsia="Times New Roman" w:cs="Arial"/>
                <w:b/>
                <w:color w:val="000000"/>
                <w:spacing w:val="-2"/>
                <w:sz w:val="14"/>
                <w:szCs w:val="14"/>
                <w:lang w:eastAsia="pt-BR"/>
              </w:rPr>
            </w:pPr>
            <w:r w:rsidRPr="00DC166E">
              <w:rPr>
                <w:rFonts w:eastAsia="Times New Roman" w:cs="Arial"/>
                <w:b/>
                <w:color w:val="000000"/>
                <w:spacing w:val="-2"/>
                <w:sz w:val="14"/>
                <w:szCs w:val="14"/>
                <w:lang w:eastAsia="pt-BR"/>
              </w:rPr>
              <w:t>Resultado de equivalência</w:t>
            </w:r>
          </w:p>
        </w:tc>
        <w:tc>
          <w:tcPr>
            <w:tcW w:w="1346" w:type="dxa"/>
            <w:tcBorders>
              <w:bottom w:val="single" w:sz="2" w:space="0" w:color="1F4E79" w:themeColor="accent1" w:themeShade="80"/>
            </w:tcBorders>
            <w:shd w:val="clear" w:color="auto" w:fill="auto"/>
            <w:vAlign w:val="center"/>
          </w:tcPr>
          <w:p w14:paraId="09C95670"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756.544 </w:t>
            </w:r>
          </w:p>
        </w:tc>
        <w:tc>
          <w:tcPr>
            <w:tcW w:w="1346" w:type="dxa"/>
            <w:tcBorders>
              <w:bottom w:val="single" w:sz="2" w:space="0" w:color="1F4E79" w:themeColor="accent1" w:themeShade="80"/>
            </w:tcBorders>
            <w:shd w:val="clear" w:color="auto" w:fill="auto"/>
            <w:vAlign w:val="center"/>
          </w:tcPr>
          <w:p w14:paraId="0C05B453"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2.341 </w:t>
            </w:r>
          </w:p>
        </w:tc>
        <w:tc>
          <w:tcPr>
            <w:tcW w:w="1346" w:type="dxa"/>
            <w:tcBorders>
              <w:bottom w:val="single" w:sz="2" w:space="0" w:color="1F4E79" w:themeColor="accent1" w:themeShade="80"/>
            </w:tcBorders>
            <w:shd w:val="clear" w:color="auto" w:fill="auto"/>
            <w:vAlign w:val="center"/>
          </w:tcPr>
          <w:p w14:paraId="51E37904"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17.083 </w:t>
            </w:r>
          </w:p>
        </w:tc>
        <w:tc>
          <w:tcPr>
            <w:tcW w:w="1346" w:type="dxa"/>
            <w:tcBorders>
              <w:bottom w:val="single" w:sz="2" w:space="0" w:color="1F4E79" w:themeColor="accent1" w:themeShade="80"/>
            </w:tcBorders>
            <w:shd w:val="clear" w:color="auto" w:fill="auto"/>
            <w:vAlign w:val="center"/>
          </w:tcPr>
          <w:p w14:paraId="1EA67662"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2.162.039 </w:t>
            </w:r>
          </w:p>
        </w:tc>
        <w:tc>
          <w:tcPr>
            <w:tcW w:w="1346" w:type="dxa"/>
            <w:tcBorders>
              <w:bottom w:val="single" w:sz="2" w:space="0" w:color="1F4E79" w:themeColor="accent1" w:themeShade="80"/>
            </w:tcBorders>
            <w:shd w:val="clear" w:color="auto" w:fill="auto"/>
            <w:vAlign w:val="center"/>
          </w:tcPr>
          <w:p w14:paraId="73183E9A" w14:textId="77777777" w:rsidR="00C42353" w:rsidRPr="00DC166E" w:rsidRDefault="00C42353" w:rsidP="00DC166E">
            <w:pPr>
              <w:keepNext/>
              <w:keepLines/>
              <w:spacing w:before="40" w:after="40" w:line="240" w:lineRule="auto"/>
              <w:jc w:val="right"/>
              <w:rPr>
                <w:rFonts w:eastAsia="Times New Roman" w:cs="Arial"/>
                <w:b/>
                <w:spacing w:val="-2"/>
                <w:sz w:val="14"/>
                <w:szCs w:val="14"/>
                <w:lang w:eastAsia="pt-BR"/>
              </w:rPr>
            </w:pPr>
            <w:r w:rsidRPr="00DC166E">
              <w:rPr>
                <w:rFonts w:cs="Arial"/>
                <w:b/>
                <w:sz w:val="14"/>
                <w:szCs w:val="14"/>
              </w:rPr>
              <w:t xml:space="preserve"> (12.633)</w:t>
            </w:r>
          </w:p>
        </w:tc>
      </w:tr>
    </w:tbl>
    <w:p w14:paraId="56C3C342" w14:textId="77777777" w:rsidR="00C42353" w:rsidRPr="00074461" w:rsidRDefault="00C42353" w:rsidP="00A013E5">
      <w:pPr>
        <w:spacing w:line="257" w:lineRule="auto"/>
        <w:ind w:left="284"/>
        <w:contextualSpacing/>
        <w:jc w:val="both"/>
        <w:rPr>
          <w:rFonts w:eastAsia="Times New Roman" w:cs="Times New Roman"/>
          <w:spacing w:val="-2"/>
          <w:sz w:val="14"/>
          <w:szCs w:val="18"/>
          <w:lang w:eastAsia="pt-BR"/>
        </w:rPr>
      </w:pPr>
    </w:p>
    <w:p w14:paraId="2F26AA2C" w14:textId="77777777" w:rsidR="00C42353" w:rsidRPr="00537AE7" w:rsidRDefault="00C42353" w:rsidP="00537AE7">
      <w:pPr>
        <w:keepNext/>
        <w:keepLines/>
        <w:spacing w:after="0"/>
        <w:jc w:val="right"/>
        <w:rPr>
          <w:rFonts w:cs="Arial"/>
          <w:b/>
          <w:sz w:val="14"/>
          <w:szCs w:val="18"/>
        </w:rPr>
      </w:pPr>
      <w:r w:rsidRPr="00537AE7">
        <w:rPr>
          <w:rFonts w:cs="Arial"/>
          <w:b/>
          <w:sz w:val="14"/>
          <w:szCs w:val="18"/>
        </w:rPr>
        <w:lastRenderedPageBreak/>
        <w:t>R$ mil</w:t>
      </w:r>
    </w:p>
    <w:tbl>
      <w:tblPr>
        <w:tblW w:w="9639" w:type="dxa"/>
        <w:jc w:val="center"/>
        <w:tblLayout w:type="fixed"/>
        <w:tblLook w:val="04A0" w:firstRow="1" w:lastRow="0" w:firstColumn="1" w:lastColumn="0" w:noHBand="0" w:noVBand="1"/>
      </w:tblPr>
      <w:tblGrid>
        <w:gridCol w:w="2909"/>
        <w:gridCol w:w="69"/>
        <w:gridCol w:w="1277"/>
        <w:gridCol w:w="46"/>
        <w:gridCol w:w="1300"/>
        <w:gridCol w:w="23"/>
        <w:gridCol w:w="1323"/>
        <w:gridCol w:w="1346"/>
        <w:gridCol w:w="1346"/>
      </w:tblGrid>
      <w:tr w:rsidR="00C42353" w:rsidRPr="00A92D78" w14:paraId="2069683C" w14:textId="77777777" w:rsidTr="0064478A">
        <w:trPr>
          <w:trHeight w:val="238"/>
          <w:jc w:val="center"/>
        </w:trPr>
        <w:tc>
          <w:tcPr>
            <w:tcW w:w="2978" w:type="dxa"/>
            <w:gridSpan w:val="2"/>
            <w:tcBorders>
              <w:top w:val="single" w:sz="2" w:space="0" w:color="1F4E79" w:themeColor="accent1" w:themeShade="80"/>
              <w:bottom w:val="single" w:sz="2" w:space="0" w:color="1F4E79" w:themeColor="accent1" w:themeShade="80"/>
            </w:tcBorders>
            <w:shd w:val="clear" w:color="auto" w:fill="auto"/>
            <w:vAlign w:val="center"/>
          </w:tcPr>
          <w:p w14:paraId="795B22BD"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Segmento</w:t>
            </w:r>
          </w:p>
        </w:tc>
        <w:tc>
          <w:tcPr>
            <w:tcW w:w="3969" w:type="dxa"/>
            <w:gridSpan w:val="5"/>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85094D0"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Seguridade</w:t>
            </w:r>
          </w:p>
        </w:tc>
        <w:tc>
          <w:tcPr>
            <w:tcW w:w="2692"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669B5A0"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Corretagem</w:t>
            </w:r>
          </w:p>
        </w:tc>
      </w:tr>
      <w:tr w:rsidR="00C42353" w:rsidRPr="00A92D78" w14:paraId="16835B94" w14:textId="77777777" w:rsidTr="00EF41C6">
        <w:trPr>
          <w:trHeight w:val="238"/>
          <w:jc w:val="center"/>
        </w:trPr>
        <w:tc>
          <w:tcPr>
            <w:tcW w:w="2978" w:type="dxa"/>
            <w:gridSpan w:val="2"/>
            <w:tcBorders>
              <w:top w:val="single" w:sz="2" w:space="0" w:color="1F4E79" w:themeColor="accent1" w:themeShade="80"/>
              <w:bottom w:val="single" w:sz="2" w:space="0" w:color="1F4E79" w:themeColor="accent1" w:themeShade="80"/>
            </w:tcBorders>
            <w:shd w:val="clear" w:color="auto" w:fill="auto"/>
            <w:vAlign w:val="center"/>
          </w:tcPr>
          <w:p w14:paraId="06D0869D"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Ramo de atuação</w:t>
            </w:r>
          </w:p>
        </w:tc>
        <w:tc>
          <w:tcPr>
            <w:tcW w:w="1323" w:type="dxa"/>
            <w:gridSpan w:val="2"/>
            <w:tcBorders>
              <w:top w:val="single" w:sz="2" w:space="0" w:color="1F4E79" w:themeColor="accent1" w:themeShade="80"/>
              <w:bottom w:val="single" w:sz="2" w:space="0" w:color="1F4E79" w:themeColor="accent1" w:themeShade="80"/>
            </w:tcBorders>
            <w:shd w:val="clear" w:color="auto" w:fill="auto"/>
            <w:vAlign w:val="center"/>
          </w:tcPr>
          <w:p w14:paraId="08C8ED16"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Previdência Privada</w:t>
            </w:r>
          </w:p>
        </w:tc>
        <w:tc>
          <w:tcPr>
            <w:tcW w:w="1323" w:type="dxa"/>
            <w:gridSpan w:val="2"/>
            <w:tcBorders>
              <w:top w:val="single" w:sz="2" w:space="0" w:color="1F4E79" w:themeColor="accent1" w:themeShade="80"/>
              <w:bottom w:val="single" w:sz="2" w:space="0" w:color="1F4E79" w:themeColor="accent1" w:themeShade="80"/>
            </w:tcBorders>
            <w:shd w:val="clear" w:color="auto" w:fill="auto"/>
            <w:vAlign w:val="center"/>
          </w:tcPr>
          <w:p w14:paraId="1F3C1360"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Capitalização</w:t>
            </w:r>
          </w:p>
        </w:tc>
        <w:tc>
          <w:tcPr>
            <w:tcW w:w="1323"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5EC00E0F" w14:textId="77777777" w:rsidR="00C42353" w:rsidRPr="00A92D78" w:rsidRDefault="00C42353" w:rsidP="00537AE7">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Saúde</w:t>
            </w:r>
          </w:p>
        </w:tc>
        <w:tc>
          <w:tcPr>
            <w:tcW w:w="134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8E83A88" w14:textId="77777777" w:rsidR="00C42353" w:rsidRPr="0042269C" w:rsidRDefault="00C42353" w:rsidP="00537AE7">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Corretagem</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01A2828" w14:textId="77777777" w:rsidR="00C42353" w:rsidRPr="0042269C" w:rsidRDefault="00C42353" w:rsidP="00537AE7">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Corretagem</w:t>
            </w:r>
          </w:p>
        </w:tc>
      </w:tr>
      <w:tr w:rsidR="00C42353" w:rsidRPr="00A92D78" w14:paraId="4E4F9503" w14:textId="77777777" w:rsidTr="00EF41C6">
        <w:trPr>
          <w:trHeight w:val="238"/>
          <w:jc w:val="center"/>
        </w:trPr>
        <w:tc>
          <w:tcPr>
            <w:tcW w:w="2978" w:type="dxa"/>
            <w:gridSpan w:val="2"/>
            <w:tcBorders>
              <w:top w:val="single" w:sz="2" w:space="0" w:color="1F4E79" w:themeColor="accent1" w:themeShade="80"/>
              <w:bottom w:val="single" w:sz="2" w:space="0" w:color="1F4E79" w:themeColor="accent1" w:themeShade="80"/>
            </w:tcBorders>
            <w:shd w:val="clear" w:color="auto" w:fill="auto"/>
            <w:vAlign w:val="center"/>
          </w:tcPr>
          <w:p w14:paraId="485CF676" w14:textId="77777777" w:rsidR="00C42353" w:rsidRPr="00A92D78" w:rsidRDefault="00C42353" w:rsidP="009167E2">
            <w:pPr>
              <w:keepNext/>
              <w:keepLines/>
              <w:spacing w:before="40" w:after="40" w:line="240" w:lineRule="auto"/>
              <w:jc w:val="center"/>
              <w:rPr>
                <w:rFonts w:eastAsia="Times New Roman" w:cs="Arial"/>
                <w:b/>
                <w:spacing w:val="-2"/>
                <w:sz w:val="14"/>
                <w:szCs w:val="14"/>
                <w:lang w:eastAsia="pt-BR"/>
              </w:rPr>
            </w:pPr>
            <w:r>
              <w:rPr>
                <w:rFonts w:cs="Arial"/>
                <w:b/>
                <w:sz w:val="14"/>
                <w:szCs w:val="14"/>
              </w:rPr>
              <w:t>Exercício 2020</w:t>
            </w:r>
          </w:p>
        </w:tc>
        <w:tc>
          <w:tcPr>
            <w:tcW w:w="1323" w:type="dxa"/>
            <w:gridSpan w:val="2"/>
            <w:tcBorders>
              <w:top w:val="single" w:sz="2" w:space="0" w:color="1F4E79" w:themeColor="accent1" w:themeShade="80"/>
              <w:bottom w:val="single" w:sz="2" w:space="0" w:color="1F4E79" w:themeColor="accent1" w:themeShade="80"/>
            </w:tcBorders>
            <w:shd w:val="clear" w:color="auto" w:fill="auto"/>
            <w:vAlign w:val="center"/>
          </w:tcPr>
          <w:p w14:paraId="3167E176" w14:textId="77777777" w:rsidR="00C42353" w:rsidRPr="00A92D78" w:rsidRDefault="00C42353" w:rsidP="009167E2">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Brasilprev</w:t>
            </w:r>
          </w:p>
        </w:tc>
        <w:tc>
          <w:tcPr>
            <w:tcW w:w="1323" w:type="dxa"/>
            <w:gridSpan w:val="2"/>
            <w:tcBorders>
              <w:top w:val="single" w:sz="2" w:space="0" w:color="1F4E79" w:themeColor="accent1" w:themeShade="80"/>
              <w:bottom w:val="single" w:sz="2" w:space="0" w:color="1F4E79" w:themeColor="accent1" w:themeShade="80"/>
            </w:tcBorders>
            <w:shd w:val="clear" w:color="auto" w:fill="auto"/>
            <w:vAlign w:val="center"/>
          </w:tcPr>
          <w:p w14:paraId="7941487A" w14:textId="77777777" w:rsidR="00C42353" w:rsidRPr="00A92D78" w:rsidRDefault="00C42353" w:rsidP="009167E2">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Brasilcap</w:t>
            </w:r>
          </w:p>
        </w:tc>
        <w:tc>
          <w:tcPr>
            <w:tcW w:w="1323" w:type="dxa"/>
            <w:tcBorders>
              <w:top w:val="single" w:sz="2" w:space="0" w:color="1F4E79" w:themeColor="accent1" w:themeShade="80"/>
              <w:bottom w:val="single" w:sz="2" w:space="0" w:color="1F4E79" w:themeColor="accent1" w:themeShade="80"/>
            </w:tcBorders>
            <w:shd w:val="clear" w:color="auto" w:fill="auto"/>
            <w:vAlign w:val="center"/>
          </w:tcPr>
          <w:p w14:paraId="58865DA4" w14:textId="77777777" w:rsidR="00C42353" w:rsidRPr="00A92D78" w:rsidRDefault="00C42353" w:rsidP="009167E2">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Brasildental</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35C33704" w14:textId="77777777" w:rsidR="00C42353" w:rsidRPr="0042269C" w:rsidRDefault="00C42353" w:rsidP="009167E2">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BB Corretora</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1D227783" w14:textId="77777777" w:rsidR="00C42353" w:rsidRPr="0042269C" w:rsidRDefault="00C42353" w:rsidP="009167E2">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Ciclic</w:t>
            </w:r>
          </w:p>
        </w:tc>
      </w:tr>
      <w:tr w:rsidR="00C42353" w:rsidRPr="00BB26E6" w14:paraId="6F76D2B9" w14:textId="77777777" w:rsidTr="00EF41C6">
        <w:trPr>
          <w:trHeight w:val="238"/>
          <w:jc w:val="center"/>
        </w:trPr>
        <w:tc>
          <w:tcPr>
            <w:tcW w:w="2978" w:type="dxa"/>
            <w:gridSpan w:val="2"/>
            <w:tcBorders>
              <w:top w:val="single" w:sz="2" w:space="0" w:color="1F4E79" w:themeColor="accent1" w:themeShade="80"/>
            </w:tcBorders>
            <w:shd w:val="clear" w:color="auto" w:fill="auto"/>
            <w:vAlign w:val="center"/>
          </w:tcPr>
          <w:p w14:paraId="5E146550" w14:textId="77777777" w:rsidR="00C42353" w:rsidRPr="00BB26E6" w:rsidRDefault="00C42353" w:rsidP="003C2409">
            <w:pPr>
              <w:keepNext/>
              <w:keepLines/>
              <w:spacing w:before="40" w:after="40" w:line="240" w:lineRule="auto"/>
              <w:rPr>
                <w:rFonts w:eastAsia="Times New Roman" w:cs="Arial"/>
                <w:b/>
                <w:spacing w:val="-2"/>
                <w:sz w:val="14"/>
                <w:szCs w:val="14"/>
                <w:lang w:eastAsia="pt-BR"/>
              </w:rPr>
            </w:pPr>
            <w:r w:rsidRPr="00BB26E6">
              <w:rPr>
                <w:rFonts w:eastAsia="Times New Roman" w:cs="Arial"/>
                <w:b/>
                <w:spacing w:val="-2"/>
                <w:sz w:val="14"/>
                <w:szCs w:val="14"/>
                <w:lang w:eastAsia="pt-BR"/>
              </w:rPr>
              <w:t>Receitas líquidas das operações/prêmios</w:t>
            </w:r>
          </w:p>
        </w:tc>
        <w:tc>
          <w:tcPr>
            <w:tcW w:w="1323" w:type="dxa"/>
            <w:gridSpan w:val="2"/>
            <w:tcBorders>
              <w:top w:val="single" w:sz="2" w:space="0" w:color="1F4E79" w:themeColor="accent1" w:themeShade="80"/>
            </w:tcBorders>
            <w:shd w:val="clear" w:color="auto" w:fill="auto"/>
            <w:vAlign w:val="center"/>
          </w:tcPr>
          <w:p w14:paraId="4F7F8401"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2.357.279</w:t>
            </w:r>
          </w:p>
        </w:tc>
        <w:tc>
          <w:tcPr>
            <w:tcW w:w="1323" w:type="dxa"/>
            <w:gridSpan w:val="2"/>
            <w:tcBorders>
              <w:top w:val="single" w:sz="2" w:space="0" w:color="1F4E79" w:themeColor="accent1" w:themeShade="80"/>
            </w:tcBorders>
            <w:shd w:val="clear" w:color="auto" w:fill="auto"/>
            <w:vAlign w:val="center"/>
          </w:tcPr>
          <w:p w14:paraId="69F8015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(897)</w:t>
            </w:r>
          </w:p>
        </w:tc>
        <w:tc>
          <w:tcPr>
            <w:tcW w:w="1323" w:type="dxa"/>
            <w:tcBorders>
              <w:top w:val="single" w:sz="2" w:space="0" w:color="1F4E79" w:themeColor="accent1" w:themeShade="80"/>
            </w:tcBorders>
            <w:shd w:val="clear" w:color="auto" w:fill="auto"/>
            <w:vAlign w:val="center"/>
          </w:tcPr>
          <w:p w14:paraId="6A5749EE"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70.813</w:t>
            </w:r>
          </w:p>
        </w:tc>
        <w:tc>
          <w:tcPr>
            <w:tcW w:w="1346" w:type="dxa"/>
            <w:tcBorders>
              <w:top w:val="single" w:sz="2" w:space="0" w:color="1F4E79" w:themeColor="accent1" w:themeShade="80"/>
            </w:tcBorders>
            <w:shd w:val="clear" w:color="auto" w:fill="auto"/>
            <w:vAlign w:val="center"/>
          </w:tcPr>
          <w:p w14:paraId="31BC1092"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3.074.411</w:t>
            </w:r>
          </w:p>
        </w:tc>
        <w:tc>
          <w:tcPr>
            <w:tcW w:w="1346" w:type="dxa"/>
            <w:tcBorders>
              <w:top w:val="single" w:sz="2" w:space="0" w:color="1F4E79" w:themeColor="accent1" w:themeShade="80"/>
            </w:tcBorders>
            <w:shd w:val="clear" w:color="auto" w:fill="auto"/>
            <w:vAlign w:val="center"/>
          </w:tcPr>
          <w:p w14:paraId="16D4741A"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4.382</w:t>
            </w:r>
          </w:p>
        </w:tc>
      </w:tr>
      <w:tr w:rsidR="00C42353" w:rsidRPr="00A92D78" w14:paraId="0032544D" w14:textId="77777777" w:rsidTr="00EF41C6">
        <w:trPr>
          <w:trHeight w:val="238"/>
          <w:jc w:val="center"/>
        </w:trPr>
        <w:tc>
          <w:tcPr>
            <w:tcW w:w="2978" w:type="dxa"/>
            <w:gridSpan w:val="2"/>
            <w:shd w:val="clear" w:color="auto" w:fill="auto"/>
            <w:vAlign w:val="center"/>
          </w:tcPr>
          <w:p w14:paraId="3C7EF5C6" w14:textId="77777777" w:rsidR="00C42353" w:rsidRPr="00A92D78" w:rsidRDefault="00C42353" w:rsidP="003C24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Previdência</w:t>
            </w:r>
          </w:p>
        </w:tc>
        <w:tc>
          <w:tcPr>
            <w:tcW w:w="1323" w:type="dxa"/>
            <w:gridSpan w:val="2"/>
            <w:shd w:val="clear" w:color="auto" w:fill="auto"/>
            <w:vAlign w:val="center"/>
          </w:tcPr>
          <w:p w14:paraId="6DA77C6D"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2.357.279</w:t>
            </w:r>
          </w:p>
        </w:tc>
        <w:tc>
          <w:tcPr>
            <w:tcW w:w="1323" w:type="dxa"/>
            <w:gridSpan w:val="2"/>
            <w:shd w:val="clear" w:color="auto" w:fill="auto"/>
            <w:vAlign w:val="center"/>
          </w:tcPr>
          <w:p w14:paraId="4D5D5716"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eastAsia="Times New Roman" w:cs="Arial"/>
                <w:spacing w:val="-2"/>
                <w:sz w:val="14"/>
                <w:szCs w:val="14"/>
                <w:lang w:eastAsia="pt-BR"/>
              </w:rPr>
              <w:t>--</w:t>
            </w:r>
          </w:p>
        </w:tc>
        <w:tc>
          <w:tcPr>
            <w:tcW w:w="1323" w:type="dxa"/>
            <w:shd w:val="clear" w:color="auto" w:fill="auto"/>
            <w:vAlign w:val="center"/>
          </w:tcPr>
          <w:p w14:paraId="10E2B9A4"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46" w:type="dxa"/>
            <w:shd w:val="clear" w:color="auto" w:fill="auto"/>
            <w:vAlign w:val="center"/>
          </w:tcPr>
          <w:p w14:paraId="64F88977"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2DBE7F9C"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r>
      <w:tr w:rsidR="00C42353" w:rsidRPr="00A92D78" w14:paraId="0D86B776" w14:textId="77777777" w:rsidTr="00EF41C6">
        <w:trPr>
          <w:trHeight w:val="238"/>
          <w:jc w:val="center"/>
        </w:trPr>
        <w:tc>
          <w:tcPr>
            <w:tcW w:w="2978" w:type="dxa"/>
            <w:gridSpan w:val="2"/>
            <w:shd w:val="clear" w:color="auto" w:fill="auto"/>
            <w:vAlign w:val="center"/>
          </w:tcPr>
          <w:p w14:paraId="25D8AC2C" w14:textId="77777777" w:rsidR="00C42353" w:rsidRPr="00A92D78" w:rsidRDefault="00C42353" w:rsidP="003C24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Capitalização</w:t>
            </w:r>
          </w:p>
        </w:tc>
        <w:tc>
          <w:tcPr>
            <w:tcW w:w="1323" w:type="dxa"/>
            <w:gridSpan w:val="2"/>
            <w:shd w:val="clear" w:color="auto" w:fill="auto"/>
            <w:vAlign w:val="center"/>
          </w:tcPr>
          <w:p w14:paraId="0451CF2F"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23" w:type="dxa"/>
            <w:gridSpan w:val="2"/>
            <w:shd w:val="clear" w:color="auto" w:fill="auto"/>
            <w:vAlign w:val="center"/>
          </w:tcPr>
          <w:p w14:paraId="5185EC9B"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eastAsia="Times New Roman" w:cs="Arial"/>
                <w:spacing w:val="-2"/>
                <w:sz w:val="14"/>
                <w:szCs w:val="14"/>
                <w:lang w:eastAsia="pt-BR"/>
              </w:rPr>
              <w:t>690.264</w:t>
            </w:r>
          </w:p>
        </w:tc>
        <w:tc>
          <w:tcPr>
            <w:tcW w:w="1323" w:type="dxa"/>
            <w:shd w:val="clear" w:color="auto" w:fill="auto"/>
            <w:vAlign w:val="center"/>
          </w:tcPr>
          <w:p w14:paraId="19D2C86F"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46" w:type="dxa"/>
            <w:shd w:val="clear" w:color="auto" w:fill="auto"/>
            <w:vAlign w:val="center"/>
          </w:tcPr>
          <w:p w14:paraId="466000CC"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6C0B6DF8"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r>
      <w:tr w:rsidR="00C42353" w:rsidRPr="00A92D78" w14:paraId="05AD8CD2" w14:textId="77777777" w:rsidTr="00EF41C6">
        <w:trPr>
          <w:trHeight w:val="238"/>
          <w:jc w:val="center"/>
        </w:trPr>
        <w:tc>
          <w:tcPr>
            <w:tcW w:w="2978" w:type="dxa"/>
            <w:gridSpan w:val="2"/>
            <w:shd w:val="clear" w:color="auto" w:fill="auto"/>
            <w:vAlign w:val="center"/>
          </w:tcPr>
          <w:p w14:paraId="0438E0CB" w14:textId="77777777" w:rsidR="00C42353" w:rsidRPr="00A92D78" w:rsidRDefault="00C42353" w:rsidP="003C24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Assistência à saúde</w:t>
            </w:r>
          </w:p>
        </w:tc>
        <w:tc>
          <w:tcPr>
            <w:tcW w:w="1323" w:type="dxa"/>
            <w:gridSpan w:val="2"/>
            <w:shd w:val="clear" w:color="auto" w:fill="auto"/>
            <w:vAlign w:val="center"/>
          </w:tcPr>
          <w:p w14:paraId="151484B2"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23" w:type="dxa"/>
            <w:gridSpan w:val="2"/>
            <w:shd w:val="clear" w:color="auto" w:fill="auto"/>
            <w:vAlign w:val="center"/>
          </w:tcPr>
          <w:p w14:paraId="4F3355F0"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eastAsia="Times New Roman" w:cs="Arial"/>
                <w:spacing w:val="-2"/>
                <w:sz w:val="14"/>
                <w:szCs w:val="14"/>
                <w:lang w:eastAsia="pt-BR"/>
              </w:rPr>
              <w:t>--</w:t>
            </w:r>
          </w:p>
        </w:tc>
        <w:tc>
          <w:tcPr>
            <w:tcW w:w="1323" w:type="dxa"/>
            <w:shd w:val="clear" w:color="auto" w:fill="auto"/>
            <w:vAlign w:val="center"/>
          </w:tcPr>
          <w:p w14:paraId="7F74B7A5"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B26E6">
              <w:rPr>
                <w:rFonts w:eastAsia="Times New Roman" w:cs="Arial"/>
                <w:spacing w:val="-2"/>
                <w:sz w:val="14"/>
                <w:szCs w:val="14"/>
                <w:lang w:eastAsia="pt-BR"/>
              </w:rPr>
              <w:t xml:space="preserve">  116.099</w:t>
            </w:r>
          </w:p>
        </w:tc>
        <w:tc>
          <w:tcPr>
            <w:tcW w:w="1346" w:type="dxa"/>
            <w:shd w:val="clear" w:color="auto" w:fill="auto"/>
            <w:vAlign w:val="center"/>
          </w:tcPr>
          <w:p w14:paraId="3BB61E84"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54BD853E"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r>
      <w:tr w:rsidR="00C42353" w:rsidRPr="00A92D78" w14:paraId="3F4E9CB4" w14:textId="77777777" w:rsidTr="00EF41C6">
        <w:trPr>
          <w:trHeight w:val="238"/>
          <w:jc w:val="center"/>
        </w:trPr>
        <w:tc>
          <w:tcPr>
            <w:tcW w:w="2978" w:type="dxa"/>
            <w:gridSpan w:val="2"/>
            <w:shd w:val="clear" w:color="auto" w:fill="auto"/>
            <w:vAlign w:val="center"/>
          </w:tcPr>
          <w:p w14:paraId="6DFFF9FA" w14:textId="77777777" w:rsidR="00C42353" w:rsidRPr="00A92D78" w:rsidRDefault="00C42353" w:rsidP="003C24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Corretagem</w:t>
            </w:r>
          </w:p>
        </w:tc>
        <w:tc>
          <w:tcPr>
            <w:tcW w:w="1323" w:type="dxa"/>
            <w:gridSpan w:val="2"/>
            <w:shd w:val="clear" w:color="auto" w:fill="auto"/>
            <w:vAlign w:val="center"/>
          </w:tcPr>
          <w:p w14:paraId="1025D3AD"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23" w:type="dxa"/>
            <w:gridSpan w:val="2"/>
            <w:shd w:val="clear" w:color="auto" w:fill="auto"/>
            <w:vAlign w:val="center"/>
          </w:tcPr>
          <w:p w14:paraId="16363E09"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eastAsia="Times New Roman" w:cs="Arial"/>
                <w:spacing w:val="-2"/>
                <w:sz w:val="14"/>
                <w:szCs w:val="14"/>
                <w:lang w:eastAsia="pt-BR"/>
              </w:rPr>
              <w:t>--</w:t>
            </w:r>
          </w:p>
        </w:tc>
        <w:tc>
          <w:tcPr>
            <w:tcW w:w="1323" w:type="dxa"/>
            <w:shd w:val="clear" w:color="auto" w:fill="auto"/>
            <w:vAlign w:val="center"/>
          </w:tcPr>
          <w:p w14:paraId="39F69CDC"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46" w:type="dxa"/>
            <w:shd w:val="clear" w:color="auto" w:fill="auto"/>
            <w:vAlign w:val="center"/>
          </w:tcPr>
          <w:p w14:paraId="44EC8999"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3.251.279</w:t>
            </w:r>
          </w:p>
        </w:tc>
        <w:tc>
          <w:tcPr>
            <w:tcW w:w="1346" w:type="dxa"/>
            <w:shd w:val="clear" w:color="auto" w:fill="auto"/>
            <w:vAlign w:val="center"/>
          </w:tcPr>
          <w:p w14:paraId="41679F14"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5.166</w:t>
            </w:r>
          </w:p>
        </w:tc>
      </w:tr>
      <w:tr w:rsidR="00C42353" w:rsidRPr="00A92D78" w14:paraId="068CB816" w14:textId="77777777" w:rsidTr="00EF41C6">
        <w:trPr>
          <w:trHeight w:val="238"/>
          <w:jc w:val="center"/>
        </w:trPr>
        <w:tc>
          <w:tcPr>
            <w:tcW w:w="2978" w:type="dxa"/>
            <w:gridSpan w:val="2"/>
            <w:shd w:val="clear" w:color="auto" w:fill="auto"/>
            <w:vAlign w:val="center"/>
          </w:tcPr>
          <w:p w14:paraId="45DE8872" w14:textId="77777777" w:rsidR="00C42353" w:rsidRPr="00A92D78" w:rsidRDefault="00C42353" w:rsidP="003C24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color w:val="000000"/>
                <w:spacing w:val="-2"/>
                <w:sz w:val="14"/>
                <w:szCs w:val="14"/>
                <w:lang w:eastAsia="pt-BR"/>
              </w:rPr>
              <w:t>Custos/despesas</w:t>
            </w:r>
          </w:p>
        </w:tc>
        <w:tc>
          <w:tcPr>
            <w:tcW w:w="1323" w:type="dxa"/>
            <w:gridSpan w:val="2"/>
            <w:shd w:val="clear" w:color="auto" w:fill="auto"/>
            <w:vAlign w:val="center"/>
          </w:tcPr>
          <w:p w14:paraId="05255C34"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w:t>
            </w:r>
          </w:p>
        </w:tc>
        <w:tc>
          <w:tcPr>
            <w:tcW w:w="1323" w:type="dxa"/>
            <w:gridSpan w:val="2"/>
            <w:shd w:val="clear" w:color="auto" w:fill="auto"/>
            <w:vAlign w:val="center"/>
          </w:tcPr>
          <w:p w14:paraId="054EE1C1"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eastAsia="Times New Roman" w:cs="Arial"/>
                <w:spacing w:val="-2"/>
                <w:sz w:val="14"/>
                <w:szCs w:val="14"/>
                <w:lang w:eastAsia="pt-BR"/>
              </w:rPr>
              <w:t>(691.161)</w:t>
            </w:r>
          </w:p>
        </w:tc>
        <w:tc>
          <w:tcPr>
            <w:tcW w:w="1323" w:type="dxa"/>
            <w:shd w:val="clear" w:color="auto" w:fill="auto"/>
            <w:vAlign w:val="center"/>
          </w:tcPr>
          <w:p w14:paraId="3E3758B1"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B26E6">
              <w:rPr>
                <w:rFonts w:eastAsia="Times New Roman" w:cs="Arial"/>
                <w:spacing w:val="-2"/>
                <w:sz w:val="14"/>
                <w:szCs w:val="14"/>
                <w:lang w:eastAsia="pt-BR"/>
              </w:rPr>
              <w:t xml:space="preserve">  (45.286)</w:t>
            </w:r>
          </w:p>
        </w:tc>
        <w:tc>
          <w:tcPr>
            <w:tcW w:w="1346" w:type="dxa"/>
            <w:shd w:val="clear" w:color="auto" w:fill="auto"/>
            <w:vAlign w:val="center"/>
          </w:tcPr>
          <w:p w14:paraId="6C526540"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(176.868)</w:t>
            </w:r>
          </w:p>
        </w:tc>
        <w:tc>
          <w:tcPr>
            <w:tcW w:w="1346" w:type="dxa"/>
            <w:shd w:val="clear" w:color="auto" w:fill="auto"/>
            <w:vAlign w:val="center"/>
          </w:tcPr>
          <w:p w14:paraId="3003381F"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eastAsia="Times New Roman" w:cs="Arial"/>
                <w:spacing w:val="-2"/>
                <w:sz w:val="14"/>
                <w:szCs w:val="14"/>
                <w:lang w:eastAsia="pt-BR"/>
              </w:rPr>
              <w:t>(784)</w:t>
            </w:r>
          </w:p>
        </w:tc>
      </w:tr>
      <w:tr w:rsidR="00C42353" w:rsidRPr="00BB26E6" w14:paraId="2D853260" w14:textId="77777777" w:rsidTr="00EF41C6">
        <w:trPr>
          <w:trHeight w:val="238"/>
          <w:jc w:val="center"/>
        </w:trPr>
        <w:tc>
          <w:tcPr>
            <w:tcW w:w="2978" w:type="dxa"/>
            <w:gridSpan w:val="2"/>
            <w:shd w:val="clear" w:color="auto" w:fill="auto"/>
            <w:vAlign w:val="center"/>
          </w:tcPr>
          <w:p w14:paraId="5F7EC7A8" w14:textId="77777777" w:rsidR="00C42353" w:rsidRPr="00BB26E6" w:rsidRDefault="00C42353" w:rsidP="003C2409">
            <w:pPr>
              <w:keepNext/>
              <w:keepLines/>
              <w:spacing w:before="40" w:after="40" w:line="240" w:lineRule="auto"/>
              <w:rPr>
                <w:rFonts w:eastAsia="Times New Roman" w:cs="Arial"/>
                <w:b/>
                <w:spacing w:val="-2"/>
                <w:sz w:val="14"/>
                <w:szCs w:val="14"/>
                <w:lang w:eastAsia="pt-BR"/>
              </w:rPr>
            </w:pPr>
            <w:r w:rsidRPr="00BB26E6">
              <w:rPr>
                <w:rFonts w:eastAsia="Times New Roman" w:cs="Arial"/>
                <w:b/>
                <w:spacing w:val="-2"/>
                <w:sz w:val="14"/>
                <w:szCs w:val="14"/>
                <w:lang w:eastAsia="pt-BR"/>
              </w:rPr>
              <w:t>Resultado financeiro</w:t>
            </w:r>
          </w:p>
        </w:tc>
        <w:tc>
          <w:tcPr>
            <w:tcW w:w="1323" w:type="dxa"/>
            <w:gridSpan w:val="2"/>
            <w:shd w:val="clear" w:color="auto" w:fill="auto"/>
            <w:vAlign w:val="center"/>
          </w:tcPr>
          <w:p w14:paraId="1DBE638E"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(278.561)</w:t>
            </w:r>
          </w:p>
        </w:tc>
        <w:tc>
          <w:tcPr>
            <w:tcW w:w="1323" w:type="dxa"/>
            <w:gridSpan w:val="2"/>
            <w:shd w:val="clear" w:color="auto" w:fill="auto"/>
            <w:vAlign w:val="center"/>
          </w:tcPr>
          <w:p w14:paraId="2BFE0B2A"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239.061</w:t>
            </w:r>
          </w:p>
        </w:tc>
        <w:tc>
          <w:tcPr>
            <w:tcW w:w="1323" w:type="dxa"/>
            <w:shd w:val="clear" w:color="auto" w:fill="auto"/>
            <w:vAlign w:val="center"/>
          </w:tcPr>
          <w:p w14:paraId="4BFF1629"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(536)</w:t>
            </w:r>
          </w:p>
        </w:tc>
        <w:tc>
          <w:tcPr>
            <w:tcW w:w="1346" w:type="dxa"/>
            <w:shd w:val="clear" w:color="auto" w:fill="auto"/>
            <w:vAlign w:val="center"/>
          </w:tcPr>
          <w:p w14:paraId="1401FCD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49.252</w:t>
            </w:r>
          </w:p>
        </w:tc>
        <w:tc>
          <w:tcPr>
            <w:tcW w:w="1346" w:type="dxa"/>
            <w:shd w:val="clear" w:color="auto" w:fill="auto"/>
            <w:vAlign w:val="center"/>
          </w:tcPr>
          <w:p w14:paraId="2B4C69D7"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(345)</w:t>
            </w:r>
          </w:p>
        </w:tc>
      </w:tr>
      <w:tr w:rsidR="00C42353" w:rsidRPr="00A92D78" w14:paraId="0A1628F4" w14:textId="77777777" w:rsidTr="00EF41C6">
        <w:trPr>
          <w:trHeight w:val="238"/>
          <w:jc w:val="center"/>
        </w:trPr>
        <w:tc>
          <w:tcPr>
            <w:tcW w:w="2978" w:type="dxa"/>
            <w:gridSpan w:val="2"/>
            <w:shd w:val="clear" w:color="auto" w:fill="auto"/>
            <w:vAlign w:val="center"/>
          </w:tcPr>
          <w:p w14:paraId="69EA5B79" w14:textId="77777777" w:rsidR="00C42353" w:rsidRPr="00A92D78" w:rsidRDefault="00C42353" w:rsidP="003C24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spacing w:val="-2"/>
                <w:sz w:val="14"/>
                <w:szCs w:val="14"/>
                <w:lang w:eastAsia="pt-BR"/>
              </w:rPr>
              <w:t>Receitas de juros</w:t>
            </w:r>
          </w:p>
        </w:tc>
        <w:tc>
          <w:tcPr>
            <w:tcW w:w="1323" w:type="dxa"/>
            <w:gridSpan w:val="2"/>
            <w:shd w:val="clear" w:color="auto" w:fill="auto"/>
            <w:vAlign w:val="center"/>
          </w:tcPr>
          <w:p w14:paraId="5EC41F8D"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4.517.529</w:t>
            </w:r>
          </w:p>
        </w:tc>
        <w:tc>
          <w:tcPr>
            <w:tcW w:w="1323" w:type="dxa"/>
            <w:gridSpan w:val="2"/>
            <w:shd w:val="clear" w:color="auto" w:fill="auto"/>
            <w:vAlign w:val="center"/>
          </w:tcPr>
          <w:p w14:paraId="24FB41F6"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cs="Arial"/>
                <w:sz w:val="14"/>
                <w:szCs w:val="14"/>
              </w:rPr>
              <w:t>630.578</w:t>
            </w:r>
          </w:p>
        </w:tc>
        <w:tc>
          <w:tcPr>
            <w:tcW w:w="1323" w:type="dxa"/>
            <w:shd w:val="clear" w:color="auto" w:fill="auto"/>
            <w:vAlign w:val="center"/>
          </w:tcPr>
          <w:p w14:paraId="561E36C2"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w:t>
            </w:r>
          </w:p>
        </w:tc>
        <w:tc>
          <w:tcPr>
            <w:tcW w:w="1346" w:type="dxa"/>
            <w:shd w:val="clear" w:color="auto" w:fill="auto"/>
            <w:vAlign w:val="center"/>
          </w:tcPr>
          <w:p w14:paraId="602799C0"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58.024</w:t>
            </w:r>
          </w:p>
        </w:tc>
        <w:tc>
          <w:tcPr>
            <w:tcW w:w="1346" w:type="dxa"/>
            <w:shd w:val="clear" w:color="auto" w:fill="auto"/>
            <w:vAlign w:val="center"/>
          </w:tcPr>
          <w:p w14:paraId="6A423C74"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w:t>
            </w:r>
          </w:p>
        </w:tc>
      </w:tr>
      <w:tr w:rsidR="00C42353" w:rsidRPr="00A92D78" w14:paraId="2DA6803D" w14:textId="77777777" w:rsidTr="00EF41C6">
        <w:trPr>
          <w:trHeight w:val="238"/>
          <w:jc w:val="center"/>
        </w:trPr>
        <w:tc>
          <w:tcPr>
            <w:tcW w:w="2978" w:type="dxa"/>
            <w:gridSpan w:val="2"/>
            <w:shd w:val="clear" w:color="auto" w:fill="auto"/>
            <w:vAlign w:val="center"/>
          </w:tcPr>
          <w:p w14:paraId="0F2DC0F5" w14:textId="77777777" w:rsidR="00C42353" w:rsidRPr="00A92D78" w:rsidRDefault="00C42353" w:rsidP="003C24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spacing w:val="-2"/>
                <w:sz w:val="14"/>
                <w:szCs w:val="14"/>
                <w:lang w:eastAsia="pt-BR"/>
              </w:rPr>
              <w:t>Outras receitas financeiras</w:t>
            </w:r>
          </w:p>
        </w:tc>
        <w:tc>
          <w:tcPr>
            <w:tcW w:w="1323" w:type="dxa"/>
            <w:gridSpan w:val="2"/>
            <w:shd w:val="clear" w:color="auto" w:fill="auto"/>
            <w:vAlign w:val="center"/>
          </w:tcPr>
          <w:p w14:paraId="69501FD6"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4.973.066</w:t>
            </w:r>
          </w:p>
        </w:tc>
        <w:tc>
          <w:tcPr>
            <w:tcW w:w="1323" w:type="dxa"/>
            <w:gridSpan w:val="2"/>
            <w:shd w:val="clear" w:color="auto" w:fill="auto"/>
            <w:vAlign w:val="center"/>
          </w:tcPr>
          <w:p w14:paraId="41E254B8"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24137A">
              <w:rPr>
                <w:rFonts w:cs="Arial"/>
                <w:sz w:val="14"/>
                <w:szCs w:val="14"/>
              </w:rPr>
              <w:t>124.894</w:t>
            </w:r>
          </w:p>
        </w:tc>
        <w:tc>
          <w:tcPr>
            <w:tcW w:w="1323" w:type="dxa"/>
            <w:shd w:val="clear" w:color="auto" w:fill="auto"/>
            <w:vAlign w:val="center"/>
          </w:tcPr>
          <w:p w14:paraId="22D8F9FA"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765</w:t>
            </w:r>
          </w:p>
        </w:tc>
        <w:tc>
          <w:tcPr>
            <w:tcW w:w="1346" w:type="dxa"/>
            <w:shd w:val="clear" w:color="auto" w:fill="auto"/>
            <w:vAlign w:val="center"/>
          </w:tcPr>
          <w:p w14:paraId="78FAAB35"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w:t>
            </w:r>
          </w:p>
        </w:tc>
        <w:tc>
          <w:tcPr>
            <w:tcW w:w="1346" w:type="dxa"/>
            <w:shd w:val="clear" w:color="auto" w:fill="auto"/>
            <w:vAlign w:val="center"/>
          </w:tcPr>
          <w:p w14:paraId="438703B8" w14:textId="77777777" w:rsidR="00C42353" w:rsidRPr="005D6879" w:rsidRDefault="00C42353" w:rsidP="003C2409">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216</w:t>
            </w:r>
          </w:p>
        </w:tc>
      </w:tr>
      <w:tr w:rsidR="00C42353" w:rsidRPr="00A92D78" w14:paraId="51C9F398" w14:textId="77777777" w:rsidTr="00EF41C6">
        <w:trPr>
          <w:trHeight w:val="238"/>
          <w:jc w:val="center"/>
        </w:trPr>
        <w:tc>
          <w:tcPr>
            <w:tcW w:w="2978" w:type="dxa"/>
            <w:gridSpan w:val="2"/>
            <w:shd w:val="clear" w:color="auto" w:fill="auto"/>
            <w:vAlign w:val="center"/>
          </w:tcPr>
          <w:p w14:paraId="67926831" w14:textId="77777777" w:rsidR="00C42353" w:rsidRPr="00A92D78" w:rsidRDefault="00C42353" w:rsidP="003C2409">
            <w:pPr>
              <w:keepNext/>
              <w:keepLines/>
              <w:spacing w:before="40" w:after="40" w:line="240" w:lineRule="auto"/>
              <w:ind w:left="113"/>
              <w:rPr>
                <w:rFonts w:eastAsia="Times New Roman" w:cs="Arial"/>
                <w:b/>
                <w:bCs/>
                <w:color w:val="000000"/>
                <w:spacing w:val="-2"/>
                <w:sz w:val="14"/>
                <w:szCs w:val="14"/>
                <w:lang w:eastAsia="pt-BR"/>
              </w:rPr>
            </w:pPr>
            <w:r w:rsidRPr="00A92D78">
              <w:rPr>
                <w:rFonts w:eastAsia="Times New Roman" w:cs="Arial"/>
                <w:bCs/>
                <w:spacing w:val="-2"/>
                <w:sz w:val="14"/>
                <w:szCs w:val="14"/>
                <w:lang w:eastAsia="pt-BR"/>
              </w:rPr>
              <w:t>Despesas de juros</w:t>
            </w:r>
          </w:p>
        </w:tc>
        <w:tc>
          <w:tcPr>
            <w:tcW w:w="1323" w:type="dxa"/>
            <w:gridSpan w:val="2"/>
            <w:shd w:val="clear" w:color="auto" w:fill="auto"/>
            <w:vAlign w:val="center"/>
          </w:tcPr>
          <w:p w14:paraId="76B41D4D"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(1.695.581)</w:t>
            </w:r>
          </w:p>
        </w:tc>
        <w:tc>
          <w:tcPr>
            <w:tcW w:w="1323" w:type="dxa"/>
            <w:gridSpan w:val="2"/>
            <w:shd w:val="clear" w:color="auto" w:fill="auto"/>
            <w:vAlign w:val="center"/>
          </w:tcPr>
          <w:p w14:paraId="76D51CB0"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24137A">
              <w:rPr>
                <w:rFonts w:cs="Arial"/>
                <w:sz w:val="14"/>
                <w:szCs w:val="14"/>
              </w:rPr>
              <w:t>(423.051)</w:t>
            </w:r>
          </w:p>
        </w:tc>
        <w:tc>
          <w:tcPr>
            <w:tcW w:w="1323" w:type="dxa"/>
            <w:shd w:val="clear" w:color="auto" w:fill="auto"/>
            <w:vAlign w:val="center"/>
          </w:tcPr>
          <w:p w14:paraId="68BA86BE"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w:t>
            </w:r>
          </w:p>
        </w:tc>
        <w:tc>
          <w:tcPr>
            <w:tcW w:w="1346" w:type="dxa"/>
            <w:shd w:val="clear" w:color="auto" w:fill="auto"/>
            <w:vAlign w:val="center"/>
          </w:tcPr>
          <w:p w14:paraId="56D01C23"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B355AA">
              <w:rPr>
                <w:rFonts w:cs="Arial"/>
                <w:sz w:val="14"/>
                <w:szCs w:val="14"/>
              </w:rPr>
              <w:t>(8.456)</w:t>
            </w:r>
          </w:p>
        </w:tc>
        <w:tc>
          <w:tcPr>
            <w:tcW w:w="1346" w:type="dxa"/>
            <w:shd w:val="clear" w:color="auto" w:fill="auto"/>
            <w:vAlign w:val="center"/>
          </w:tcPr>
          <w:p w14:paraId="08D440E3"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(9)</w:t>
            </w:r>
          </w:p>
        </w:tc>
      </w:tr>
      <w:tr w:rsidR="00C42353" w:rsidRPr="00A92D78" w14:paraId="72F7B5A2" w14:textId="77777777" w:rsidTr="00EF41C6">
        <w:trPr>
          <w:trHeight w:val="238"/>
          <w:jc w:val="center"/>
        </w:trPr>
        <w:tc>
          <w:tcPr>
            <w:tcW w:w="2978" w:type="dxa"/>
            <w:gridSpan w:val="2"/>
            <w:shd w:val="clear" w:color="auto" w:fill="auto"/>
            <w:vAlign w:val="center"/>
          </w:tcPr>
          <w:p w14:paraId="4B92F1B9" w14:textId="77777777" w:rsidR="00C42353" w:rsidRPr="00A92D78" w:rsidRDefault="00C42353" w:rsidP="003C2409">
            <w:pPr>
              <w:keepNext/>
              <w:keepLines/>
              <w:spacing w:before="40" w:after="40" w:line="240" w:lineRule="auto"/>
              <w:ind w:left="113"/>
              <w:rPr>
                <w:rFonts w:eastAsia="Times New Roman" w:cs="Arial"/>
                <w:b/>
                <w:bCs/>
                <w:spacing w:val="-2"/>
                <w:sz w:val="14"/>
                <w:szCs w:val="14"/>
                <w:lang w:eastAsia="pt-BR"/>
              </w:rPr>
            </w:pPr>
            <w:r w:rsidRPr="00A92D78">
              <w:rPr>
                <w:rFonts w:eastAsia="Times New Roman" w:cs="Arial"/>
                <w:bCs/>
                <w:spacing w:val="-2"/>
                <w:sz w:val="14"/>
                <w:szCs w:val="14"/>
                <w:lang w:eastAsia="pt-BR"/>
              </w:rPr>
              <w:t>Outras despesas financeiras</w:t>
            </w:r>
          </w:p>
        </w:tc>
        <w:tc>
          <w:tcPr>
            <w:tcW w:w="1323" w:type="dxa"/>
            <w:gridSpan w:val="2"/>
            <w:shd w:val="clear" w:color="auto" w:fill="auto"/>
            <w:vAlign w:val="center"/>
          </w:tcPr>
          <w:p w14:paraId="5F502870"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(8.073.575)</w:t>
            </w:r>
          </w:p>
        </w:tc>
        <w:tc>
          <w:tcPr>
            <w:tcW w:w="1323" w:type="dxa"/>
            <w:gridSpan w:val="2"/>
            <w:shd w:val="clear" w:color="auto" w:fill="auto"/>
            <w:vAlign w:val="center"/>
          </w:tcPr>
          <w:p w14:paraId="212C2F8D"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24137A">
              <w:rPr>
                <w:rFonts w:cs="Arial"/>
                <w:sz w:val="14"/>
                <w:szCs w:val="14"/>
              </w:rPr>
              <w:t>(93.360)</w:t>
            </w:r>
          </w:p>
        </w:tc>
        <w:tc>
          <w:tcPr>
            <w:tcW w:w="1323" w:type="dxa"/>
            <w:shd w:val="clear" w:color="auto" w:fill="auto"/>
            <w:vAlign w:val="center"/>
          </w:tcPr>
          <w:p w14:paraId="3728E60D"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(1.301)</w:t>
            </w:r>
          </w:p>
        </w:tc>
        <w:tc>
          <w:tcPr>
            <w:tcW w:w="1346" w:type="dxa"/>
            <w:shd w:val="clear" w:color="auto" w:fill="auto"/>
            <w:vAlign w:val="center"/>
          </w:tcPr>
          <w:p w14:paraId="370E528C"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B355AA">
              <w:rPr>
                <w:rFonts w:cs="Arial"/>
                <w:sz w:val="14"/>
                <w:szCs w:val="14"/>
              </w:rPr>
              <w:t>(316)</w:t>
            </w:r>
          </w:p>
        </w:tc>
        <w:tc>
          <w:tcPr>
            <w:tcW w:w="1346" w:type="dxa"/>
            <w:shd w:val="clear" w:color="auto" w:fill="auto"/>
            <w:vAlign w:val="center"/>
          </w:tcPr>
          <w:p w14:paraId="3B8185D3"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(552)</w:t>
            </w:r>
          </w:p>
        </w:tc>
      </w:tr>
      <w:tr w:rsidR="00C42353" w:rsidRPr="00BB26E6" w14:paraId="41A398C4" w14:textId="77777777" w:rsidTr="00EF41C6">
        <w:trPr>
          <w:trHeight w:val="238"/>
          <w:jc w:val="center"/>
        </w:trPr>
        <w:tc>
          <w:tcPr>
            <w:tcW w:w="2978" w:type="dxa"/>
            <w:gridSpan w:val="2"/>
            <w:shd w:val="clear" w:color="auto" w:fill="auto"/>
            <w:vAlign w:val="center"/>
          </w:tcPr>
          <w:p w14:paraId="23FFFAB8"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Resultado patrimonial</w:t>
            </w:r>
          </w:p>
        </w:tc>
        <w:tc>
          <w:tcPr>
            <w:tcW w:w="1323" w:type="dxa"/>
            <w:gridSpan w:val="2"/>
            <w:shd w:val="clear" w:color="auto" w:fill="auto"/>
          </w:tcPr>
          <w:p w14:paraId="2E4229DB"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 xml:space="preserve">  (42.495)</w:t>
            </w:r>
          </w:p>
        </w:tc>
        <w:tc>
          <w:tcPr>
            <w:tcW w:w="1323" w:type="dxa"/>
            <w:gridSpan w:val="2"/>
            <w:shd w:val="clear" w:color="auto" w:fill="auto"/>
            <w:vAlign w:val="center"/>
          </w:tcPr>
          <w:p w14:paraId="3B4C7533"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(862)</w:t>
            </w:r>
          </w:p>
        </w:tc>
        <w:tc>
          <w:tcPr>
            <w:tcW w:w="1323" w:type="dxa"/>
            <w:shd w:val="clear" w:color="auto" w:fill="auto"/>
            <w:vAlign w:val="center"/>
          </w:tcPr>
          <w:p w14:paraId="7F38F9AB"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(39)</w:t>
            </w:r>
          </w:p>
        </w:tc>
        <w:tc>
          <w:tcPr>
            <w:tcW w:w="1346" w:type="dxa"/>
            <w:shd w:val="clear" w:color="auto" w:fill="auto"/>
            <w:vAlign w:val="center"/>
          </w:tcPr>
          <w:p w14:paraId="47CF14A6"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(646)</w:t>
            </w:r>
          </w:p>
        </w:tc>
        <w:tc>
          <w:tcPr>
            <w:tcW w:w="1346" w:type="dxa"/>
            <w:shd w:val="clear" w:color="auto" w:fill="auto"/>
            <w:vAlign w:val="center"/>
          </w:tcPr>
          <w:p w14:paraId="6E580423"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(480)</w:t>
            </w:r>
          </w:p>
        </w:tc>
      </w:tr>
      <w:tr w:rsidR="00C42353" w:rsidRPr="00A92D78" w14:paraId="7E2B721A" w14:textId="77777777" w:rsidTr="00EF41C6">
        <w:trPr>
          <w:trHeight w:val="238"/>
          <w:jc w:val="center"/>
        </w:trPr>
        <w:tc>
          <w:tcPr>
            <w:tcW w:w="2978" w:type="dxa"/>
            <w:gridSpan w:val="2"/>
            <w:shd w:val="clear" w:color="auto" w:fill="auto"/>
            <w:vAlign w:val="center"/>
          </w:tcPr>
          <w:p w14:paraId="3C288054" w14:textId="77777777" w:rsidR="00C42353" w:rsidRPr="00A92D78" w:rsidRDefault="00C42353" w:rsidP="003C2409">
            <w:pPr>
              <w:keepNext/>
              <w:keepLines/>
              <w:spacing w:before="40" w:after="40" w:line="240" w:lineRule="auto"/>
              <w:ind w:left="113"/>
              <w:rPr>
                <w:rFonts w:eastAsia="Times New Roman" w:cs="Arial"/>
                <w:b/>
                <w:color w:val="000000"/>
                <w:spacing w:val="-2"/>
                <w:sz w:val="14"/>
                <w:szCs w:val="14"/>
                <w:lang w:eastAsia="pt-BR"/>
              </w:rPr>
            </w:pPr>
            <w:r w:rsidRPr="00A92D78">
              <w:rPr>
                <w:rFonts w:eastAsia="Times New Roman" w:cs="Arial"/>
                <w:bCs/>
                <w:color w:val="000000"/>
                <w:spacing w:val="-2"/>
                <w:sz w:val="14"/>
                <w:szCs w:val="14"/>
                <w:lang w:eastAsia="pt-BR"/>
              </w:rPr>
              <w:t>Depreciação e amortização</w:t>
            </w:r>
          </w:p>
        </w:tc>
        <w:tc>
          <w:tcPr>
            <w:tcW w:w="1323" w:type="dxa"/>
            <w:gridSpan w:val="2"/>
            <w:shd w:val="clear" w:color="auto" w:fill="auto"/>
          </w:tcPr>
          <w:p w14:paraId="78CFEA48" w14:textId="77777777" w:rsidR="00C42353" w:rsidRPr="005D6879" w:rsidRDefault="00C42353" w:rsidP="003C2409">
            <w:pPr>
              <w:keepNext/>
              <w:keepLines/>
              <w:spacing w:before="40" w:after="40" w:line="240" w:lineRule="auto"/>
              <w:jc w:val="right"/>
              <w:rPr>
                <w:rFonts w:eastAsia="Times New Roman" w:cs="Arial"/>
                <w:b/>
                <w:bCs/>
                <w:spacing w:val="-2"/>
                <w:sz w:val="14"/>
                <w:szCs w:val="14"/>
                <w:lang w:eastAsia="pt-BR"/>
              </w:rPr>
            </w:pPr>
            <w:r w:rsidRPr="005D27E2">
              <w:rPr>
                <w:rFonts w:cs="Arial"/>
                <w:sz w:val="14"/>
                <w:szCs w:val="14"/>
              </w:rPr>
              <w:t xml:space="preserve">  (42.495)</w:t>
            </w:r>
          </w:p>
        </w:tc>
        <w:tc>
          <w:tcPr>
            <w:tcW w:w="1323" w:type="dxa"/>
            <w:gridSpan w:val="2"/>
            <w:shd w:val="clear" w:color="auto" w:fill="auto"/>
            <w:vAlign w:val="center"/>
          </w:tcPr>
          <w:p w14:paraId="5B5BCF34" w14:textId="77777777" w:rsidR="00C42353" w:rsidRPr="005D6879" w:rsidRDefault="00C42353" w:rsidP="003C2409">
            <w:pPr>
              <w:keepNext/>
              <w:keepLines/>
              <w:spacing w:before="40" w:after="40" w:line="240" w:lineRule="auto"/>
              <w:jc w:val="right"/>
              <w:rPr>
                <w:rFonts w:eastAsia="Times New Roman" w:cs="Arial"/>
                <w:b/>
                <w:bCs/>
                <w:spacing w:val="-2"/>
                <w:sz w:val="14"/>
                <w:szCs w:val="14"/>
                <w:lang w:eastAsia="pt-BR"/>
              </w:rPr>
            </w:pPr>
            <w:r w:rsidRPr="0024137A">
              <w:rPr>
                <w:rFonts w:cs="Arial"/>
                <w:sz w:val="14"/>
                <w:szCs w:val="14"/>
              </w:rPr>
              <w:t>(862)</w:t>
            </w:r>
          </w:p>
        </w:tc>
        <w:tc>
          <w:tcPr>
            <w:tcW w:w="1323" w:type="dxa"/>
            <w:shd w:val="clear" w:color="auto" w:fill="auto"/>
            <w:vAlign w:val="center"/>
          </w:tcPr>
          <w:p w14:paraId="6C28F240" w14:textId="77777777" w:rsidR="00C42353" w:rsidRPr="005D6879" w:rsidRDefault="00C42353" w:rsidP="003C2409">
            <w:pPr>
              <w:keepNext/>
              <w:keepLines/>
              <w:spacing w:before="40" w:after="40" w:line="240" w:lineRule="auto"/>
              <w:jc w:val="right"/>
              <w:rPr>
                <w:rFonts w:eastAsia="Times New Roman" w:cs="Arial"/>
                <w:b/>
                <w:bCs/>
                <w:spacing w:val="-2"/>
                <w:sz w:val="14"/>
                <w:szCs w:val="14"/>
                <w:lang w:eastAsia="pt-BR"/>
              </w:rPr>
            </w:pPr>
            <w:r w:rsidRPr="00155DF9">
              <w:rPr>
                <w:rFonts w:cs="Arial"/>
                <w:sz w:val="14"/>
                <w:szCs w:val="14"/>
              </w:rPr>
              <w:t>(39)</w:t>
            </w:r>
          </w:p>
        </w:tc>
        <w:tc>
          <w:tcPr>
            <w:tcW w:w="1346" w:type="dxa"/>
            <w:shd w:val="clear" w:color="auto" w:fill="auto"/>
            <w:vAlign w:val="center"/>
          </w:tcPr>
          <w:p w14:paraId="79E284D2" w14:textId="77777777" w:rsidR="00C42353" w:rsidRPr="005D6879" w:rsidRDefault="00C42353" w:rsidP="003C2409">
            <w:pPr>
              <w:keepNext/>
              <w:keepLines/>
              <w:spacing w:before="40" w:after="40" w:line="240" w:lineRule="auto"/>
              <w:jc w:val="right"/>
              <w:rPr>
                <w:rFonts w:eastAsia="Times New Roman" w:cs="Arial"/>
                <w:b/>
                <w:bCs/>
                <w:spacing w:val="-2"/>
                <w:sz w:val="14"/>
                <w:szCs w:val="14"/>
                <w:lang w:eastAsia="pt-BR"/>
              </w:rPr>
            </w:pPr>
            <w:r w:rsidRPr="00B355AA">
              <w:rPr>
                <w:rFonts w:cs="Arial"/>
                <w:sz w:val="14"/>
                <w:szCs w:val="14"/>
              </w:rPr>
              <w:t>(646)</w:t>
            </w:r>
          </w:p>
        </w:tc>
        <w:tc>
          <w:tcPr>
            <w:tcW w:w="1346" w:type="dxa"/>
            <w:shd w:val="clear" w:color="auto" w:fill="auto"/>
            <w:vAlign w:val="center"/>
          </w:tcPr>
          <w:p w14:paraId="020E6AFF" w14:textId="77777777" w:rsidR="00C42353" w:rsidRPr="005D6879" w:rsidRDefault="00C42353" w:rsidP="003C2409">
            <w:pPr>
              <w:keepNext/>
              <w:keepLines/>
              <w:spacing w:before="40" w:after="40" w:line="240" w:lineRule="auto"/>
              <w:jc w:val="right"/>
              <w:rPr>
                <w:rFonts w:eastAsia="Times New Roman" w:cs="Arial"/>
                <w:b/>
                <w:bCs/>
                <w:spacing w:val="-2"/>
                <w:sz w:val="14"/>
                <w:szCs w:val="14"/>
                <w:lang w:eastAsia="pt-BR"/>
              </w:rPr>
            </w:pPr>
            <w:r w:rsidRPr="00155DF9">
              <w:rPr>
                <w:rFonts w:cs="Arial"/>
                <w:sz w:val="14"/>
                <w:szCs w:val="14"/>
              </w:rPr>
              <w:t>(480)</w:t>
            </w:r>
          </w:p>
        </w:tc>
      </w:tr>
      <w:tr w:rsidR="00C42353" w:rsidRPr="00BB26E6" w14:paraId="5D4B87E4" w14:textId="77777777" w:rsidTr="00BB26E6">
        <w:trPr>
          <w:trHeight w:val="238"/>
          <w:jc w:val="center"/>
        </w:trPr>
        <w:tc>
          <w:tcPr>
            <w:tcW w:w="2978" w:type="dxa"/>
            <w:gridSpan w:val="2"/>
            <w:shd w:val="clear" w:color="auto" w:fill="auto"/>
            <w:vAlign w:val="center"/>
          </w:tcPr>
          <w:p w14:paraId="63C55BDD" w14:textId="77777777" w:rsidR="00C42353" w:rsidRPr="00BB26E6" w:rsidRDefault="00C42353" w:rsidP="00BB26E6">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Outras receitas e despesas</w:t>
            </w:r>
          </w:p>
        </w:tc>
        <w:tc>
          <w:tcPr>
            <w:tcW w:w="1323" w:type="dxa"/>
            <w:gridSpan w:val="2"/>
            <w:shd w:val="clear" w:color="auto" w:fill="auto"/>
          </w:tcPr>
          <w:p w14:paraId="256206FA" w14:textId="77777777" w:rsidR="00C42353" w:rsidRPr="00BB26E6" w:rsidRDefault="00C42353" w:rsidP="00BB26E6">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 xml:space="preserve">  (577.432)</w:t>
            </w:r>
          </w:p>
        </w:tc>
        <w:tc>
          <w:tcPr>
            <w:tcW w:w="1323" w:type="dxa"/>
            <w:gridSpan w:val="2"/>
            <w:shd w:val="clear" w:color="auto" w:fill="auto"/>
            <w:vAlign w:val="center"/>
          </w:tcPr>
          <w:p w14:paraId="3CB2688E" w14:textId="77777777" w:rsidR="00C42353" w:rsidRPr="00BB26E6" w:rsidRDefault="00C42353" w:rsidP="00BB26E6">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28.226</w:t>
            </w:r>
          </w:p>
        </w:tc>
        <w:tc>
          <w:tcPr>
            <w:tcW w:w="1323" w:type="dxa"/>
            <w:shd w:val="clear" w:color="auto" w:fill="auto"/>
            <w:vAlign w:val="center"/>
          </w:tcPr>
          <w:p w14:paraId="2361F138" w14:textId="77777777" w:rsidR="00C42353" w:rsidRPr="00BB26E6" w:rsidRDefault="00C42353" w:rsidP="00BB26E6">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 xml:space="preserve">  (33.944)</w:t>
            </w:r>
          </w:p>
        </w:tc>
        <w:tc>
          <w:tcPr>
            <w:tcW w:w="1346" w:type="dxa"/>
            <w:shd w:val="clear" w:color="auto" w:fill="auto"/>
            <w:vAlign w:val="center"/>
          </w:tcPr>
          <w:p w14:paraId="7F6FBED1" w14:textId="77777777" w:rsidR="00C42353" w:rsidRPr="00BB26E6" w:rsidRDefault="00C42353" w:rsidP="00BB26E6">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(131.012)</w:t>
            </w:r>
          </w:p>
        </w:tc>
        <w:tc>
          <w:tcPr>
            <w:tcW w:w="1346" w:type="dxa"/>
            <w:shd w:val="clear" w:color="auto" w:fill="auto"/>
            <w:vAlign w:val="center"/>
          </w:tcPr>
          <w:p w14:paraId="7CF85115" w14:textId="77777777" w:rsidR="00C42353" w:rsidRPr="00BB26E6" w:rsidRDefault="00C42353" w:rsidP="00BB26E6">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(24.766)</w:t>
            </w:r>
          </w:p>
        </w:tc>
      </w:tr>
      <w:tr w:rsidR="00C42353" w:rsidRPr="00A92D78" w14:paraId="07171543" w14:textId="77777777" w:rsidTr="00BB26E6">
        <w:trPr>
          <w:trHeight w:val="238"/>
          <w:jc w:val="center"/>
        </w:trPr>
        <w:tc>
          <w:tcPr>
            <w:tcW w:w="2978" w:type="dxa"/>
            <w:gridSpan w:val="2"/>
            <w:shd w:val="clear" w:color="auto" w:fill="auto"/>
            <w:vAlign w:val="center"/>
          </w:tcPr>
          <w:p w14:paraId="35A91A02" w14:textId="77777777" w:rsidR="00C42353" w:rsidRPr="00A92D78" w:rsidRDefault="00C42353" w:rsidP="00BB26E6">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Outras receitas</w:t>
            </w:r>
          </w:p>
        </w:tc>
        <w:tc>
          <w:tcPr>
            <w:tcW w:w="1323" w:type="dxa"/>
            <w:gridSpan w:val="2"/>
            <w:shd w:val="clear" w:color="auto" w:fill="auto"/>
          </w:tcPr>
          <w:p w14:paraId="335792F2"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5D27E2">
              <w:rPr>
                <w:rFonts w:cs="Arial"/>
                <w:sz w:val="14"/>
                <w:szCs w:val="14"/>
              </w:rPr>
              <w:t xml:space="preserve">  16.367 </w:t>
            </w:r>
          </w:p>
        </w:tc>
        <w:tc>
          <w:tcPr>
            <w:tcW w:w="1323" w:type="dxa"/>
            <w:gridSpan w:val="2"/>
            <w:shd w:val="clear" w:color="auto" w:fill="auto"/>
            <w:vAlign w:val="center"/>
          </w:tcPr>
          <w:p w14:paraId="41AD2E0C"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24137A">
              <w:rPr>
                <w:rFonts w:cs="Arial"/>
                <w:sz w:val="14"/>
                <w:szCs w:val="14"/>
              </w:rPr>
              <w:t>29.079</w:t>
            </w:r>
          </w:p>
        </w:tc>
        <w:tc>
          <w:tcPr>
            <w:tcW w:w="1323" w:type="dxa"/>
            <w:shd w:val="clear" w:color="auto" w:fill="auto"/>
            <w:vAlign w:val="center"/>
          </w:tcPr>
          <w:p w14:paraId="2BCC5DEC" w14:textId="77777777" w:rsidR="00C42353" w:rsidRPr="00BB26E6" w:rsidRDefault="00C42353" w:rsidP="00BB26E6">
            <w:pPr>
              <w:keepNext/>
              <w:keepLines/>
              <w:spacing w:before="40" w:after="40" w:line="240" w:lineRule="auto"/>
              <w:jc w:val="right"/>
              <w:rPr>
                <w:rFonts w:eastAsia="Times New Roman" w:cs="Arial"/>
                <w:spacing w:val="-2"/>
                <w:sz w:val="14"/>
                <w:szCs w:val="14"/>
                <w:lang w:eastAsia="pt-BR"/>
              </w:rPr>
            </w:pPr>
            <w:r w:rsidRPr="00BB26E6">
              <w:rPr>
                <w:rFonts w:cs="Arial"/>
                <w:sz w:val="14"/>
                <w:szCs w:val="14"/>
              </w:rPr>
              <w:t xml:space="preserve">  23 </w:t>
            </w:r>
          </w:p>
        </w:tc>
        <w:tc>
          <w:tcPr>
            <w:tcW w:w="1346" w:type="dxa"/>
            <w:shd w:val="clear" w:color="auto" w:fill="auto"/>
            <w:vAlign w:val="center"/>
          </w:tcPr>
          <w:p w14:paraId="5A3BFF39"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w:t>
            </w:r>
          </w:p>
        </w:tc>
        <w:tc>
          <w:tcPr>
            <w:tcW w:w="1346" w:type="dxa"/>
            <w:shd w:val="clear" w:color="auto" w:fill="auto"/>
            <w:vAlign w:val="center"/>
          </w:tcPr>
          <w:p w14:paraId="4ABB1B67"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155DF9">
              <w:rPr>
                <w:rFonts w:cs="Arial"/>
                <w:sz w:val="14"/>
                <w:szCs w:val="14"/>
              </w:rPr>
              <w:t>--</w:t>
            </w:r>
          </w:p>
        </w:tc>
      </w:tr>
      <w:tr w:rsidR="00C42353" w:rsidRPr="006369A6" w14:paraId="07DE83E6" w14:textId="77777777" w:rsidTr="00BB26E6">
        <w:trPr>
          <w:trHeight w:val="238"/>
          <w:jc w:val="center"/>
        </w:trPr>
        <w:tc>
          <w:tcPr>
            <w:tcW w:w="2978" w:type="dxa"/>
            <w:gridSpan w:val="2"/>
            <w:shd w:val="clear" w:color="auto" w:fill="FFFFFF" w:themeFill="background1"/>
            <w:vAlign w:val="center"/>
          </w:tcPr>
          <w:p w14:paraId="1B9772D3" w14:textId="77777777" w:rsidR="00C42353" w:rsidRPr="006369A6" w:rsidRDefault="00C42353" w:rsidP="00BB26E6">
            <w:pPr>
              <w:keepNext/>
              <w:keepLines/>
              <w:spacing w:before="40" w:after="40" w:line="240" w:lineRule="auto"/>
              <w:ind w:left="113"/>
              <w:rPr>
                <w:rFonts w:eastAsia="Times New Roman" w:cs="Arial"/>
                <w:bCs/>
                <w:color w:val="000000"/>
                <w:spacing w:val="-2"/>
                <w:sz w:val="14"/>
                <w:szCs w:val="14"/>
                <w:lang w:eastAsia="pt-BR"/>
              </w:rPr>
            </w:pPr>
            <w:r w:rsidRPr="006369A6">
              <w:rPr>
                <w:rFonts w:eastAsia="Times New Roman" w:cs="Arial"/>
                <w:bCs/>
                <w:color w:val="000000"/>
                <w:spacing w:val="-2"/>
                <w:sz w:val="14"/>
                <w:szCs w:val="14"/>
                <w:lang w:eastAsia="pt-BR"/>
              </w:rPr>
              <w:t>Outras despesas</w:t>
            </w:r>
          </w:p>
        </w:tc>
        <w:tc>
          <w:tcPr>
            <w:tcW w:w="1323" w:type="dxa"/>
            <w:gridSpan w:val="2"/>
            <w:shd w:val="clear" w:color="auto" w:fill="FFFFFF" w:themeFill="background1"/>
          </w:tcPr>
          <w:p w14:paraId="1C1CC712"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5D27E2">
              <w:rPr>
                <w:rFonts w:cs="Arial"/>
                <w:sz w:val="14"/>
                <w:szCs w:val="14"/>
              </w:rPr>
              <w:t xml:space="preserve">  (593.799)</w:t>
            </w:r>
          </w:p>
        </w:tc>
        <w:tc>
          <w:tcPr>
            <w:tcW w:w="1323" w:type="dxa"/>
            <w:gridSpan w:val="2"/>
            <w:shd w:val="clear" w:color="auto" w:fill="FFFFFF" w:themeFill="background1"/>
            <w:vAlign w:val="center"/>
          </w:tcPr>
          <w:p w14:paraId="170DBCC8"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24137A">
              <w:rPr>
                <w:rFonts w:cs="Arial"/>
                <w:sz w:val="14"/>
                <w:szCs w:val="14"/>
              </w:rPr>
              <w:t>(853)</w:t>
            </w:r>
          </w:p>
        </w:tc>
        <w:tc>
          <w:tcPr>
            <w:tcW w:w="1323" w:type="dxa"/>
            <w:shd w:val="clear" w:color="auto" w:fill="FFFFFF" w:themeFill="background1"/>
            <w:vAlign w:val="center"/>
          </w:tcPr>
          <w:p w14:paraId="051003D3" w14:textId="77777777" w:rsidR="00C42353" w:rsidRPr="00BB26E6" w:rsidRDefault="00C42353" w:rsidP="00BB26E6">
            <w:pPr>
              <w:keepNext/>
              <w:keepLines/>
              <w:spacing w:before="40" w:after="40" w:line="240" w:lineRule="auto"/>
              <w:jc w:val="right"/>
              <w:rPr>
                <w:rFonts w:eastAsia="Times New Roman" w:cs="Arial"/>
                <w:spacing w:val="-2"/>
                <w:sz w:val="14"/>
                <w:szCs w:val="14"/>
                <w:lang w:eastAsia="pt-BR"/>
              </w:rPr>
            </w:pPr>
            <w:r w:rsidRPr="00BB26E6">
              <w:rPr>
                <w:rFonts w:cs="Arial"/>
                <w:sz w:val="14"/>
                <w:szCs w:val="14"/>
              </w:rPr>
              <w:t xml:space="preserve">  (33.967)</w:t>
            </w:r>
          </w:p>
        </w:tc>
        <w:tc>
          <w:tcPr>
            <w:tcW w:w="1346" w:type="dxa"/>
            <w:shd w:val="clear" w:color="auto" w:fill="FFFFFF" w:themeFill="background1"/>
            <w:vAlign w:val="center"/>
          </w:tcPr>
          <w:p w14:paraId="526F6DD9"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B355AA">
              <w:rPr>
                <w:rFonts w:cs="Arial"/>
                <w:sz w:val="14"/>
                <w:szCs w:val="14"/>
              </w:rPr>
              <w:t>(131.012)</w:t>
            </w:r>
          </w:p>
        </w:tc>
        <w:tc>
          <w:tcPr>
            <w:tcW w:w="1346" w:type="dxa"/>
            <w:shd w:val="clear" w:color="auto" w:fill="FFFFFF" w:themeFill="background1"/>
            <w:vAlign w:val="center"/>
          </w:tcPr>
          <w:p w14:paraId="17D60084" w14:textId="77777777" w:rsidR="00C42353" w:rsidRPr="005D6879" w:rsidRDefault="00C42353" w:rsidP="00BB26E6">
            <w:pPr>
              <w:keepNext/>
              <w:keepLines/>
              <w:spacing w:before="40" w:after="40" w:line="240" w:lineRule="auto"/>
              <w:jc w:val="right"/>
              <w:rPr>
                <w:rFonts w:eastAsia="Times New Roman" w:cs="Arial"/>
                <w:spacing w:val="-2"/>
                <w:sz w:val="14"/>
                <w:szCs w:val="14"/>
                <w:lang w:eastAsia="pt-BR"/>
              </w:rPr>
            </w:pPr>
            <w:r w:rsidRPr="00757EFE">
              <w:rPr>
                <w:rFonts w:cs="Arial"/>
                <w:sz w:val="14"/>
                <w:szCs w:val="14"/>
              </w:rPr>
              <w:t>(24.766)</w:t>
            </w:r>
          </w:p>
        </w:tc>
      </w:tr>
      <w:tr w:rsidR="00C42353" w:rsidRPr="00BB26E6" w14:paraId="2B77225A" w14:textId="77777777" w:rsidTr="00EF41C6">
        <w:trPr>
          <w:trHeight w:val="238"/>
          <w:jc w:val="center"/>
        </w:trPr>
        <w:tc>
          <w:tcPr>
            <w:tcW w:w="2978" w:type="dxa"/>
            <w:gridSpan w:val="2"/>
            <w:shd w:val="clear" w:color="auto" w:fill="FFFFFF" w:themeFill="background1"/>
            <w:vAlign w:val="center"/>
          </w:tcPr>
          <w:p w14:paraId="7E76CE04"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Resultado operacional</w:t>
            </w:r>
          </w:p>
        </w:tc>
        <w:tc>
          <w:tcPr>
            <w:tcW w:w="1323" w:type="dxa"/>
            <w:gridSpan w:val="2"/>
            <w:shd w:val="clear" w:color="auto" w:fill="FFFFFF" w:themeFill="background1"/>
          </w:tcPr>
          <w:p w14:paraId="2ECA69E3"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 xml:space="preserve">  1.458.791 </w:t>
            </w:r>
          </w:p>
        </w:tc>
        <w:tc>
          <w:tcPr>
            <w:tcW w:w="1323" w:type="dxa"/>
            <w:gridSpan w:val="2"/>
            <w:shd w:val="clear" w:color="auto" w:fill="FFFFFF" w:themeFill="background1"/>
            <w:vAlign w:val="center"/>
          </w:tcPr>
          <w:p w14:paraId="264CFBD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265.528</w:t>
            </w:r>
          </w:p>
        </w:tc>
        <w:tc>
          <w:tcPr>
            <w:tcW w:w="1323" w:type="dxa"/>
            <w:shd w:val="clear" w:color="auto" w:fill="FFFFFF" w:themeFill="background1"/>
            <w:vAlign w:val="center"/>
          </w:tcPr>
          <w:p w14:paraId="726525F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36.294</w:t>
            </w:r>
          </w:p>
        </w:tc>
        <w:tc>
          <w:tcPr>
            <w:tcW w:w="1346" w:type="dxa"/>
            <w:shd w:val="clear" w:color="auto" w:fill="FFFFFF" w:themeFill="background1"/>
            <w:vAlign w:val="center"/>
          </w:tcPr>
          <w:p w14:paraId="2D6D5E0D"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2.992.005</w:t>
            </w:r>
          </w:p>
        </w:tc>
        <w:tc>
          <w:tcPr>
            <w:tcW w:w="1346" w:type="dxa"/>
            <w:shd w:val="clear" w:color="auto" w:fill="FFFFFF" w:themeFill="background1"/>
            <w:vAlign w:val="center"/>
          </w:tcPr>
          <w:p w14:paraId="57BDE7EC"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(21.209)</w:t>
            </w:r>
          </w:p>
        </w:tc>
      </w:tr>
      <w:tr w:rsidR="00C42353" w:rsidRPr="00BB26E6" w14:paraId="21B259B3" w14:textId="77777777" w:rsidTr="00EF41C6">
        <w:trPr>
          <w:trHeight w:val="238"/>
          <w:jc w:val="center"/>
        </w:trPr>
        <w:tc>
          <w:tcPr>
            <w:tcW w:w="2909" w:type="dxa"/>
            <w:shd w:val="clear" w:color="auto" w:fill="FFFFFF" w:themeFill="background1"/>
            <w:vAlign w:val="center"/>
          </w:tcPr>
          <w:p w14:paraId="146D9377" w14:textId="77777777" w:rsidR="00C42353" w:rsidRPr="0040591D" w:rsidRDefault="00C42353" w:rsidP="0040591D">
            <w:pPr>
              <w:keepNext/>
              <w:keepLines/>
              <w:spacing w:before="40" w:after="40" w:line="240" w:lineRule="auto"/>
              <w:ind w:left="113"/>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Ganhos/perdas com ativos não correntes</w:t>
            </w:r>
          </w:p>
        </w:tc>
        <w:tc>
          <w:tcPr>
            <w:tcW w:w="1346" w:type="dxa"/>
            <w:gridSpan w:val="2"/>
            <w:shd w:val="clear" w:color="auto" w:fill="FFFFFF" w:themeFill="background1"/>
            <w:vAlign w:val="center"/>
          </w:tcPr>
          <w:p w14:paraId="4ABEFB9F" w14:textId="77777777" w:rsidR="00C42353" w:rsidRPr="0040591D" w:rsidRDefault="00C42353" w:rsidP="0040591D">
            <w:pPr>
              <w:keepNext/>
              <w:keepLines/>
              <w:spacing w:before="40" w:after="40" w:line="240" w:lineRule="auto"/>
              <w:ind w:left="113"/>
              <w:jc w:val="right"/>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(1.501)</w:t>
            </w:r>
          </w:p>
        </w:tc>
        <w:tc>
          <w:tcPr>
            <w:tcW w:w="1346" w:type="dxa"/>
            <w:gridSpan w:val="2"/>
            <w:shd w:val="clear" w:color="auto" w:fill="FFFFFF" w:themeFill="background1"/>
            <w:vAlign w:val="center"/>
          </w:tcPr>
          <w:p w14:paraId="1BC7CFDE" w14:textId="77777777" w:rsidR="00C42353" w:rsidRPr="0040591D" w:rsidRDefault="00C42353" w:rsidP="0040591D">
            <w:pPr>
              <w:keepNext/>
              <w:keepLines/>
              <w:spacing w:before="40" w:after="40" w:line="240" w:lineRule="auto"/>
              <w:ind w:left="113"/>
              <w:jc w:val="right"/>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12</w:t>
            </w:r>
          </w:p>
        </w:tc>
        <w:tc>
          <w:tcPr>
            <w:tcW w:w="1346" w:type="dxa"/>
            <w:gridSpan w:val="2"/>
            <w:shd w:val="clear" w:color="auto" w:fill="FFFFFF" w:themeFill="background1"/>
            <w:vAlign w:val="center"/>
          </w:tcPr>
          <w:p w14:paraId="5B7E279A" w14:textId="77777777" w:rsidR="00C42353" w:rsidRPr="0040591D" w:rsidRDefault="00C42353" w:rsidP="0040591D">
            <w:pPr>
              <w:keepNext/>
              <w:keepLines/>
              <w:spacing w:before="40" w:after="40" w:line="240" w:lineRule="auto"/>
              <w:ind w:left="113"/>
              <w:jc w:val="right"/>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w:t>
            </w:r>
          </w:p>
        </w:tc>
        <w:tc>
          <w:tcPr>
            <w:tcW w:w="1346" w:type="dxa"/>
            <w:shd w:val="clear" w:color="auto" w:fill="FFFFFF" w:themeFill="background1"/>
            <w:vAlign w:val="center"/>
          </w:tcPr>
          <w:p w14:paraId="11C22261" w14:textId="77777777" w:rsidR="00C42353" w:rsidRPr="0040591D" w:rsidRDefault="00C42353" w:rsidP="0040591D">
            <w:pPr>
              <w:keepNext/>
              <w:keepLines/>
              <w:spacing w:before="40" w:after="40" w:line="240" w:lineRule="auto"/>
              <w:ind w:left="113"/>
              <w:jc w:val="right"/>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w:t>
            </w:r>
          </w:p>
        </w:tc>
        <w:tc>
          <w:tcPr>
            <w:tcW w:w="1346" w:type="dxa"/>
            <w:shd w:val="clear" w:color="auto" w:fill="FFFFFF" w:themeFill="background1"/>
            <w:vAlign w:val="center"/>
          </w:tcPr>
          <w:p w14:paraId="5FAD9823" w14:textId="77777777" w:rsidR="00C42353" w:rsidRPr="0040591D" w:rsidRDefault="00C42353" w:rsidP="0040591D">
            <w:pPr>
              <w:keepNext/>
              <w:keepLines/>
              <w:spacing w:before="40" w:after="40" w:line="240" w:lineRule="auto"/>
              <w:ind w:left="113"/>
              <w:jc w:val="right"/>
              <w:rPr>
                <w:rFonts w:eastAsia="Times New Roman" w:cs="Arial"/>
                <w:bCs/>
                <w:color w:val="000000"/>
                <w:spacing w:val="-2"/>
                <w:sz w:val="14"/>
                <w:szCs w:val="14"/>
                <w:lang w:eastAsia="pt-BR"/>
              </w:rPr>
            </w:pPr>
            <w:r w:rsidRPr="0040591D">
              <w:rPr>
                <w:rFonts w:eastAsia="Times New Roman" w:cs="Arial"/>
                <w:bCs/>
                <w:color w:val="000000"/>
                <w:spacing w:val="-2"/>
                <w:sz w:val="14"/>
                <w:szCs w:val="14"/>
                <w:lang w:eastAsia="pt-BR"/>
              </w:rPr>
              <w:t>--</w:t>
            </w:r>
          </w:p>
        </w:tc>
      </w:tr>
      <w:tr w:rsidR="00C42353" w:rsidRPr="00BB26E6" w14:paraId="5D2B6D90" w14:textId="77777777" w:rsidTr="00EF41C6">
        <w:trPr>
          <w:trHeight w:val="238"/>
          <w:jc w:val="center"/>
        </w:trPr>
        <w:tc>
          <w:tcPr>
            <w:tcW w:w="2978" w:type="dxa"/>
            <w:gridSpan w:val="2"/>
            <w:shd w:val="clear" w:color="auto" w:fill="FFFFFF" w:themeFill="background1"/>
            <w:vAlign w:val="center"/>
          </w:tcPr>
          <w:p w14:paraId="5227D97B"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Resultado antes dos impostos</w:t>
            </w:r>
          </w:p>
        </w:tc>
        <w:tc>
          <w:tcPr>
            <w:tcW w:w="1323" w:type="dxa"/>
            <w:gridSpan w:val="2"/>
            <w:shd w:val="clear" w:color="auto" w:fill="FFFFFF" w:themeFill="background1"/>
            <w:vAlign w:val="center"/>
          </w:tcPr>
          <w:p w14:paraId="5DCF1907"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1.457.290</w:t>
            </w:r>
          </w:p>
        </w:tc>
        <w:tc>
          <w:tcPr>
            <w:tcW w:w="1323" w:type="dxa"/>
            <w:gridSpan w:val="2"/>
            <w:shd w:val="clear" w:color="auto" w:fill="FFFFFF" w:themeFill="background1"/>
            <w:vAlign w:val="center"/>
          </w:tcPr>
          <w:p w14:paraId="6CFFF71C"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265.539</w:t>
            </w:r>
          </w:p>
        </w:tc>
        <w:tc>
          <w:tcPr>
            <w:tcW w:w="1323" w:type="dxa"/>
            <w:shd w:val="clear" w:color="auto" w:fill="FFFFFF" w:themeFill="background1"/>
            <w:vAlign w:val="center"/>
          </w:tcPr>
          <w:p w14:paraId="32B7D7A5"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36.294</w:t>
            </w:r>
          </w:p>
        </w:tc>
        <w:tc>
          <w:tcPr>
            <w:tcW w:w="1346" w:type="dxa"/>
            <w:shd w:val="clear" w:color="auto" w:fill="FFFFFF" w:themeFill="background1"/>
            <w:vAlign w:val="center"/>
          </w:tcPr>
          <w:p w14:paraId="51D8B32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2.992.005</w:t>
            </w:r>
          </w:p>
        </w:tc>
        <w:tc>
          <w:tcPr>
            <w:tcW w:w="1346" w:type="dxa"/>
            <w:shd w:val="clear" w:color="auto" w:fill="FFFFFF" w:themeFill="background1"/>
            <w:vAlign w:val="center"/>
          </w:tcPr>
          <w:p w14:paraId="015CB8D5"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(21.209)</w:t>
            </w:r>
          </w:p>
        </w:tc>
      </w:tr>
      <w:tr w:rsidR="00C42353" w:rsidRPr="006369A6" w14:paraId="5234BC97" w14:textId="77777777" w:rsidTr="00EF41C6">
        <w:trPr>
          <w:trHeight w:val="238"/>
          <w:jc w:val="center"/>
        </w:trPr>
        <w:tc>
          <w:tcPr>
            <w:tcW w:w="2978" w:type="dxa"/>
            <w:gridSpan w:val="2"/>
            <w:shd w:val="clear" w:color="auto" w:fill="FFFFFF" w:themeFill="background1"/>
            <w:vAlign w:val="center"/>
          </w:tcPr>
          <w:p w14:paraId="66171144" w14:textId="77777777" w:rsidR="00C42353" w:rsidRPr="006369A6" w:rsidRDefault="00C42353" w:rsidP="003C2409">
            <w:pPr>
              <w:keepNext/>
              <w:keepLines/>
              <w:spacing w:before="40" w:after="40" w:line="240" w:lineRule="auto"/>
              <w:ind w:left="113"/>
              <w:rPr>
                <w:rFonts w:eastAsia="Times New Roman" w:cs="Arial"/>
                <w:b/>
                <w:color w:val="000000"/>
                <w:spacing w:val="-2"/>
                <w:sz w:val="14"/>
                <w:szCs w:val="14"/>
                <w:lang w:eastAsia="pt-BR"/>
              </w:rPr>
            </w:pPr>
            <w:r w:rsidRPr="006369A6">
              <w:rPr>
                <w:rFonts w:eastAsia="Times New Roman" w:cs="Arial"/>
                <w:bCs/>
                <w:color w:val="000000"/>
                <w:spacing w:val="-2"/>
                <w:sz w:val="14"/>
                <w:szCs w:val="14"/>
                <w:lang w:eastAsia="pt-BR"/>
              </w:rPr>
              <w:t xml:space="preserve">Impostos </w:t>
            </w:r>
          </w:p>
        </w:tc>
        <w:tc>
          <w:tcPr>
            <w:tcW w:w="1323" w:type="dxa"/>
            <w:gridSpan w:val="2"/>
            <w:shd w:val="clear" w:color="auto" w:fill="FFFFFF" w:themeFill="background1"/>
            <w:vAlign w:val="center"/>
          </w:tcPr>
          <w:p w14:paraId="1DFE4ED9"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(537.168)</w:t>
            </w:r>
          </w:p>
        </w:tc>
        <w:tc>
          <w:tcPr>
            <w:tcW w:w="1323" w:type="dxa"/>
            <w:gridSpan w:val="2"/>
            <w:shd w:val="clear" w:color="auto" w:fill="FFFFFF" w:themeFill="background1"/>
            <w:vAlign w:val="center"/>
          </w:tcPr>
          <w:p w14:paraId="402398F3"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24137A">
              <w:rPr>
                <w:rFonts w:cs="Arial"/>
                <w:sz w:val="14"/>
                <w:szCs w:val="14"/>
              </w:rPr>
              <w:t>(101.144)</w:t>
            </w:r>
          </w:p>
        </w:tc>
        <w:tc>
          <w:tcPr>
            <w:tcW w:w="1323" w:type="dxa"/>
            <w:shd w:val="clear" w:color="auto" w:fill="FFFFFF" w:themeFill="background1"/>
            <w:vAlign w:val="center"/>
          </w:tcPr>
          <w:p w14:paraId="30AF6C02"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(12.326)</w:t>
            </w:r>
          </w:p>
        </w:tc>
        <w:tc>
          <w:tcPr>
            <w:tcW w:w="1346" w:type="dxa"/>
            <w:shd w:val="clear" w:color="auto" w:fill="FFFFFF" w:themeFill="background1"/>
            <w:vAlign w:val="center"/>
          </w:tcPr>
          <w:p w14:paraId="54CF5860"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B355AA">
              <w:rPr>
                <w:rFonts w:cs="Arial"/>
                <w:sz w:val="14"/>
                <w:szCs w:val="14"/>
              </w:rPr>
              <w:t>(1.022.900)</w:t>
            </w:r>
          </w:p>
        </w:tc>
        <w:tc>
          <w:tcPr>
            <w:tcW w:w="1346" w:type="dxa"/>
            <w:shd w:val="clear" w:color="auto" w:fill="FFFFFF" w:themeFill="background1"/>
            <w:vAlign w:val="center"/>
          </w:tcPr>
          <w:p w14:paraId="317E37F0" w14:textId="77777777" w:rsidR="00C42353" w:rsidRPr="005D6879" w:rsidRDefault="00C42353" w:rsidP="003C2409">
            <w:pPr>
              <w:keepNext/>
              <w:keepLines/>
              <w:spacing w:before="40" w:after="40" w:line="240" w:lineRule="auto"/>
              <w:jc w:val="right"/>
              <w:rPr>
                <w:rFonts w:eastAsia="Times New Roman" w:cs="Arial"/>
                <w:b/>
                <w:spacing w:val="-2"/>
                <w:sz w:val="14"/>
                <w:szCs w:val="14"/>
                <w:lang w:eastAsia="pt-BR"/>
              </w:rPr>
            </w:pPr>
            <w:r w:rsidRPr="00155DF9">
              <w:rPr>
                <w:rFonts w:cs="Arial"/>
                <w:sz w:val="14"/>
                <w:szCs w:val="14"/>
              </w:rPr>
              <w:t>--</w:t>
            </w:r>
          </w:p>
        </w:tc>
      </w:tr>
      <w:tr w:rsidR="00C42353" w:rsidRPr="006369A6" w14:paraId="25B68D4E" w14:textId="77777777" w:rsidTr="00EF41C6">
        <w:trPr>
          <w:trHeight w:val="238"/>
          <w:jc w:val="center"/>
        </w:trPr>
        <w:tc>
          <w:tcPr>
            <w:tcW w:w="2978" w:type="dxa"/>
            <w:gridSpan w:val="2"/>
            <w:shd w:val="clear" w:color="auto" w:fill="FFFFFF" w:themeFill="background1"/>
            <w:vAlign w:val="center"/>
          </w:tcPr>
          <w:p w14:paraId="4C33D4DB" w14:textId="77777777" w:rsidR="00C42353" w:rsidRPr="006369A6" w:rsidRDefault="00C42353" w:rsidP="003C2409">
            <w:pPr>
              <w:keepNext/>
              <w:keepLines/>
              <w:spacing w:before="40" w:after="40" w:line="240" w:lineRule="auto"/>
              <w:ind w:left="113"/>
              <w:rPr>
                <w:rFonts w:eastAsia="Times New Roman" w:cs="Arial"/>
                <w:b/>
                <w:color w:val="000000"/>
                <w:spacing w:val="-2"/>
                <w:sz w:val="14"/>
                <w:szCs w:val="14"/>
                <w:lang w:eastAsia="pt-BR"/>
              </w:rPr>
            </w:pPr>
            <w:r w:rsidRPr="006369A6">
              <w:rPr>
                <w:rFonts w:eastAsia="Times New Roman" w:cs="Arial"/>
                <w:bCs/>
                <w:color w:val="000000"/>
                <w:spacing w:val="-2"/>
                <w:sz w:val="14"/>
                <w:szCs w:val="14"/>
                <w:lang w:eastAsia="pt-BR"/>
              </w:rPr>
              <w:t>Participações nos lucros</w:t>
            </w:r>
          </w:p>
        </w:tc>
        <w:tc>
          <w:tcPr>
            <w:tcW w:w="1323" w:type="dxa"/>
            <w:gridSpan w:val="2"/>
            <w:shd w:val="clear" w:color="auto" w:fill="FFFFFF" w:themeFill="background1"/>
            <w:vAlign w:val="center"/>
          </w:tcPr>
          <w:p w14:paraId="7B79B3E4" w14:textId="77777777" w:rsidR="00C42353" w:rsidRPr="00D96C18" w:rsidRDefault="00C42353" w:rsidP="003C2409">
            <w:pPr>
              <w:keepNext/>
              <w:keepLines/>
              <w:spacing w:before="40" w:after="40" w:line="240" w:lineRule="auto"/>
              <w:jc w:val="right"/>
              <w:rPr>
                <w:rFonts w:cs="Arial"/>
                <w:sz w:val="14"/>
                <w:szCs w:val="14"/>
              </w:rPr>
            </w:pPr>
            <w:r w:rsidRPr="00155DF9">
              <w:rPr>
                <w:rFonts w:cs="Arial"/>
                <w:sz w:val="14"/>
                <w:szCs w:val="14"/>
              </w:rPr>
              <w:t>(8.118)</w:t>
            </w:r>
          </w:p>
        </w:tc>
        <w:tc>
          <w:tcPr>
            <w:tcW w:w="1323" w:type="dxa"/>
            <w:gridSpan w:val="2"/>
            <w:shd w:val="clear" w:color="auto" w:fill="FFFFFF" w:themeFill="background1"/>
            <w:vAlign w:val="center"/>
          </w:tcPr>
          <w:p w14:paraId="06F725F9" w14:textId="77777777" w:rsidR="00C42353" w:rsidRPr="00D96C18" w:rsidRDefault="00C42353" w:rsidP="003C2409">
            <w:pPr>
              <w:keepNext/>
              <w:keepLines/>
              <w:spacing w:before="40" w:after="40" w:line="240" w:lineRule="auto"/>
              <w:jc w:val="right"/>
              <w:rPr>
                <w:rFonts w:cs="Arial"/>
                <w:sz w:val="14"/>
                <w:szCs w:val="14"/>
              </w:rPr>
            </w:pPr>
            <w:r w:rsidRPr="0024137A">
              <w:rPr>
                <w:rFonts w:cs="Arial"/>
                <w:sz w:val="14"/>
                <w:szCs w:val="14"/>
              </w:rPr>
              <w:t>(5.595)</w:t>
            </w:r>
          </w:p>
        </w:tc>
        <w:tc>
          <w:tcPr>
            <w:tcW w:w="1323" w:type="dxa"/>
            <w:shd w:val="clear" w:color="auto" w:fill="FFFFFF" w:themeFill="background1"/>
            <w:vAlign w:val="center"/>
          </w:tcPr>
          <w:p w14:paraId="5278638C" w14:textId="77777777" w:rsidR="00C42353" w:rsidRPr="00D96C18" w:rsidRDefault="00C42353" w:rsidP="003C2409">
            <w:pPr>
              <w:keepNext/>
              <w:keepLines/>
              <w:spacing w:before="40" w:after="40" w:line="240" w:lineRule="auto"/>
              <w:jc w:val="right"/>
              <w:rPr>
                <w:rFonts w:cs="Arial"/>
                <w:sz w:val="14"/>
                <w:szCs w:val="14"/>
              </w:rPr>
            </w:pPr>
            <w:r w:rsidRPr="00155DF9">
              <w:rPr>
                <w:rFonts w:cs="Arial"/>
                <w:sz w:val="14"/>
                <w:szCs w:val="14"/>
              </w:rPr>
              <w:t>(366)</w:t>
            </w:r>
          </w:p>
        </w:tc>
        <w:tc>
          <w:tcPr>
            <w:tcW w:w="1346" w:type="dxa"/>
            <w:shd w:val="clear" w:color="auto" w:fill="FFFFFF" w:themeFill="background1"/>
            <w:vAlign w:val="center"/>
          </w:tcPr>
          <w:p w14:paraId="6F8FE47F" w14:textId="77777777" w:rsidR="00C42353" w:rsidRPr="00D96C18" w:rsidRDefault="00C42353" w:rsidP="003C2409">
            <w:pPr>
              <w:keepNext/>
              <w:keepLines/>
              <w:spacing w:before="40" w:after="40" w:line="240" w:lineRule="auto"/>
              <w:jc w:val="right"/>
              <w:rPr>
                <w:rFonts w:cs="Arial"/>
                <w:sz w:val="14"/>
                <w:szCs w:val="14"/>
              </w:rPr>
            </w:pPr>
            <w:r w:rsidRPr="00B355AA">
              <w:rPr>
                <w:rFonts w:cs="Arial"/>
                <w:sz w:val="14"/>
                <w:szCs w:val="14"/>
              </w:rPr>
              <w:t>--</w:t>
            </w:r>
          </w:p>
        </w:tc>
        <w:tc>
          <w:tcPr>
            <w:tcW w:w="1346" w:type="dxa"/>
            <w:shd w:val="clear" w:color="auto" w:fill="FFFFFF" w:themeFill="background1"/>
            <w:vAlign w:val="center"/>
          </w:tcPr>
          <w:p w14:paraId="7E3DD8E4" w14:textId="77777777" w:rsidR="00C42353" w:rsidRPr="00D96C18" w:rsidRDefault="00C42353" w:rsidP="003C2409">
            <w:pPr>
              <w:keepNext/>
              <w:keepLines/>
              <w:spacing w:before="40" w:after="40" w:line="240" w:lineRule="auto"/>
              <w:jc w:val="right"/>
              <w:rPr>
                <w:rFonts w:cs="Arial"/>
                <w:sz w:val="14"/>
                <w:szCs w:val="14"/>
              </w:rPr>
            </w:pPr>
            <w:r w:rsidRPr="00155DF9">
              <w:rPr>
                <w:rFonts w:cs="Arial"/>
                <w:sz w:val="14"/>
                <w:szCs w:val="14"/>
              </w:rPr>
              <w:t>--</w:t>
            </w:r>
          </w:p>
        </w:tc>
      </w:tr>
      <w:tr w:rsidR="00C42353" w:rsidRPr="00BB26E6" w14:paraId="0D8DE185" w14:textId="77777777" w:rsidTr="00EF41C6">
        <w:trPr>
          <w:trHeight w:val="238"/>
          <w:jc w:val="center"/>
        </w:trPr>
        <w:tc>
          <w:tcPr>
            <w:tcW w:w="2978" w:type="dxa"/>
            <w:gridSpan w:val="2"/>
            <w:shd w:val="clear" w:color="auto" w:fill="auto"/>
            <w:vAlign w:val="center"/>
          </w:tcPr>
          <w:p w14:paraId="6757A128"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Lucro (prejuízo) líquido do exercício</w:t>
            </w:r>
          </w:p>
        </w:tc>
        <w:tc>
          <w:tcPr>
            <w:tcW w:w="1323" w:type="dxa"/>
            <w:gridSpan w:val="2"/>
            <w:shd w:val="clear" w:color="auto" w:fill="auto"/>
            <w:vAlign w:val="center"/>
          </w:tcPr>
          <w:p w14:paraId="27CE61BC"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912.004</w:t>
            </w:r>
          </w:p>
        </w:tc>
        <w:tc>
          <w:tcPr>
            <w:tcW w:w="1323" w:type="dxa"/>
            <w:gridSpan w:val="2"/>
            <w:shd w:val="clear" w:color="auto" w:fill="auto"/>
            <w:vAlign w:val="center"/>
          </w:tcPr>
          <w:p w14:paraId="338839D9"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Arial"/>
                <w:b/>
                <w:spacing w:val="-2"/>
                <w:sz w:val="14"/>
                <w:szCs w:val="14"/>
                <w:lang w:eastAsia="pt-BR"/>
              </w:rPr>
              <w:t>158.801</w:t>
            </w:r>
          </w:p>
        </w:tc>
        <w:tc>
          <w:tcPr>
            <w:tcW w:w="1323" w:type="dxa"/>
            <w:shd w:val="clear" w:color="auto" w:fill="auto"/>
            <w:vAlign w:val="center"/>
          </w:tcPr>
          <w:p w14:paraId="0C1FF76D"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23.602</w:t>
            </w:r>
          </w:p>
        </w:tc>
        <w:tc>
          <w:tcPr>
            <w:tcW w:w="1346" w:type="dxa"/>
            <w:shd w:val="clear" w:color="auto" w:fill="auto"/>
            <w:vAlign w:val="center"/>
          </w:tcPr>
          <w:p w14:paraId="4163CFEA"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1.969.105</w:t>
            </w:r>
          </w:p>
        </w:tc>
        <w:tc>
          <w:tcPr>
            <w:tcW w:w="1346" w:type="dxa"/>
            <w:shd w:val="clear" w:color="auto" w:fill="auto"/>
            <w:vAlign w:val="center"/>
          </w:tcPr>
          <w:p w14:paraId="2D2C0A24"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(21.209)</w:t>
            </w:r>
          </w:p>
        </w:tc>
      </w:tr>
      <w:tr w:rsidR="00C42353" w:rsidRPr="003C2409" w14:paraId="1E3FF6F6" w14:textId="77777777" w:rsidTr="00EF41C6">
        <w:trPr>
          <w:trHeight w:val="238"/>
          <w:jc w:val="center"/>
        </w:trPr>
        <w:tc>
          <w:tcPr>
            <w:tcW w:w="2978" w:type="dxa"/>
            <w:gridSpan w:val="2"/>
            <w:shd w:val="clear" w:color="auto" w:fill="auto"/>
            <w:vAlign w:val="center"/>
          </w:tcPr>
          <w:p w14:paraId="17116803" w14:textId="77777777" w:rsidR="00C42353" w:rsidRPr="003C2409" w:rsidRDefault="00C42353" w:rsidP="003C2409">
            <w:pPr>
              <w:keepNext/>
              <w:keepLines/>
              <w:spacing w:before="40" w:after="40" w:line="240" w:lineRule="auto"/>
              <w:ind w:left="113"/>
              <w:rPr>
                <w:rFonts w:eastAsia="Times New Roman" w:cs="Arial"/>
                <w:bCs/>
                <w:color w:val="000000"/>
                <w:spacing w:val="-2"/>
                <w:sz w:val="14"/>
                <w:szCs w:val="14"/>
                <w:lang w:eastAsia="pt-BR"/>
              </w:rPr>
            </w:pPr>
            <w:r w:rsidRPr="003C2409">
              <w:rPr>
                <w:rFonts w:eastAsia="Times New Roman" w:cs="Arial"/>
                <w:bCs/>
                <w:color w:val="000000"/>
                <w:spacing w:val="-2"/>
                <w:sz w:val="14"/>
                <w:szCs w:val="14"/>
                <w:lang w:eastAsia="pt-BR"/>
              </w:rPr>
              <w:t>Outros resultados abrangentes</w:t>
            </w:r>
          </w:p>
        </w:tc>
        <w:tc>
          <w:tcPr>
            <w:tcW w:w="1323" w:type="dxa"/>
            <w:gridSpan w:val="2"/>
            <w:shd w:val="clear" w:color="auto" w:fill="auto"/>
            <w:vAlign w:val="center"/>
          </w:tcPr>
          <w:p w14:paraId="11CFF384" w14:textId="77777777" w:rsidR="00C42353" w:rsidRPr="003C2409" w:rsidRDefault="00C42353" w:rsidP="003C2409">
            <w:pPr>
              <w:keepNext/>
              <w:keepLines/>
              <w:spacing w:before="40" w:after="40" w:line="240" w:lineRule="auto"/>
              <w:ind w:left="113"/>
              <w:jc w:val="right"/>
              <w:rPr>
                <w:rFonts w:eastAsia="Times New Roman" w:cs="Arial"/>
                <w:bCs/>
                <w:color w:val="000000"/>
                <w:spacing w:val="-2"/>
                <w:sz w:val="14"/>
                <w:szCs w:val="14"/>
                <w:lang w:eastAsia="pt-BR"/>
              </w:rPr>
            </w:pPr>
            <w:r w:rsidRPr="003C2409">
              <w:rPr>
                <w:rFonts w:cs="Arial"/>
                <w:bCs/>
                <w:sz w:val="14"/>
                <w:szCs w:val="14"/>
              </w:rPr>
              <w:t>(566)</w:t>
            </w:r>
          </w:p>
        </w:tc>
        <w:tc>
          <w:tcPr>
            <w:tcW w:w="1323" w:type="dxa"/>
            <w:gridSpan w:val="2"/>
            <w:shd w:val="clear" w:color="auto" w:fill="auto"/>
            <w:vAlign w:val="center"/>
          </w:tcPr>
          <w:p w14:paraId="71BDB9CF" w14:textId="77777777" w:rsidR="00C42353" w:rsidRPr="003C2409" w:rsidRDefault="00C42353" w:rsidP="003C2409">
            <w:pPr>
              <w:keepNext/>
              <w:keepLines/>
              <w:spacing w:before="40" w:after="40" w:line="240" w:lineRule="auto"/>
              <w:ind w:left="113"/>
              <w:jc w:val="right"/>
              <w:rPr>
                <w:rFonts w:eastAsia="Times New Roman" w:cs="Arial"/>
                <w:bCs/>
                <w:color w:val="000000"/>
                <w:spacing w:val="-2"/>
                <w:sz w:val="14"/>
                <w:szCs w:val="14"/>
                <w:lang w:eastAsia="pt-BR"/>
              </w:rPr>
            </w:pPr>
            <w:r w:rsidRPr="003C2409">
              <w:rPr>
                <w:rFonts w:cs="Arial"/>
                <w:bCs/>
                <w:sz w:val="14"/>
                <w:szCs w:val="14"/>
              </w:rPr>
              <w:t>46.327</w:t>
            </w:r>
          </w:p>
        </w:tc>
        <w:tc>
          <w:tcPr>
            <w:tcW w:w="1323" w:type="dxa"/>
            <w:shd w:val="clear" w:color="auto" w:fill="auto"/>
            <w:vAlign w:val="center"/>
          </w:tcPr>
          <w:p w14:paraId="168E3682" w14:textId="77777777" w:rsidR="00C42353" w:rsidRPr="003C2409" w:rsidRDefault="00C42353" w:rsidP="003C2409">
            <w:pPr>
              <w:keepNext/>
              <w:keepLines/>
              <w:spacing w:before="40" w:after="40" w:line="240" w:lineRule="auto"/>
              <w:ind w:left="113"/>
              <w:jc w:val="right"/>
              <w:rPr>
                <w:rFonts w:eastAsia="Times New Roman" w:cs="Arial"/>
                <w:bCs/>
                <w:color w:val="000000"/>
                <w:spacing w:val="-2"/>
                <w:sz w:val="14"/>
                <w:szCs w:val="14"/>
                <w:lang w:eastAsia="pt-BR"/>
              </w:rPr>
            </w:pPr>
            <w:r w:rsidRPr="003C2409">
              <w:rPr>
                <w:rFonts w:eastAsia="Times New Roman" w:cs="Arial"/>
                <w:bCs/>
                <w:spacing w:val="-2"/>
                <w:sz w:val="14"/>
                <w:szCs w:val="14"/>
                <w:lang w:eastAsia="pt-BR"/>
              </w:rPr>
              <w:t>--</w:t>
            </w:r>
          </w:p>
        </w:tc>
        <w:tc>
          <w:tcPr>
            <w:tcW w:w="1346" w:type="dxa"/>
            <w:shd w:val="clear" w:color="auto" w:fill="auto"/>
            <w:vAlign w:val="center"/>
          </w:tcPr>
          <w:p w14:paraId="68CDD9E3" w14:textId="77777777" w:rsidR="00C42353" w:rsidRPr="003C2409" w:rsidRDefault="00C42353" w:rsidP="003C2409">
            <w:pPr>
              <w:keepNext/>
              <w:keepLines/>
              <w:spacing w:before="40" w:after="40" w:line="240" w:lineRule="auto"/>
              <w:ind w:left="113"/>
              <w:jc w:val="right"/>
              <w:rPr>
                <w:rFonts w:eastAsia="Times New Roman" w:cs="Arial"/>
                <w:bCs/>
                <w:color w:val="000000"/>
                <w:spacing w:val="-2"/>
                <w:sz w:val="14"/>
                <w:szCs w:val="14"/>
                <w:lang w:eastAsia="pt-BR"/>
              </w:rPr>
            </w:pPr>
            <w:r w:rsidRPr="003C2409">
              <w:rPr>
                <w:rFonts w:cs="Arial"/>
                <w:bCs/>
                <w:sz w:val="14"/>
                <w:szCs w:val="14"/>
              </w:rPr>
              <w:t>--</w:t>
            </w:r>
          </w:p>
        </w:tc>
        <w:tc>
          <w:tcPr>
            <w:tcW w:w="1346" w:type="dxa"/>
            <w:shd w:val="clear" w:color="auto" w:fill="auto"/>
            <w:vAlign w:val="center"/>
          </w:tcPr>
          <w:p w14:paraId="3C2CD04D" w14:textId="77777777" w:rsidR="00C42353" w:rsidRPr="003C2409" w:rsidRDefault="00C42353" w:rsidP="003C2409">
            <w:pPr>
              <w:keepNext/>
              <w:keepLines/>
              <w:spacing w:before="40" w:after="40" w:line="240" w:lineRule="auto"/>
              <w:ind w:left="113"/>
              <w:jc w:val="right"/>
              <w:rPr>
                <w:rFonts w:eastAsia="Times New Roman" w:cs="Arial"/>
                <w:bCs/>
                <w:color w:val="000000"/>
                <w:spacing w:val="-2"/>
                <w:sz w:val="14"/>
                <w:szCs w:val="14"/>
                <w:lang w:eastAsia="pt-BR"/>
              </w:rPr>
            </w:pPr>
            <w:r w:rsidRPr="003C2409">
              <w:rPr>
                <w:rFonts w:cs="Arial"/>
                <w:bCs/>
                <w:sz w:val="14"/>
                <w:szCs w:val="14"/>
              </w:rPr>
              <w:t>--</w:t>
            </w:r>
          </w:p>
        </w:tc>
      </w:tr>
      <w:tr w:rsidR="00C42353" w:rsidRPr="00BB26E6" w14:paraId="19FEBC3E" w14:textId="77777777" w:rsidTr="00EF41C6">
        <w:trPr>
          <w:trHeight w:val="238"/>
          <w:jc w:val="center"/>
        </w:trPr>
        <w:tc>
          <w:tcPr>
            <w:tcW w:w="2978" w:type="dxa"/>
            <w:gridSpan w:val="2"/>
            <w:shd w:val="clear" w:color="auto" w:fill="auto"/>
            <w:vAlign w:val="center"/>
          </w:tcPr>
          <w:p w14:paraId="16F1FECE"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Resultado abrangente total</w:t>
            </w:r>
          </w:p>
        </w:tc>
        <w:tc>
          <w:tcPr>
            <w:tcW w:w="1323" w:type="dxa"/>
            <w:gridSpan w:val="2"/>
            <w:shd w:val="clear" w:color="auto" w:fill="auto"/>
            <w:vAlign w:val="center"/>
          </w:tcPr>
          <w:p w14:paraId="5CC8EA98"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911.438</w:t>
            </w:r>
          </w:p>
        </w:tc>
        <w:tc>
          <w:tcPr>
            <w:tcW w:w="1323" w:type="dxa"/>
            <w:gridSpan w:val="2"/>
            <w:shd w:val="clear" w:color="auto" w:fill="auto"/>
            <w:vAlign w:val="center"/>
          </w:tcPr>
          <w:p w14:paraId="22DCA72E"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205.128</w:t>
            </w:r>
          </w:p>
        </w:tc>
        <w:tc>
          <w:tcPr>
            <w:tcW w:w="1323" w:type="dxa"/>
            <w:shd w:val="clear" w:color="auto" w:fill="auto"/>
            <w:vAlign w:val="center"/>
          </w:tcPr>
          <w:p w14:paraId="06066103"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23.602</w:t>
            </w:r>
          </w:p>
        </w:tc>
        <w:tc>
          <w:tcPr>
            <w:tcW w:w="1346" w:type="dxa"/>
            <w:shd w:val="clear" w:color="auto" w:fill="auto"/>
            <w:vAlign w:val="center"/>
          </w:tcPr>
          <w:p w14:paraId="3DC466A3"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1.969.105</w:t>
            </w:r>
          </w:p>
        </w:tc>
        <w:tc>
          <w:tcPr>
            <w:tcW w:w="1346" w:type="dxa"/>
            <w:shd w:val="clear" w:color="auto" w:fill="auto"/>
            <w:vAlign w:val="center"/>
          </w:tcPr>
          <w:p w14:paraId="32A25E0C"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(21.209)</w:t>
            </w:r>
          </w:p>
        </w:tc>
      </w:tr>
      <w:tr w:rsidR="00C42353" w:rsidRPr="00BB26E6" w14:paraId="709C1A2B" w14:textId="77777777" w:rsidTr="00EF41C6">
        <w:trPr>
          <w:trHeight w:val="238"/>
          <w:jc w:val="center"/>
        </w:trPr>
        <w:tc>
          <w:tcPr>
            <w:tcW w:w="2978" w:type="dxa"/>
            <w:gridSpan w:val="2"/>
            <w:shd w:val="clear" w:color="auto" w:fill="auto"/>
            <w:vAlign w:val="center"/>
          </w:tcPr>
          <w:p w14:paraId="5C884DBF"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Atribuível à BB Seguridade</w:t>
            </w:r>
          </w:p>
        </w:tc>
        <w:tc>
          <w:tcPr>
            <w:tcW w:w="1323" w:type="dxa"/>
            <w:gridSpan w:val="2"/>
            <w:shd w:val="clear" w:color="auto" w:fill="auto"/>
            <w:vAlign w:val="center"/>
          </w:tcPr>
          <w:p w14:paraId="741B6D34"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683.958</w:t>
            </w:r>
          </w:p>
        </w:tc>
        <w:tc>
          <w:tcPr>
            <w:tcW w:w="1323" w:type="dxa"/>
            <w:gridSpan w:val="2"/>
            <w:shd w:val="clear" w:color="auto" w:fill="auto"/>
            <w:vAlign w:val="center"/>
          </w:tcPr>
          <w:p w14:paraId="5B395568"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105.855</w:t>
            </w:r>
          </w:p>
        </w:tc>
        <w:tc>
          <w:tcPr>
            <w:tcW w:w="1323" w:type="dxa"/>
            <w:shd w:val="clear" w:color="auto" w:fill="auto"/>
            <w:vAlign w:val="center"/>
          </w:tcPr>
          <w:p w14:paraId="418E57D0"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17.702</w:t>
            </w:r>
          </w:p>
        </w:tc>
        <w:tc>
          <w:tcPr>
            <w:tcW w:w="1346" w:type="dxa"/>
            <w:shd w:val="clear" w:color="auto" w:fill="auto"/>
            <w:vAlign w:val="center"/>
          </w:tcPr>
          <w:p w14:paraId="0CCBA906"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1.969.105</w:t>
            </w:r>
          </w:p>
        </w:tc>
        <w:tc>
          <w:tcPr>
            <w:tcW w:w="1346" w:type="dxa"/>
            <w:shd w:val="clear" w:color="auto" w:fill="auto"/>
            <w:vAlign w:val="center"/>
          </w:tcPr>
          <w:p w14:paraId="7C1FF237"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(15.905)</w:t>
            </w:r>
          </w:p>
        </w:tc>
      </w:tr>
      <w:tr w:rsidR="00C42353" w:rsidRPr="00D96C18" w14:paraId="47DF64D3" w14:textId="77777777" w:rsidTr="00EF41C6">
        <w:trPr>
          <w:trHeight w:val="238"/>
          <w:jc w:val="center"/>
        </w:trPr>
        <w:tc>
          <w:tcPr>
            <w:tcW w:w="2978" w:type="dxa"/>
            <w:gridSpan w:val="2"/>
            <w:shd w:val="clear" w:color="auto" w:fill="auto"/>
            <w:vAlign w:val="center"/>
          </w:tcPr>
          <w:p w14:paraId="2FA4DCEE" w14:textId="77777777" w:rsidR="00C42353" w:rsidRPr="00D96C18" w:rsidRDefault="00C42353" w:rsidP="003C2409">
            <w:pPr>
              <w:keepNext/>
              <w:keepLines/>
              <w:spacing w:before="40" w:after="40" w:line="240" w:lineRule="auto"/>
              <w:ind w:left="113"/>
              <w:rPr>
                <w:rFonts w:eastAsia="Times New Roman" w:cs="Arial"/>
                <w:color w:val="000000"/>
                <w:spacing w:val="-2"/>
                <w:sz w:val="14"/>
                <w:szCs w:val="14"/>
                <w:lang w:eastAsia="pt-BR"/>
              </w:rPr>
            </w:pPr>
            <w:r w:rsidRPr="00D96C18">
              <w:rPr>
                <w:rFonts w:eastAsia="Times New Roman" w:cs="Arial"/>
                <w:color w:val="000000"/>
                <w:spacing w:val="-2"/>
                <w:sz w:val="14"/>
                <w:szCs w:val="14"/>
                <w:lang w:eastAsia="pt-BR"/>
              </w:rPr>
              <w:t xml:space="preserve">Diferença de prática contábil </w:t>
            </w:r>
            <w:r w:rsidRPr="00D96C18">
              <w:rPr>
                <w:rFonts w:eastAsia="Times New Roman" w:cs="Arial"/>
                <w:color w:val="000000"/>
                <w:spacing w:val="-2"/>
                <w:sz w:val="14"/>
                <w:szCs w:val="14"/>
                <w:vertAlign w:val="superscript"/>
                <w:lang w:eastAsia="pt-BR"/>
              </w:rPr>
              <w:t>(1)</w:t>
            </w:r>
          </w:p>
        </w:tc>
        <w:tc>
          <w:tcPr>
            <w:tcW w:w="1323" w:type="dxa"/>
            <w:gridSpan w:val="2"/>
            <w:shd w:val="clear" w:color="auto" w:fill="auto"/>
            <w:vAlign w:val="center"/>
          </w:tcPr>
          <w:p w14:paraId="62BC734C" w14:textId="77777777" w:rsidR="00C42353" w:rsidRPr="00D96C18" w:rsidRDefault="00C42353" w:rsidP="003C2409">
            <w:pPr>
              <w:keepNext/>
              <w:keepLines/>
              <w:spacing w:before="40" w:after="40" w:line="240" w:lineRule="auto"/>
              <w:jc w:val="right"/>
              <w:rPr>
                <w:rFonts w:eastAsia="Times New Roman" w:cs="Arial"/>
                <w:spacing w:val="-2"/>
                <w:sz w:val="14"/>
                <w:szCs w:val="14"/>
                <w:lang w:eastAsia="pt-BR"/>
              </w:rPr>
            </w:pPr>
            <w:r w:rsidRPr="000F54F2">
              <w:rPr>
                <w:rFonts w:cs="Arial"/>
                <w:sz w:val="14"/>
                <w:szCs w:val="14"/>
              </w:rPr>
              <w:t>2.421</w:t>
            </w:r>
          </w:p>
        </w:tc>
        <w:tc>
          <w:tcPr>
            <w:tcW w:w="1323" w:type="dxa"/>
            <w:gridSpan w:val="2"/>
            <w:shd w:val="clear" w:color="auto" w:fill="auto"/>
            <w:vAlign w:val="center"/>
          </w:tcPr>
          <w:p w14:paraId="72A00678" w14:textId="77777777" w:rsidR="00C42353" w:rsidRPr="00D96C18" w:rsidRDefault="00C42353" w:rsidP="003C2409">
            <w:pPr>
              <w:keepNext/>
              <w:keepLines/>
              <w:spacing w:before="40" w:after="40" w:line="240" w:lineRule="auto"/>
              <w:jc w:val="right"/>
              <w:rPr>
                <w:rFonts w:eastAsia="Times New Roman" w:cs="Arial"/>
                <w:spacing w:val="-2"/>
                <w:sz w:val="14"/>
                <w:szCs w:val="14"/>
                <w:lang w:eastAsia="pt-BR"/>
              </w:rPr>
            </w:pPr>
            <w:r w:rsidRPr="0024137A">
              <w:rPr>
                <w:rFonts w:cs="Arial"/>
                <w:sz w:val="14"/>
                <w:szCs w:val="14"/>
              </w:rPr>
              <w:t>(75)</w:t>
            </w:r>
          </w:p>
        </w:tc>
        <w:tc>
          <w:tcPr>
            <w:tcW w:w="1323" w:type="dxa"/>
            <w:shd w:val="clear" w:color="auto" w:fill="auto"/>
            <w:vAlign w:val="center"/>
          </w:tcPr>
          <w:p w14:paraId="00251DF6" w14:textId="77777777" w:rsidR="00C42353" w:rsidRPr="00D96C18" w:rsidRDefault="00C42353" w:rsidP="003C2409">
            <w:pPr>
              <w:keepNext/>
              <w:keepLines/>
              <w:spacing w:before="40" w:after="40" w:line="240" w:lineRule="auto"/>
              <w:jc w:val="right"/>
              <w:rPr>
                <w:rFonts w:eastAsia="Times New Roman" w:cs="Arial"/>
                <w:spacing w:val="-2"/>
                <w:sz w:val="14"/>
                <w:szCs w:val="14"/>
                <w:lang w:eastAsia="pt-BR"/>
              </w:rPr>
            </w:pPr>
            <w:r w:rsidRPr="00836A6B">
              <w:rPr>
                <w:rFonts w:eastAsia="Times New Roman" w:cs="Times New Roman"/>
                <w:spacing w:val="-2"/>
                <w:sz w:val="14"/>
                <w:szCs w:val="14"/>
                <w:lang w:eastAsia="pt-BR"/>
              </w:rPr>
              <w:t>--</w:t>
            </w:r>
          </w:p>
        </w:tc>
        <w:tc>
          <w:tcPr>
            <w:tcW w:w="1346" w:type="dxa"/>
            <w:shd w:val="clear" w:color="auto" w:fill="auto"/>
            <w:vAlign w:val="center"/>
          </w:tcPr>
          <w:p w14:paraId="2AFB1D4B" w14:textId="77777777" w:rsidR="00C42353" w:rsidRPr="00D96C18" w:rsidRDefault="00C42353" w:rsidP="003C2409">
            <w:pPr>
              <w:keepNext/>
              <w:keepLines/>
              <w:spacing w:before="40" w:after="40" w:line="240" w:lineRule="auto"/>
              <w:jc w:val="right"/>
              <w:rPr>
                <w:rFonts w:eastAsia="Times New Roman" w:cs="Arial"/>
                <w:spacing w:val="-2"/>
                <w:sz w:val="14"/>
                <w:szCs w:val="14"/>
                <w:lang w:eastAsia="pt-BR"/>
              </w:rPr>
            </w:pPr>
            <w:r w:rsidRPr="00B355AA">
              <w:rPr>
                <w:rFonts w:eastAsia="Times New Roman" w:cs="Arial"/>
                <w:spacing w:val="-2"/>
                <w:sz w:val="14"/>
                <w:szCs w:val="14"/>
                <w:lang w:eastAsia="pt-BR"/>
              </w:rPr>
              <w:t>--</w:t>
            </w:r>
          </w:p>
        </w:tc>
        <w:tc>
          <w:tcPr>
            <w:tcW w:w="1346" w:type="dxa"/>
            <w:shd w:val="clear" w:color="auto" w:fill="auto"/>
            <w:vAlign w:val="center"/>
          </w:tcPr>
          <w:p w14:paraId="7E9F7F31" w14:textId="77777777" w:rsidR="00C42353" w:rsidRPr="00D96C18" w:rsidRDefault="00C42353" w:rsidP="003C2409">
            <w:pPr>
              <w:keepNext/>
              <w:keepLines/>
              <w:spacing w:before="40" w:after="40" w:line="240" w:lineRule="auto"/>
              <w:jc w:val="right"/>
              <w:rPr>
                <w:rFonts w:eastAsia="Times New Roman" w:cs="Arial"/>
                <w:spacing w:val="-2"/>
                <w:sz w:val="14"/>
                <w:szCs w:val="14"/>
                <w:lang w:eastAsia="pt-BR"/>
              </w:rPr>
            </w:pPr>
            <w:r>
              <w:rPr>
                <w:rFonts w:eastAsia="Times New Roman" w:cs="Times New Roman"/>
                <w:b/>
                <w:spacing w:val="-2"/>
                <w:sz w:val="14"/>
                <w:szCs w:val="14"/>
                <w:lang w:eastAsia="pt-BR"/>
              </w:rPr>
              <w:t>--</w:t>
            </w:r>
          </w:p>
        </w:tc>
      </w:tr>
      <w:tr w:rsidR="00C42353" w:rsidRPr="00D96C18" w14:paraId="10AF6268" w14:textId="77777777" w:rsidTr="00EF41C6">
        <w:trPr>
          <w:trHeight w:val="238"/>
          <w:jc w:val="center"/>
        </w:trPr>
        <w:tc>
          <w:tcPr>
            <w:tcW w:w="2978" w:type="dxa"/>
            <w:gridSpan w:val="2"/>
            <w:shd w:val="clear" w:color="auto" w:fill="auto"/>
            <w:vAlign w:val="center"/>
          </w:tcPr>
          <w:p w14:paraId="602BCD64" w14:textId="77777777" w:rsidR="00C42353" w:rsidRPr="00D96C18" w:rsidRDefault="00C42353" w:rsidP="003C2409">
            <w:pPr>
              <w:keepNext/>
              <w:keepLines/>
              <w:spacing w:before="40" w:after="40" w:line="240" w:lineRule="auto"/>
              <w:ind w:left="113"/>
              <w:rPr>
                <w:rFonts w:eastAsia="Times New Roman" w:cs="Arial"/>
                <w:color w:val="000000"/>
                <w:spacing w:val="-2"/>
                <w:sz w:val="14"/>
                <w:szCs w:val="14"/>
                <w:lang w:eastAsia="pt-BR"/>
              </w:rPr>
            </w:pPr>
            <w:r>
              <w:rPr>
                <w:rFonts w:eastAsia="Times New Roman" w:cs="Arial"/>
                <w:color w:val="000000"/>
                <w:spacing w:val="-2"/>
                <w:sz w:val="14"/>
                <w:szCs w:val="14"/>
                <w:lang w:eastAsia="pt-BR"/>
              </w:rPr>
              <w:t xml:space="preserve">Outros ajustes </w:t>
            </w:r>
            <w:r w:rsidRPr="003C2409">
              <w:rPr>
                <w:rFonts w:eastAsia="Times New Roman" w:cs="Arial"/>
                <w:color w:val="000000"/>
                <w:spacing w:val="-2"/>
                <w:sz w:val="14"/>
                <w:szCs w:val="14"/>
                <w:vertAlign w:val="superscript"/>
                <w:lang w:eastAsia="pt-BR"/>
              </w:rPr>
              <w:t>(2)</w:t>
            </w:r>
          </w:p>
        </w:tc>
        <w:tc>
          <w:tcPr>
            <w:tcW w:w="1323" w:type="dxa"/>
            <w:gridSpan w:val="2"/>
            <w:shd w:val="clear" w:color="auto" w:fill="auto"/>
            <w:vAlign w:val="center"/>
          </w:tcPr>
          <w:p w14:paraId="0B734DE6" w14:textId="77777777" w:rsidR="00C42353" w:rsidRPr="000F54F2" w:rsidRDefault="00C42353" w:rsidP="003C2409">
            <w:pPr>
              <w:keepNext/>
              <w:keepLines/>
              <w:spacing w:before="40" w:after="40" w:line="240" w:lineRule="auto"/>
              <w:jc w:val="right"/>
              <w:rPr>
                <w:rFonts w:cs="Arial"/>
                <w:sz w:val="14"/>
                <w:szCs w:val="14"/>
              </w:rPr>
            </w:pPr>
            <w:r w:rsidRPr="00836A6B">
              <w:rPr>
                <w:rFonts w:eastAsia="Times New Roman" w:cs="Times New Roman"/>
                <w:spacing w:val="-2"/>
                <w:sz w:val="14"/>
                <w:szCs w:val="14"/>
                <w:lang w:eastAsia="pt-BR"/>
              </w:rPr>
              <w:t>--</w:t>
            </w:r>
          </w:p>
        </w:tc>
        <w:tc>
          <w:tcPr>
            <w:tcW w:w="1323" w:type="dxa"/>
            <w:gridSpan w:val="2"/>
            <w:shd w:val="clear" w:color="auto" w:fill="auto"/>
            <w:vAlign w:val="center"/>
          </w:tcPr>
          <w:p w14:paraId="6180187D" w14:textId="77777777" w:rsidR="00C42353" w:rsidRPr="0024137A" w:rsidRDefault="00C42353" w:rsidP="003C2409">
            <w:pPr>
              <w:keepNext/>
              <w:keepLines/>
              <w:spacing w:before="40" w:after="40" w:line="240" w:lineRule="auto"/>
              <w:jc w:val="right"/>
              <w:rPr>
                <w:rFonts w:cs="Arial"/>
                <w:sz w:val="14"/>
                <w:szCs w:val="14"/>
              </w:rPr>
            </w:pPr>
            <w:r w:rsidRPr="00836A6B">
              <w:rPr>
                <w:rFonts w:eastAsia="Times New Roman" w:cs="Times New Roman"/>
                <w:spacing w:val="-2"/>
                <w:sz w:val="14"/>
                <w:szCs w:val="14"/>
                <w:lang w:eastAsia="pt-BR"/>
              </w:rPr>
              <w:t>--</w:t>
            </w:r>
          </w:p>
        </w:tc>
        <w:tc>
          <w:tcPr>
            <w:tcW w:w="1323" w:type="dxa"/>
            <w:shd w:val="clear" w:color="auto" w:fill="auto"/>
            <w:vAlign w:val="center"/>
          </w:tcPr>
          <w:p w14:paraId="0A386C7F" w14:textId="77777777" w:rsidR="00C42353" w:rsidRPr="00836A6B" w:rsidRDefault="00C42353" w:rsidP="003C2409">
            <w:pPr>
              <w:keepNext/>
              <w:keepLines/>
              <w:spacing w:before="40" w:after="40" w:line="240" w:lineRule="auto"/>
              <w:jc w:val="right"/>
              <w:rPr>
                <w:rFonts w:eastAsia="Times New Roman" w:cs="Times New Roman"/>
                <w:spacing w:val="-2"/>
                <w:sz w:val="14"/>
                <w:szCs w:val="14"/>
                <w:lang w:eastAsia="pt-BR"/>
              </w:rPr>
            </w:pPr>
            <w:r w:rsidRPr="00836A6B">
              <w:rPr>
                <w:rFonts w:eastAsia="Times New Roman" w:cs="Times New Roman"/>
                <w:spacing w:val="-2"/>
                <w:sz w:val="14"/>
                <w:szCs w:val="14"/>
                <w:lang w:eastAsia="pt-BR"/>
              </w:rPr>
              <w:t>--</w:t>
            </w:r>
          </w:p>
        </w:tc>
        <w:tc>
          <w:tcPr>
            <w:tcW w:w="1346" w:type="dxa"/>
            <w:shd w:val="clear" w:color="auto" w:fill="auto"/>
            <w:vAlign w:val="center"/>
          </w:tcPr>
          <w:p w14:paraId="31A70BFF" w14:textId="77777777" w:rsidR="00C42353" w:rsidRPr="00B355AA" w:rsidRDefault="00C42353" w:rsidP="003C2409">
            <w:pPr>
              <w:keepNext/>
              <w:keepLines/>
              <w:spacing w:before="40" w:after="40" w:line="240" w:lineRule="auto"/>
              <w:jc w:val="right"/>
              <w:rPr>
                <w:rFonts w:eastAsia="Times New Roman" w:cs="Arial"/>
                <w:spacing w:val="-2"/>
                <w:sz w:val="14"/>
                <w:szCs w:val="14"/>
                <w:lang w:eastAsia="pt-BR"/>
              </w:rPr>
            </w:pPr>
            <w:r w:rsidRPr="00B355AA">
              <w:rPr>
                <w:rFonts w:eastAsia="Times New Roman" w:cs="Arial"/>
                <w:spacing w:val="-2"/>
                <w:sz w:val="14"/>
                <w:szCs w:val="14"/>
                <w:lang w:eastAsia="pt-BR"/>
              </w:rPr>
              <w:t>--</w:t>
            </w:r>
          </w:p>
        </w:tc>
        <w:tc>
          <w:tcPr>
            <w:tcW w:w="1346" w:type="dxa"/>
            <w:shd w:val="clear" w:color="auto" w:fill="auto"/>
            <w:vAlign w:val="center"/>
          </w:tcPr>
          <w:p w14:paraId="7083F087" w14:textId="77777777" w:rsidR="00C42353" w:rsidRDefault="00C42353" w:rsidP="003C2409">
            <w:pPr>
              <w:keepNext/>
              <w:keepLines/>
              <w:spacing w:before="40" w:after="40" w:line="240" w:lineRule="auto"/>
              <w:jc w:val="right"/>
              <w:rPr>
                <w:rFonts w:eastAsia="Times New Roman" w:cs="Times New Roman"/>
                <w:b/>
                <w:spacing w:val="-2"/>
                <w:sz w:val="14"/>
                <w:szCs w:val="14"/>
                <w:lang w:eastAsia="pt-BR"/>
              </w:rPr>
            </w:pPr>
            <w:r w:rsidRPr="00836A6B">
              <w:rPr>
                <w:rFonts w:cs="Arial"/>
                <w:sz w:val="14"/>
                <w:szCs w:val="14"/>
              </w:rPr>
              <w:t>(9)</w:t>
            </w:r>
          </w:p>
        </w:tc>
      </w:tr>
      <w:tr w:rsidR="00C42353" w:rsidRPr="00BB26E6" w14:paraId="4F544995" w14:textId="77777777" w:rsidTr="00EF41C6">
        <w:trPr>
          <w:trHeight w:val="238"/>
          <w:jc w:val="center"/>
        </w:trPr>
        <w:tc>
          <w:tcPr>
            <w:tcW w:w="2978" w:type="dxa"/>
            <w:gridSpan w:val="2"/>
            <w:tcBorders>
              <w:bottom w:val="single" w:sz="2" w:space="0" w:color="1F4E79" w:themeColor="accent1" w:themeShade="80"/>
            </w:tcBorders>
            <w:shd w:val="clear" w:color="auto" w:fill="auto"/>
            <w:vAlign w:val="center"/>
          </w:tcPr>
          <w:p w14:paraId="335EF0E5" w14:textId="77777777" w:rsidR="00C42353" w:rsidRPr="00BB26E6" w:rsidRDefault="00C42353" w:rsidP="003C2409">
            <w:pPr>
              <w:keepNext/>
              <w:keepLines/>
              <w:spacing w:before="40" w:after="40" w:line="240" w:lineRule="auto"/>
              <w:rPr>
                <w:rFonts w:eastAsia="Times New Roman" w:cs="Arial"/>
                <w:b/>
                <w:color w:val="000000"/>
                <w:spacing w:val="-2"/>
                <w:sz w:val="14"/>
                <w:szCs w:val="14"/>
                <w:lang w:eastAsia="pt-BR"/>
              </w:rPr>
            </w:pPr>
            <w:r w:rsidRPr="00BB26E6">
              <w:rPr>
                <w:rFonts w:eastAsia="Times New Roman" w:cs="Arial"/>
                <w:b/>
                <w:color w:val="000000"/>
                <w:spacing w:val="-2"/>
                <w:sz w:val="14"/>
                <w:szCs w:val="14"/>
                <w:lang w:eastAsia="pt-BR"/>
              </w:rPr>
              <w:t>Resultado de equivalência</w:t>
            </w:r>
          </w:p>
        </w:tc>
        <w:tc>
          <w:tcPr>
            <w:tcW w:w="1323" w:type="dxa"/>
            <w:gridSpan w:val="2"/>
            <w:tcBorders>
              <w:bottom w:val="single" w:sz="2" w:space="0" w:color="1F4E79" w:themeColor="accent1" w:themeShade="80"/>
            </w:tcBorders>
            <w:shd w:val="clear" w:color="auto" w:fill="auto"/>
            <w:vAlign w:val="center"/>
          </w:tcPr>
          <w:p w14:paraId="5C4C551C"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686.379</w:t>
            </w:r>
          </w:p>
        </w:tc>
        <w:tc>
          <w:tcPr>
            <w:tcW w:w="1323" w:type="dxa"/>
            <w:gridSpan w:val="2"/>
            <w:tcBorders>
              <w:bottom w:val="single" w:sz="2" w:space="0" w:color="1F4E79" w:themeColor="accent1" w:themeShade="80"/>
            </w:tcBorders>
            <w:shd w:val="clear" w:color="auto" w:fill="auto"/>
            <w:vAlign w:val="center"/>
          </w:tcPr>
          <w:p w14:paraId="7769FDCB"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105.780</w:t>
            </w:r>
          </w:p>
        </w:tc>
        <w:tc>
          <w:tcPr>
            <w:tcW w:w="1323" w:type="dxa"/>
            <w:tcBorders>
              <w:bottom w:val="single" w:sz="2" w:space="0" w:color="1F4E79" w:themeColor="accent1" w:themeShade="80"/>
            </w:tcBorders>
            <w:shd w:val="clear" w:color="auto" w:fill="auto"/>
            <w:vAlign w:val="center"/>
          </w:tcPr>
          <w:p w14:paraId="383A40CB"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17.702</w:t>
            </w:r>
          </w:p>
        </w:tc>
        <w:tc>
          <w:tcPr>
            <w:tcW w:w="1346" w:type="dxa"/>
            <w:tcBorders>
              <w:bottom w:val="single" w:sz="2" w:space="0" w:color="1F4E79" w:themeColor="accent1" w:themeShade="80"/>
            </w:tcBorders>
            <w:shd w:val="clear" w:color="auto" w:fill="auto"/>
            <w:vAlign w:val="center"/>
          </w:tcPr>
          <w:p w14:paraId="2DD482E4"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cs="Arial"/>
                <w:b/>
                <w:sz w:val="14"/>
                <w:szCs w:val="14"/>
              </w:rPr>
              <w:t>1.969.105</w:t>
            </w:r>
          </w:p>
        </w:tc>
        <w:tc>
          <w:tcPr>
            <w:tcW w:w="1346" w:type="dxa"/>
            <w:tcBorders>
              <w:bottom w:val="single" w:sz="2" w:space="0" w:color="1F4E79" w:themeColor="accent1" w:themeShade="80"/>
            </w:tcBorders>
            <w:shd w:val="clear" w:color="auto" w:fill="auto"/>
            <w:vAlign w:val="center"/>
          </w:tcPr>
          <w:p w14:paraId="4CAE21D2" w14:textId="77777777" w:rsidR="00C42353" w:rsidRPr="00BB26E6" w:rsidRDefault="00C42353" w:rsidP="003C2409">
            <w:pPr>
              <w:keepNext/>
              <w:keepLines/>
              <w:spacing w:before="40" w:after="40" w:line="240" w:lineRule="auto"/>
              <w:jc w:val="right"/>
              <w:rPr>
                <w:rFonts w:eastAsia="Times New Roman" w:cs="Arial"/>
                <w:b/>
                <w:spacing w:val="-2"/>
                <w:sz w:val="14"/>
                <w:szCs w:val="14"/>
                <w:lang w:eastAsia="pt-BR"/>
              </w:rPr>
            </w:pPr>
            <w:r w:rsidRPr="00BB26E6">
              <w:rPr>
                <w:rFonts w:eastAsia="Times New Roman" w:cs="Times New Roman"/>
                <w:b/>
                <w:spacing w:val="-2"/>
                <w:sz w:val="14"/>
                <w:szCs w:val="14"/>
                <w:lang w:eastAsia="pt-BR"/>
              </w:rPr>
              <w:t>(15.914)</w:t>
            </w:r>
          </w:p>
        </w:tc>
      </w:tr>
    </w:tbl>
    <w:p w14:paraId="6F97C03A" w14:textId="77777777" w:rsidR="00C42353" w:rsidRDefault="00C42353" w:rsidP="00C42353">
      <w:pPr>
        <w:pStyle w:val="PargrafodaLista"/>
        <w:numPr>
          <w:ilvl w:val="0"/>
          <w:numId w:val="23"/>
        </w:numPr>
        <w:spacing w:after="0"/>
        <w:ind w:left="284" w:hanging="284"/>
        <w:jc w:val="both"/>
        <w:rPr>
          <w:rFonts w:ascii="Arial" w:hAnsi="Arial" w:cs="Arial"/>
          <w:sz w:val="14"/>
          <w:szCs w:val="18"/>
        </w:rPr>
      </w:pPr>
      <w:r w:rsidRPr="00C006C6">
        <w:rPr>
          <w:rFonts w:ascii="Arial" w:hAnsi="Arial" w:cs="Arial"/>
          <w:sz w:val="14"/>
          <w:szCs w:val="18"/>
        </w:rPr>
        <w:t xml:space="preserve">Ajustes para fins de uniformização de prática contábil em virtude do CPC 06 (R2) </w:t>
      </w:r>
      <w:r>
        <w:rPr>
          <w:rFonts w:ascii="Arial" w:hAnsi="Arial" w:cs="Arial"/>
          <w:sz w:val="14"/>
          <w:szCs w:val="18"/>
        </w:rPr>
        <w:t xml:space="preserve">[IFRS 16] </w:t>
      </w:r>
      <w:r w:rsidRPr="00C006C6">
        <w:rPr>
          <w:rFonts w:ascii="Arial" w:hAnsi="Arial" w:cs="Arial"/>
          <w:sz w:val="14"/>
          <w:szCs w:val="18"/>
        </w:rPr>
        <w:t>– Arrendamentos.</w:t>
      </w:r>
    </w:p>
    <w:p w14:paraId="2BB66EE0" w14:textId="77777777" w:rsidR="00C42353" w:rsidRPr="00C006C6" w:rsidRDefault="00C42353" w:rsidP="00C42353">
      <w:pPr>
        <w:pStyle w:val="PargrafodaLista"/>
        <w:numPr>
          <w:ilvl w:val="0"/>
          <w:numId w:val="23"/>
        </w:numPr>
        <w:spacing w:after="0"/>
        <w:ind w:left="284" w:hanging="284"/>
        <w:jc w:val="both"/>
        <w:rPr>
          <w:rFonts w:ascii="Arial" w:hAnsi="Arial" w:cs="Arial"/>
          <w:sz w:val="14"/>
          <w:szCs w:val="18"/>
        </w:rPr>
      </w:pPr>
      <w:r>
        <w:rPr>
          <w:rFonts w:ascii="Arial" w:hAnsi="Arial" w:cs="Arial"/>
          <w:sz w:val="14"/>
          <w:szCs w:val="18"/>
        </w:rPr>
        <w:t>Resultado de exercícios anteriores.</w:t>
      </w:r>
    </w:p>
    <w:p w14:paraId="10C86051" w14:textId="77777777" w:rsidR="00C42353" w:rsidRPr="0042269C" w:rsidRDefault="00C42353" w:rsidP="0042269C">
      <w:pPr>
        <w:spacing w:after="0"/>
        <w:jc w:val="both"/>
        <w:rPr>
          <w:rFonts w:cs="Arial"/>
          <w:sz w:val="14"/>
          <w:szCs w:val="18"/>
          <w:highlight w:val="yellow"/>
        </w:rPr>
      </w:pPr>
    </w:p>
    <w:p w14:paraId="7223CE34" w14:textId="77777777" w:rsidR="00C42353" w:rsidRPr="00537AE7" w:rsidRDefault="00C42353" w:rsidP="00537AE7">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Informações Patrimoniais</w:t>
      </w:r>
    </w:p>
    <w:p w14:paraId="62AA855E" w14:textId="77777777" w:rsidR="00C42353" w:rsidRPr="00537AE7" w:rsidRDefault="00C42353" w:rsidP="00537AE7">
      <w:pPr>
        <w:spacing w:after="0"/>
        <w:jc w:val="right"/>
        <w:rPr>
          <w:rFonts w:cs="Arial"/>
          <w:b/>
          <w:sz w:val="14"/>
          <w:szCs w:val="18"/>
        </w:rPr>
      </w:pPr>
    </w:p>
    <w:p w14:paraId="42CB5751" w14:textId="77777777" w:rsidR="00C42353" w:rsidRPr="00537AE7" w:rsidRDefault="00C42353" w:rsidP="009167E2">
      <w:pPr>
        <w:keepNext/>
        <w:keepLines/>
        <w:spacing w:after="0"/>
        <w:jc w:val="right"/>
        <w:rPr>
          <w:rFonts w:cs="Arial"/>
          <w:b/>
          <w:sz w:val="14"/>
          <w:szCs w:val="18"/>
        </w:rPr>
      </w:pPr>
      <w:r w:rsidRPr="00537AE7">
        <w:rPr>
          <w:rFonts w:cs="Arial"/>
          <w:b/>
          <w:sz w:val="14"/>
          <w:szCs w:val="18"/>
        </w:rPr>
        <w:t>R$ mil</w:t>
      </w:r>
    </w:p>
    <w:tbl>
      <w:tblPr>
        <w:tblW w:w="9640" w:type="dxa"/>
        <w:jc w:val="center"/>
        <w:tblLayout w:type="fixed"/>
        <w:tblLook w:val="04A0" w:firstRow="1" w:lastRow="0" w:firstColumn="1" w:lastColumn="0" w:noHBand="0" w:noVBand="1"/>
      </w:tblPr>
      <w:tblGrid>
        <w:gridCol w:w="2553"/>
        <w:gridCol w:w="1417"/>
        <w:gridCol w:w="1417"/>
        <w:gridCol w:w="1418"/>
        <w:gridCol w:w="1417"/>
        <w:gridCol w:w="1418"/>
      </w:tblGrid>
      <w:tr w:rsidR="00C42353" w:rsidRPr="00537AE7" w14:paraId="7CC4DC35" w14:textId="77777777" w:rsidTr="0064478A">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0DE1950C" w14:textId="77777777" w:rsidR="00C42353" w:rsidRPr="00537AE7" w:rsidRDefault="00C42353" w:rsidP="00BB5C03">
            <w:pPr>
              <w:keepNext/>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252"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21F9FF0"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835"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324784F8"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155261C3" w14:textId="77777777" w:rsidTr="0064478A">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2740CD59" w14:textId="77777777" w:rsidR="00C42353" w:rsidRPr="00537AE7" w:rsidRDefault="00C42353" w:rsidP="00BB5C03">
            <w:pPr>
              <w:keepNext/>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C129EFA"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169E03E"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05CC9B72"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417"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15740DB4"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03E6917"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3F04BE59" w14:textId="77777777" w:rsidTr="0064478A">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147D377B"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3</w:t>
            </w:r>
            <w:r>
              <w:rPr>
                <w:rFonts w:eastAsia="Times New Roman" w:cs="Arial"/>
                <w:b/>
                <w:spacing w:val="-2"/>
                <w:sz w:val="14"/>
                <w:szCs w:val="14"/>
                <w:lang w:eastAsia="pt-BR"/>
              </w:rPr>
              <w:t>1</w:t>
            </w:r>
            <w:r w:rsidRPr="00537AE7">
              <w:rPr>
                <w:rFonts w:eastAsia="Times New Roman" w:cs="Arial"/>
                <w:b/>
                <w:spacing w:val="-2"/>
                <w:sz w:val="14"/>
                <w:szCs w:val="14"/>
                <w:lang w:eastAsia="pt-BR"/>
              </w:rPr>
              <w:t>.</w:t>
            </w:r>
            <w:r>
              <w:rPr>
                <w:rFonts w:eastAsia="Times New Roman" w:cs="Arial"/>
                <w:b/>
                <w:spacing w:val="-2"/>
                <w:sz w:val="14"/>
                <w:szCs w:val="14"/>
                <w:lang w:eastAsia="pt-BR"/>
              </w:rPr>
              <w:t>12</w:t>
            </w:r>
            <w:r w:rsidRPr="00537AE7">
              <w:rPr>
                <w:rFonts w:eastAsia="Times New Roman" w:cs="Arial"/>
                <w:b/>
                <w:spacing w:val="-2"/>
                <w:sz w:val="14"/>
                <w:szCs w:val="14"/>
                <w:lang w:eastAsia="pt-BR"/>
              </w:rPr>
              <w:t>.20</w:t>
            </w:r>
            <w:r>
              <w:rPr>
                <w:rFonts w:eastAsia="Times New Roman" w:cs="Arial"/>
                <w:b/>
                <w:spacing w:val="-2"/>
                <w:sz w:val="14"/>
                <w:szCs w:val="14"/>
                <w:lang w:eastAsia="pt-BR"/>
              </w:rPr>
              <w:t>21</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2C621A8"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Brasilprev</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605F7CF"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Brasilcap</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E008881"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Brasildental</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581A192"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BB Corretora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920164F" w14:textId="77777777" w:rsidR="00C42353" w:rsidRPr="00537AE7" w:rsidRDefault="00C42353" w:rsidP="00BB5C03">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C42353" w:rsidRPr="002E1412" w14:paraId="341D7B73" w14:textId="77777777" w:rsidTr="002E1412">
        <w:trPr>
          <w:trHeight w:val="238"/>
          <w:jc w:val="center"/>
        </w:trPr>
        <w:tc>
          <w:tcPr>
            <w:tcW w:w="2553" w:type="dxa"/>
            <w:tcBorders>
              <w:top w:val="single" w:sz="2" w:space="0" w:color="1F4E79" w:themeColor="accent1" w:themeShade="80"/>
            </w:tcBorders>
            <w:shd w:val="clear" w:color="auto" w:fill="auto"/>
          </w:tcPr>
          <w:p w14:paraId="34073A85" w14:textId="77777777" w:rsidR="00C42353" w:rsidRPr="002E1412" w:rsidRDefault="00C42353" w:rsidP="002E1412">
            <w:pPr>
              <w:keepNext/>
              <w:keepLines/>
              <w:spacing w:before="40" w:after="40" w:line="240" w:lineRule="auto"/>
              <w:rPr>
                <w:rFonts w:eastAsia="Times New Roman" w:cs="Arial"/>
                <w:b/>
                <w:spacing w:val="-2"/>
                <w:sz w:val="14"/>
                <w:szCs w:val="14"/>
                <w:lang w:eastAsia="pt-BR"/>
              </w:rPr>
            </w:pPr>
            <w:r w:rsidRPr="002E1412">
              <w:rPr>
                <w:rFonts w:eastAsia="Times New Roman" w:cs="Arial"/>
                <w:b/>
                <w:spacing w:val="-2"/>
                <w:sz w:val="14"/>
                <w:szCs w:val="18"/>
                <w:lang w:eastAsia="pt-BR"/>
              </w:rPr>
              <w:t xml:space="preserve">Ativo circulante </w:t>
            </w:r>
          </w:p>
        </w:tc>
        <w:tc>
          <w:tcPr>
            <w:tcW w:w="1417" w:type="dxa"/>
            <w:tcBorders>
              <w:top w:val="single" w:sz="2" w:space="0" w:color="1F4E79" w:themeColor="accent1" w:themeShade="80"/>
            </w:tcBorders>
            <w:shd w:val="clear" w:color="auto" w:fill="auto"/>
            <w:vAlign w:val="center"/>
          </w:tcPr>
          <w:p w14:paraId="145CC029"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302.399.384</w:t>
            </w:r>
          </w:p>
        </w:tc>
        <w:tc>
          <w:tcPr>
            <w:tcW w:w="1417" w:type="dxa"/>
            <w:tcBorders>
              <w:top w:val="single" w:sz="2" w:space="0" w:color="1F4E79" w:themeColor="accent1" w:themeShade="80"/>
            </w:tcBorders>
            <w:shd w:val="clear" w:color="auto" w:fill="auto"/>
            <w:vAlign w:val="center"/>
          </w:tcPr>
          <w:p w14:paraId="45448F14"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6.130.957</w:t>
            </w:r>
          </w:p>
        </w:tc>
        <w:tc>
          <w:tcPr>
            <w:tcW w:w="1418" w:type="dxa"/>
            <w:tcBorders>
              <w:top w:val="single" w:sz="2" w:space="0" w:color="1F4E79" w:themeColor="accent1" w:themeShade="80"/>
            </w:tcBorders>
            <w:shd w:val="clear" w:color="auto" w:fill="auto"/>
            <w:vAlign w:val="center"/>
          </w:tcPr>
          <w:p w14:paraId="7231D638"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44.433</w:t>
            </w:r>
          </w:p>
        </w:tc>
        <w:tc>
          <w:tcPr>
            <w:tcW w:w="1417" w:type="dxa"/>
            <w:tcBorders>
              <w:top w:val="single" w:sz="2" w:space="0" w:color="1F4E79" w:themeColor="accent1" w:themeShade="80"/>
            </w:tcBorders>
            <w:shd w:val="clear" w:color="auto" w:fill="auto"/>
            <w:vAlign w:val="center"/>
          </w:tcPr>
          <w:p w14:paraId="7CF40805"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4.096.447 </w:t>
            </w:r>
          </w:p>
        </w:tc>
        <w:tc>
          <w:tcPr>
            <w:tcW w:w="1418" w:type="dxa"/>
            <w:tcBorders>
              <w:top w:val="single" w:sz="2" w:space="0" w:color="1F4E79" w:themeColor="accent1" w:themeShade="80"/>
            </w:tcBorders>
            <w:shd w:val="clear" w:color="auto" w:fill="auto"/>
            <w:vAlign w:val="center"/>
          </w:tcPr>
          <w:p w14:paraId="38E49463"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13.182</w:t>
            </w:r>
          </w:p>
        </w:tc>
      </w:tr>
      <w:tr w:rsidR="00C42353" w:rsidRPr="00537AE7" w14:paraId="04562577" w14:textId="77777777" w:rsidTr="002E1412">
        <w:trPr>
          <w:trHeight w:val="238"/>
          <w:jc w:val="center"/>
        </w:trPr>
        <w:tc>
          <w:tcPr>
            <w:tcW w:w="2553" w:type="dxa"/>
            <w:shd w:val="clear" w:color="auto" w:fill="auto"/>
          </w:tcPr>
          <w:p w14:paraId="6A15AA50" w14:textId="77777777" w:rsidR="00C42353" w:rsidRPr="00537AE7" w:rsidRDefault="00C42353" w:rsidP="002E1412">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Caixa e equivalentes de caixa</w:t>
            </w:r>
          </w:p>
        </w:tc>
        <w:tc>
          <w:tcPr>
            <w:tcW w:w="1417" w:type="dxa"/>
            <w:shd w:val="clear" w:color="auto" w:fill="auto"/>
            <w:vAlign w:val="center"/>
          </w:tcPr>
          <w:p w14:paraId="5C33C076"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601.280</w:t>
            </w:r>
          </w:p>
        </w:tc>
        <w:tc>
          <w:tcPr>
            <w:tcW w:w="1417" w:type="dxa"/>
            <w:shd w:val="clear" w:color="auto" w:fill="auto"/>
            <w:vAlign w:val="center"/>
          </w:tcPr>
          <w:p w14:paraId="486B634E"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37</w:t>
            </w:r>
          </w:p>
        </w:tc>
        <w:tc>
          <w:tcPr>
            <w:tcW w:w="1418" w:type="dxa"/>
            <w:shd w:val="clear" w:color="auto" w:fill="auto"/>
            <w:vAlign w:val="center"/>
          </w:tcPr>
          <w:p w14:paraId="5ACD8B84"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2.262</w:t>
            </w:r>
          </w:p>
        </w:tc>
        <w:tc>
          <w:tcPr>
            <w:tcW w:w="1417" w:type="dxa"/>
            <w:shd w:val="clear" w:color="auto" w:fill="auto"/>
            <w:vAlign w:val="center"/>
          </w:tcPr>
          <w:p w14:paraId="1A6E1B2D"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3.070.107 </w:t>
            </w:r>
          </w:p>
        </w:tc>
        <w:tc>
          <w:tcPr>
            <w:tcW w:w="1418" w:type="dxa"/>
            <w:shd w:val="clear" w:color="auto" w:fill="auto"/>
            <w:vAlign w:val="center"/>
          </w:tcPr>
          <w:p w14:paraId="0D15471F"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929</w:t>
            </w:r>
          </w:p>
        </w:tc>
      </w:tr>
      <w:tr w:rsidR="00C42353" w:rsidRPr="00537AE7" w14:paraId="2BF3D817" w14:textId="77777777" w:rsidTr="002E1412">
        <w:trPr>
          <w:trHeight w:val="238"/>
          <w:jc w:val="center"/>
        </w:trPr>
        <w:tc>
          <w:tcPr>
            <w:tcW w:w="2553" w:type="dxa"/>
            <w:shd w:val="clear" w:color="auto" w:fill="auto"/>
          </w:tcPr>
          <w:p w14:paraId="77E7F85B" w14:textId="77777777" w:rsidR="00C42353" w:rsidRPr="00537AE7" w:rsidRDefault="00C42353" w:rsidP="002E1412">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192FA8C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300.462.391</w:t>
            </w:r>
          </w:p>
        </w:tc>
        <w:tc>
          <w:tcPr>
            <w:tcW w:w="1417" w:type="dxa"/>
            <w:shd w:val="clear" w:color="auto" w:fill="auto"/>
            <w:vAlign w:val="center"/>
          </w:tcPr>
          <w:p w14:paraId="5469CAF4"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6.092.191</w:t>
            </w:r>
          </w:p>
        </w:tc>
        <w:tc>
          <w:tcPr>
            <w:tcW w:w="1418" w:type="dxa"/>
            <w:shd w:val="clear" w:color="auto" w:fill="auto"/>
            <w:vAlign w:val="center"/>
          </w:tcPr>
          <w:p w14:paraId="799BE07B"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36.402</w:t>
            </w:r>
          </w:p>
        </w:tc>
        <w:tc>
          <w:tcPr>
            <w:tcW w:w="1417" w:type="dxa"/>
            <w:shd w:val="clear" w:color="auto" w:fill="auto"/>
            <w:vAlign w:val="center"/>
          </w:tcPr>
          <w:p w14:paraId="6BFFD9D3"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vAlign w:val="center"/>
          </w:tcPr>
          <w:p w14:paraId="51545954"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1.832</w:t>
            </w:r>
          </w:p>
        </w:tc>
      </w:tr>
      <w:tr w:rsidR="00C42353" w:rsidRPr="00537AE7" w14:paraId="3CA551A6" w14:textId="77777777" w:rsidTr="002E1412">
        <w:trPr>
          <w:trHeight w:val="238"/>
          <w:jc w:val="center"/>
        </w:trPr>
        <w:tc>
          <w:tcPr>
            <w:tcW w:w="2553" w:type="dxa"/>
            <w:shd w:val="clear" w:color="auto" w:fill="auto"/>
          </w:tcPr>
          <w:p w14:paraId="44B5A566" w14:textId="77777777" w:rsidR="00C42353" w:rsidRPr="00537AE7" w:rsidRDefault="00C42353" w:rsidP="002E1412">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4"/>
                <w:lang w:eastAsia="pt-BR"/>
              </w:rPr>
              <w:t>Comissões a receber</w:t>
            </w:r>
          </w:p>
        </w:tc>
        <w:tc>
          <w:tcPr>
            <w:tcW w:w="1417" w:type="dxa"/>
            <w:shd w:val="clear" w:color="auto" w:fill="auto"/>
            <w:vAlign w:val="center"/>
          </w:tcPr>
          <w:p w14:paraId="079718FE"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4AA6811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8" w:type="dxa"/>
            <w:shd w:val="clear" w:color="auto" w:fill="auto"/>
            <w:vAlign w:val="center"/>
          </w:tcPr>
          <w:p w14:paraId="70B25D3D"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05AFD4DD"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1.026.158 </w:t>
            </w:r>
          </w:p>
        </w:tc>
        <w:tc>
          <w:tcPr>
            <w:tcW w:w="1418" w:type="dxa"/>
            <w:shd w:val="clear" w:color="auto" w:fill="auto"/>
            <w:vAlign w:val="center"/>
          </w:tcPr>
          <w:p w14:paraId="4585E4BF"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6.169</w:t>
            </w:r>
          </w:p>
        </w:tc>
      </w:tr>
      <w:tr w:rsidR="00C42353" w:rsidRPr="00537AE7" w14:paraId="09F143A1" w14:textId="77777777" w:rsidTr="002E1412">
        <w:trPr>
          <w:trHeight w:val="238"/>
          <w:jc w:val="center"/>
        </w:trPr>
        <w:tc>
          <w:tcPr>
            <w:tcW w:w="2553" w:type="dxa"/>
            <w:shd w:val="clear" w:color="auto" w:fill="auto"/>
          </w:tcPr>
          <w:p w14:paraId="2D3A141D" w14:textId="77777777" w:rsidR="00C42353" w:rsidRPr="00537AE7" w:rsidRDefault="00C42353" w:rsidP="002E1412">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Outros ativos circulantes</w:t>
            </w:r>
          </w:p>
        </w:tc>
        <w:tc>
          <w:tcPr>
            <w:tcW w:w="1417" w:type="dxa"/>
            <w:shd w:val="clear" w:color="auto" w:fill="auto"/>
            <w:vAlign w:val="center"/>
          </w:tcPr>
          <w:p w14:paraId="282268F7"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1.335.713</w:t>
            </w:r>
          </w:p>
        </w:tc>
        <w:tc>
          <w:tcPr>
            <w:tcW w:w="1417" w:type="dxa"/>
            <w:shd w:val="clear" w:color="auto" w:fill="auto"/>
            <w:vAlign w:val="center"/>
          </w:tcPr>
          <w:p w14:paraId="4B2189B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38.729</w:t>
            </w:r>
          </w:p>
        </w:tc>
        <w:tc>
          <w:tcPr>
            <w:tcW w:w="1418" w:type="dxa"/>
            <w:shd w:val="clear" w:color="auto" w:fill="auto"/>
            <w:vAlign w:val="center"/>
          </w:tcPr>
          <w:p w14:paraId="60AC53D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5.769</w:t>
            </w:r>
          </w:p>
        </w:tc>
        <w:tc>
          <w:tcPr>
            <w:tcW w:w="1417" w:type="dxa"/>
            <w:shd w:val="clear" w:color="auto" w:fill="auto"/>
            <w:vAlign w:val="center"/>
          </w:tcPr>
          <w:p w14:paraId="4E18772E"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182 </w:t>
            </w:r>
          </w:p>
        </w:tc>
        <w:tc>
          <w:tcPr>
            <w:tcW w:w="1418" w:type="dxa"/>
            <w:shd w:val="clear" w:color="auto" w:fill="auto"/>
            <w:vAlign w:val="center"/>
          </w:tcPr>
          <w:p w14:paraId="1BA0FC06"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4.252</w:t>
            </w:r>
          </w:p>
        </w:tc>
      </w:tr>
      <w:tr w:rsidR="00C42353" w:rsidRPr="002E1412" w14:paraId="081BB753" w14:textId="77777777" w:rsidTr="002E1412">
        <w:trPr>
          <w:trHeight w:val="238"/>
          <w:jc w:val="center"/>
        </w:trPr>
        <w:tc>
          <w:tcPr>
            <w:tcW w:w="2553" w:type="dxa"/>
            <w:shd w:val="clear" w:color="auto" w:fill="auto"/>
          </w:tcPr>
          <w:p w14:paraId="07BC3BFA" w14:textId="77777777" w:rsidR="00C42353" w:rsidRPr="002E1412" w:rsidRDefault="00C42353" w:rsidP="002E1412">
            <w:pPr>
              <w:keepNext/>
              <w:keepLines/>
              <w:spacing w:before="40" w:after="40" w:line="240" w:lineRule="auto"/>
              <w:rPr>
                <w:rFonts w:eastAsia="Times New Roman" w:cs="Arial"/>
                <w:b/>
                <w:spacing w:val="-2"/>
                <w:sz w:val="14"/>
                <w:szCs w:val="14"/>
                <w:lang w:eastAsia="pt-BR"/>
              </w:rPr>
            </w:pPr>
            <w:r w:rsidRPr="002E1412">
              <w:rPr>
                <w:rFonts w:eastAsia="Times New Roman" w:cs="Arial"/>
                <w:b/>
                <w:spacing w:val="-2"/>
                <w:sz w:val="14"/>
                <w:szCs w:val="18"/>
                <w:lang w:eastAsia="pt-BR"/>
              </w:rPr>
              <w:t xml:space="preserve">Ativo não circulante </w:t>
            </w:r>
          </w:p>
        </w:tc>
        <w:tc>
          <w:tcPr>
            <w:tcW w:w="1417" w:type="dxa"/>
            <w:shd w:val="clear" w:color="auto" w:fill="auto"/>
            <w:vAlign w:val="center"/>
          </w:tcPr>
          <w:p w14:paraId="5B559A0B"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18.186.069</w:t>
            </w:r>
          </w:p>
        </w:tc>
        <w:tc>
          <w:tcPr>
            <w:tcW w:w="1417" w:type="dxa"/>
            <w:shd w:val="clear" w:color="auto" w:fill="auto"/>
            <w:vAlign w:val="center"/>
          </w:tcPr>
          <w:p w14:paraId="7E0388FC"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3.540.508</w:t>
            </w:r>
          </w:p>
        </w:tc>
        <w:tc>
          <w:tcPr>
            <w:tcW w:w="1418" w:type="dxa"/>
            <w:shd w:val="clear" w:color="auto" w:fill="auto"/>
            <w:vAlign w:val="center"/>
          </w:tcPr>
          <w:p w14:paraId="68AB2873"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2.401</w:t>
            </w:r>
          </w:p>
        </w:tc>
        <w:tc>
          <w:tcPr>
            <w:tcW w:w="1417" w:type="dxa"/>
            <w:shd w:val="clear" w:color="auto" w:fill="auto"/>
            <w:vAlign w:val="center"/>
          </w:tcPr>
          <w:p w14:paraId="093BBC31"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962.467 </w:t>
            </w:r>
          </w:p>
        </w:tc>
        <w:tc>
          <w:tcPr>
            <w:tcW w:w="1418" w:type="dxa"/>
            <w:shd w:val="clear" w:color="auto" w:fill="auto"/>
            <w:vAlign w:val="center"/>
          </w:tcPr>
          <w:p w14:paraId="53AF534E"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3.671</w:t>
            </w:r>
          </w:p>
        </w:tc>
      </w:tr>
      <w:tr w:rsidR="00C42353" w:rsidRPr="00537AE7" w14:paraId="6667FCCA" w14:textId="77777777" w:rsidTr="002E1412">
        <w:trPr>
          <w:trHeight w:val="238"/>
          <w:jc w:val="center"/>
        </w:trPr>
        <w:tc>
          <w:tcPr>
            <w:tcW w:w="2553" w:type="dxa"/>
            <w:shd w:val="clear" w:color="auto" w:fill="auto"/>
          </w:tcPr>
          <w:p w14:paraId="2A54926B" w14:textId="77777777" w:rsidR="00C42353" w:rsidRPr="00537AE7" w:rsidRDefault="00C42353" w:rsidP="002E1412">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0981CD3E"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17.094.808</w:t>
            </w:r>
          </w:p>
        </w:tc>
        <w:tc>
          <w:tcPr>
            <w:tcW w:w="1417" w:type="dxa"/>
            <w:shd w:val="clear" w:color="auto" w:fill="auto"/>
            <w:vAlign w:val="center"/>
          </w:tcPr>
          <w:p w14:paraId="53AB8A1B"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2.182.944</w:t>
            </w:r>
          </w:p>
        </w:tc>
        <w:tc>
          <w:tcPr>
            <w:tcW w:w="1418" w:type="dxa"/>
            <w:shd w:val="clear" w:color="auto" w:fill="auto"/>
            <w:vAlign w:val="center"/>
          </w:tcPr>
          <w:p w14:paraId="76DE0BB1"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3F7375FE"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vAlign w:val="center"/>
          </w:tcPr>
          <w:p w14:paraId="4B82724E"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C42353" w:rsidRPr="00800353" w14:paraId="585BC641" w14:textId="77777777" w:rsidTr="002E1412">
        <w:trPr>
          <w:trHeight w:val="238"/>
          <w:jc w:val="center"/>
        </w:trPr>
        <w:tc>
          <w:tcPr>
            <w:tcW w:w="2553" w:type="dxa"/>
            <w:shd w:val="clear" w:color="auto" w:fill="auto"/>
          </w:tcPr>
          <w:p w14:paraId="3E59C526" w14:textId="77777777" w:rsidR="00C42353" w:rsidRPr="00800353" w:rsidRDefault="00C42353" w:rsidP="002E1412">
            <w:pPr>
              <w:keepNext/>
              <w:keepLines/>
              <w:spacing w:before="40" w:after="40" w:line="240" w:lineRule="auto"/>
              <w:ind w:left="113"/>
              <w:rPr>
                <w:rFonts w:eastAsia="Times New Roman" w:cs="Arial"/>
                <w:color w:val="000000"/>
                <w:spacing w:val="-2"/>
                <w:sz w:val="14"/>
                <w:szCs w:val="14"/>
                <w:lang w:eastAsia="pt-BR"/>
              </w:rPr>
            </w:pPr>
            <w:r w:rsidRPr="00800353">
              <w:rPr>
                <w:rFonts w:eastAsia="Times New Roman" w:cs="Arial"/>
                <w:spacing w:val="-2"/>
                <w:sz w:val="14"/>
                <w:szCs w:val="18"/>
                <w:lang w:eastAsia="pt-BR"/>
              </w:rPr>
              <w:t>Comissões a receber</w:t>
            </w:r>
          </w:p>
        </w:tc>
        <w:tc>
          <w:tcPr>
            <w:tcW w:w="1417" w:type="dxa"/>
            <w:shd w:val="clear" w:color="auto" w:fill="auto"/>
            <w:vAlign w:val="center"/>
          </w:tcPr>
          <w:p w14:paraId="14ED0EA3" w14:textId="77777777" w:rsidR="00C42353" w:rsidRPr="00800353" w:rsidRDefault="00C42353" w:rsidP="002E1412">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c>
          <w:tcPr>
            <w:tcW w:w="1417" w:type="dxa"/>
            <w:shd w:val="clear" w:color="auto" w:fill="auto"/>
            <w:vAlign w:val="center"/>
          </w:tcPr>
          <w:p w14:paraId="65572FCC" w14:textId="77777777" w:rsidR="00C42353" w:rsidRPr="00800353" w:rsidRDefault="00C42353" w:rsidP="002E1412">
            <w:pPr>
              <w:keepNext/>
              <w:keepLines/>
              <w:spacing w:before="40" w:after="40" w:line="240" w:lineRule="auto"/>
              <w:jc w:val="right"/>
              <w:rPr>
                <w:rFonts w:eastAsia="Times New Roman" w:cs="Arial"/>
                <w:spacing w:val="-2"/>
                <w:sz w:val="14"/>
                <w:szCs w:val="14"/>
                <w:lang w:eastAsia="pt-BR"/>
              </w:rPr>
            </w:pPr>
            <w:r w:rsidRPr="00800353">
              <w:rPr>
                <w:rFonts w:cs="Arial"/>
                <w:sz w:val="14"/>
                <w:szCs w:val="14"/>
              </w:rPr>
              <w:t>--</w:t>
            </w:r>
          </w:p>
        </w:tc>
        <w:tc>
          <w:tcPr>
            <w:tcW w:w="1418" w:type="dxa"/>
            <w:shd w:val="clear" w:color="auto" w:fill="auto"/>
            <w:vAlign w:val="center"/>
          </w:tcPr>
          <w:p w14:paraId="5CD181DF" w14:textId="77777777" w:rsidR="00C42353" w:rsidRPr="00800353" w:rsidRDefault="00C42353" w:rsidP="002E1412">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c>
          <w:tcPr>
            <w:tcW w:w="1417" w:type="dxa"/>
            <w:shd w:val="clear" w:color="auto" w:fill="auto"/>
            <w:vAlign w:val="center"/>
          </w:tcPr>
          <w:p w14:paraId="6C701CE7"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698.435 </w:t>
            </w:r>
          </w:p>
        </w:tc>
        <w:tc>
          <w:tcPr>
            <w:tcW w:w="1418" w:type="dxa"/>
            <w:shd w:val="clear" w:color="auto" w:fill="auto"/>
            <w:vAlign w:val="center"/>
          </w:tcPr>
          <w:p w14:paraId="2411C268" w14:textId="77777777" w:rsidR="00C42353" w:rsidRPr="00800353" w:rsidRDefault="00C42353" w:rsidP="002E1412">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r>
      <w:tr w:rsidR="00C42353" w:rsidRPr="00537AE7" w14:paraId="5831547C" w14:textId="77777777" w:rsidTr="002E1412">
        <w:trPr>
          <w:trHeight w:val="238"/>
          <w:jc w:val="center"/>
        </w:trPr>
        <w:tc>
          <w:tcPr>
            <w:tcW w:w="2553" w:type="dxa"/>
            <w:shd w:val="clear" w:color="auto" w:fill="auto"/>
          </w:tcPr>
          <w:p w14:paraId="53D18779" w14:textId="77777777" w:rsidR="00C42353" w:rsidRPr="00537AE7" w:rsidRDefault="00C42353" w:rsidP="002E1412">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spacing w:val="-2"/>
                <w:sz w:val="14"/>
                <w:szCs w:val="18"/>
                <w:lang w:eastAsia="pt-BR"/>
              </w:rPr>
              <w:t>Outros ativos não circulantes</w:t>
            </w:r>
          </w:p>
        </w:tc>
        <w:tc>
          <w:tcPr>
            <w:tcW w:w="1417" w:type="dxa"/>
            <w:shd w:val="clear" w:color="auto" w:fill="auto"/>
            <w:vAlign w:val="center"/>
          </w:tcPr>
          <w:p w14:paraId="28472153"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1.091.261</w:t>
            </w:r>
          </w:p>
        </w:tc>
        <w:tc>
          <w:tcPr>
            <w:tcW w:w="1417" w:type="dxa"/>
            <w:shd w:val="clear" w:color="auto" w:fill="auto"/>
            <w:vAlign w:val="center"/>
          </w:tcPr>
          <w:p w14:paraId="4BD62400"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1.357.564</w:t>
            </w:r>
          </w:p>
        </w:tc>
        <w:tc>
          <w:tcPr>
            <w:tcW w:w="1418" w:type="dxa"/>
            <w:shd w:val="clear" w:color="auto" w:fill="auto"/>
            <w:vAlign w:val="center"/>
          </w:tcPr>
          <w:p w14:paraId="712FEC56"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2.401</w:t>
            </w:r>
          </w:p>
        </w:tc>
        <w:tc>
          <w:tcPr>
            <w:tcW w:w="1417" w:type="dxa"/>
            <w:shd w:val="clear" w:color="auto" w:fill="auto"/>
            <w:vAlign w:val="center"/>
          </w:tcPr>
          <w:p w14:paraId="568AA55D"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264.032 </w:t>
            </w:r>
          </w:p>
        </w:tc>
        <w:tc>
          <w:tcPr>
            <w:tcW w:w="1418" w:type="dxa"/>
            <w:shd w:val="clear" w:color="auto" w:fill="auto"/>
            <w:vAlign w:val="center"/>
          </w:tcPr>
          <w:p w14:paraId="1FF6C005"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3.671</w:t>
            </w:r>
          </w:p>
        </w:tc>
      </w:tr>
      <w:tr w:rsidR="00C42353" w:rsidRPr="002E1412" w14:paraId="43035E75" w14:textId="77777777" w:rsidTr="002E1412">
        <w:trPr>
          <w:trHeight w:val="238"/>
          <w:jc w:val="center"/>
        </w:trPr>
        <w:tc>
          <w:tcPr>
            <w:tcW w:w="2553" w:type="dxa"/>
            <w:shd w:val="clear" w:color="auto" w:fill="auto"/>
          </w:tcPr>
          <w:p w14:paraId="7782FCA0" w14:textId="77777777" w:rsidR="00C42353" w:rsidRPr="002E1412" w:rsidRDefault="00C42353" w:rsidP="002E1412">
            <w:pPr>
              <w:keepNext/>
              <w:keepLines/>
              <w:spacing w:before="40" w:after="40" w:line="240" w:lineRule="auto"/>
              <w:rPr>
                <w:rFonts w:eastAsia="Times New Roman" w:cs="Arial"/>
                <w:b/>
                <w:color w:val="000000"/>
                <w:spacing w:val="-2"/>
                <w:sz w:val="14"/>
                <w:szCs w:val="14"/>
                <w:lang w:eastAsia="pt-BR"/>
              </w:rPr>
            </w:pPr>
            <w:r w:rsidRPr="002E1412">
              <w:rPr>
                <w:rFonts w:eastAsia="Times New Roman" w:cs="Arial"/>
                <w:b/>
                <w:spacing w:val="-2"/>
                <w:sz w:val="14"/>
                <w:szCs w:val="18"/>
                <w:lang w:eastAsia="pt-BR"/>
              </w:rPr>
              <w:t>Passivo circulante</w:t>
            </w:r>
          </w:p>
        </w:tc>
        <w:tc>
          <w:tcPr>
            <w:tcW w:w="1417" w:type="dxa"/>
            <w:shd w:val="clear" w:color="auto" w:fill="auto"/>
            <w:vAlign w:val="center"/>
          </w:tcPr>
          <w:p w14:paraId="77226F52"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35.631.094</w:t>
            </w:r>
          </w:p>
        </w:tc>
        <w:tc>
          <w:tcPr>
            <w:tcW w:w="1417" w:type="dxa"/>
            <w:shd w:val="clear" w:color="auto" w:fill="auto"/>
            <w:vAlign w:val="center"/>
          </w:tcPr>
          <w:p w14:paraId="7F159DE3"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8.107.689</w:t>
            </w:r>
          </w:p>
        </w:tc>
        <w:tc>
          <w:tcPr>
            <w:tcW w:w="1418" w:type="dxa"/>
            <w:shd w:val="clear" w:color="auto" w:fill="auto"/>
            <w:vAlign w:val="center"/>
          </w:tcPr>
          <w:p w14:paraId="7B570C77"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21.302</w:t>
            </w:r>
          </w:p>
        </w:tc>
        <w:tc>
          <w:tcPr>
            <w:tcW w:w="1417" w:type="dxa"/>
            <w:shd w:val="clear" w:color="auto" w:fill="auto"/>
            <w:vAlign w:val="center"/>
          </w:tcPr>
          <w:p w14:paraId="55862CF0"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3.248.559 </w:t>
            </w:r>
          </w:p>
        </w:tc>
        <w:tc>
          <w:tcPr>
            <w:tcW w:w="1418" w:type="dxa"/>
            <w:shd w:val="clear" w:color="auto" w:fill="auto"/>
            <w:vAlign w:val="center"/>
          </w:tcPr>
          <w:p w14:paraId="1776C8D5"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14.387</w:t>
            </w:r>
          </w:p>
        </w:tc>
      </w:tr>
      <w:tr w:rsidR="00C42353" w:rsidRPr="00537AE7" w14:paraId="15692CEF" w14:textId="77777777" w:rsidTr="002E1412">
        <w:trPr>
          <w:trHeight w:val="238"/>
          <w:jc w:val="center"/>
        </w:trPr>
        <w:tc>
          <w:tcPr>
            <w:tcW w:w="2553" w:type="dxa"/>
            <w:shd w:val="clear" w:color="auto" w:fill="auto"/>
          </w:tcPr>
          <w:p w14:paraId="734B887D" w14:textId="77777777" w:rsidR="00C42353" w:rsidRPr="00537AE7" w:rsidRDefault="00C42353" w:rsidP="002E1412">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Passivos financeiros</w:t>
            </w:r>
          </w:p>
        </w:tc>
        <w:tc>
          <w:tcPr>
            <w:tcW w:w="1417" w:type="dxa"/>
            <w:shd w:val="clear" w:color="auto" w:fill="auto"/>
            <w:vAlign w:val="center"/>
          </w:tcPr>
          <w:p w14:paraId="33C02962"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397.864</w:t>
            </w:r>
          </w:p>
        </w:tc>
        <w:tc>
          <w:tcPr>
            <w:tcW w:w="1417" w:type="dxa"/>
            <w:shd w:val="clear" w:color="auto" w:fill="auto"/>
            <w:vAlign w:val="center"/>
          </w:tcPr>
          <w:p w14:paraId="6E0065BF"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205.599</w:t>
            </w:r>
          </w:p>
        </w:tc>
        <w:tc>
          <w:tcPr>
            <w:tcW w:w="1418" w:type="dxa"/>
            <w:shd w:val="clear" w:color="auto" w:fill="auto"/>
            <w:vAlign w:val="center"/>
          </w:tcPr>
          <w:p w14:paraId="204C45BA"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c>
          <w:tcPr>
            <w:tcW w:w="1417" w:type="dxa"/>
            <w:shd w:val="clear" w:color="auto" w:fill="auto"/>
            <w:vAlign w:val="center"/>
          </w:tcPr>
          <w:p w14:paraId="291BB56E" w14:textId="77777777" w:rsidR="00C42353" w:rsidRPr="002E1412" w:rsidRDefault="00C42353" w:rsidP="002E1412">
            <w:pPr>
              <w:keepNext/>
              <w:keepLines/>
              <w:spacing w:before="40" w:after="40" w:line="240" w:lineRule="auto"/>
              <w:jc w:val="right"/>
              <w:rPr>
                <w:rFonts w:eastAsia="Times New Roman" w:cs="Arial"/>
                <w:b/>
                <w:bCs/>
                <w:spacing w:val="-2"/>
                <w:sz w:val="14"/>
                <w:szCs w:val="14"/>
                <w:lang w:eastAsia="pt-BR"/>
              </w:rPr>
            </w:pPr>
            <w:r w:rsidRPr="002E1412">
              <w:rPr>
                <w:rFonts w:cs="Arial"/>
                <w:sz w:val="14"/>
                <w:szCs w:val="14"/>
              </w:rPr>
              <w:t xml:space="preserve">  -- </w:t>
            </w:r>
          </w:p>
        </w:tc>
        <w:tc>
          <w:tcPr>
            <w:tcW w:w="1418" w:type="dxa"/>
            <w:shd w:val="clear" w:color="auto" w:fill="auto"/>
            <w:vAlign w:val="center"/>
          </w:tcPr>
          <w:p w14:paraId="270C1408"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1.110</w:t>
            </w:r>
          </w:p>
        </w:tc>
      </w:tr>
      <w:tr w:rsidR="00C42353" w:rsidRPr="00537AE7" w14:paraId="74ACC424" w14:textId="77777777" w:rsidTr="002E1412">
        <w:trPr>
          <w:trHeight w:val="238"/>
          <w:jc w:val="center"/>
        </w:trPr>
        <w:tc>
          <w:tcPr>
            <w:tcW w:w="2553" w:type="dxa"/>
            <w:shd w:val="clear" w:color="auto" w:fill="auto"/>
          </w:tcPr>
          <w:p w14:paraId="7EED7EDF" w14:textId="77777777" w:rsidR="00C42353" w:rsidRPr="00537AE7" w:rsidRDefault="00C42353" w:rsidP="002E1412">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78293E19"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34.700.950</w:t>
            </w:r>
          </w:p>
        </w:tc>
        <w:tc>
          <w:tcPr>
            <w:tcW w:w="1417" w:type="dxa"/>
            <w:shd w:val="clear" w:color="auto" w:fill="auto"/>
            <w:vAlign w:val="center"/>
          </w:tcPr>
          <w:p w14:paraId="6140467B"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7.872.886</w:t>
            </w:r>
          </w:p>
        </w:tc>
        <w:tc>
          <w:tcPr>
            <w:tcW w:w="1418" w:type="dxa"/>
            <w:shd w:val="clear" w:color="auto" w:fill="auto"/>
            <w:vAlign w:val="center"/>
          </w:tcPr>
          <w:p w14:paraId="79DCD13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12.662</w:t>
            </w:r>
          </w:p>
        </w:tc>
        <w:tc>
          <w:tcPr>
            <w:tcW w:w="1417" w:type="dxa"/>
            <w:shd w:val="clear" w:color="auto" w:fill="auto"/>
            <w:vAlign w:val="center"/>
          </w:tcPr>
          <w:p w14:paraId="27525650"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vAlign w:val="center"/>
          </w:tcPr>
          <w:p w14:paraId="1CC60B50"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2.945</w:t>
            </w:r>
          </w:p>
        </w:tc>
      </w:tr>
      <w:tr w:rsidR="00C42353" w:rsidRPr="00537AE7" w14:paraId="7F832E7C" w14:textId="77777777" w:rsidTr="002E1412">
        <w:trPr>
          <w:trHeight w:val="238"/>
          <w:jc w:val="center"/>
        </w:trPr>
        <w:tc>
          <w:tcPr>
            <w:tcW w:w="2553" w:type="dxa"/>
            <w:shd w:val="clear" w:color="auto" w:fill="auto"/>
          </w:tcPr>
          <w:p w14:paraId="22ED8F3E" w14:textId="77777777" w:rsidR="00C42353" w:rsidRPr="00537AE7" w:rsidRDefault="00C42353" w:rsidP="002E1412">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Dividendos a pagar</w:t>
            </w:r>
          </w:p>
        </w:tc>
        <w:tc>
          <w:tcPr>
            <w:tcW w:w="1417" w:type="dxa"/>
            <w:shd w:val="clear" w:color="auto" w:fill="auto"/>
            <w:vAlign w:val="center"/>
          </w:tcPr>
          <w:p w14:paraId="0E9D023C"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2.198</w:t>
            </w:r>
          </w:p>
        </w:tc>
        <w:tc>
          <w:tcPr>
            <w:tcW w:w="1417" w:type="dxa"/>
            <w:shd w:val="clear" w:color="auto" w:fill="auto"/>
            <w:vAlign w:val="center"/>
          </w:tcPr>
          <w:p w14:paraId="386B80ED"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2.681</w:t>
            </w:r>
          </w:p>
        </w:tc>
        <w:tc>
          <w:tcPr>
            <w:tcW w:w="1418" w:type="dxa"/>
            <w:shd w:val="clear" w:color="auto" w:fill="auto"/>
            <w:vAlign w:val="center"/>
          </w:tcPr>
          <w:p w14:paraId="0F3DE8BB"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c>
          <w:tcPr>
            <w:tcW w:w="1417" w:type="dxa"/>
            <w:shd w:val="clear" w:color="auto" w:fill="auto"/>
            <w:vAlign w:val="center"/>
          </w:tcPr>
          <w:p w14:paraId="5515FF3C" w14:textId="77777777" w:rsidR="00C42353" w:rsidRPr="002E1412" w:rsidRDefault="00C42353" w:rsidP="002E1412">
            <w:pPr>
              <w:keepNext/>
              <w:keepLines/>
              <w:spacing w:before="40" w:after="40" w:line="240" w:lineRule="auto"/>
              <w:jc w:val="right"/>
              <w:rPr>
                <w:rFonts w:eastAsia="Times New Roman" w:cs="Arial"/>
                <w:b/>
                <w:bCs/>
                <w:spacing w:val="-2"/>
                <w:sz w:val="14"/>
                <w:szCs w:val="14"/>
                <w:lang w:eastAsia="pt-BR"/>
              </w:rPr>
            </w:pPr>
            <w:r w:rsidRPr="002E1412">
              <w:rPr>
                <w:rFonts w:cs="Arial"/>
                <w:sz w:val="14"/>
                <w:szCs w:val="14"/>
              </w:rPr>
              <w:t xml:space="preserve">  1.132.039 </w:t>
            </w:r>
          </w:p>
        </w:tc>
        <w:tc>
          <w:tcPr>
            <w:tcW w:w="1418" w:type="dxa"/>
            <w:shd w:val="clear" w:color="auto" w:fill="auto"/>
            <w:vAlign w:val="center"/>
          </w:tcPr>
          <w:p w14:paraId="47ED8E91" w14:textId="77777777" w:rsidR="00C42353" w:rsidRPr="00F74843" w:rsidRDefault="00C42353" w:rsidP="002E1412">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r>
      <w:tr w:rsidR="00C42353" w:rsidRPr="00537AE7" w14:paraId="090F1679" w14:textId="77777777" w:rsidTr="002E1412">
        <w:trPr>
          <w:trHeight w:val="238"/>
          <w:jc w:val="center"/>
        </w:trPr>
        <w:tc>
          <w:tcPr>
            <w:tcW w:w="2553" w:type="dxa"/>
            <w:shd w:val="clear" w:color="auto" w:fill="auto"/>
          </w:tcPr>
          <w:p w14:paraId="669B34C5" w14:textId="77777777" w:rsidR="00C42353" w:rsidRPr="00537AE7" w:rsidRDefault="00C42353" w:rsidP="002E1412">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6B444ECB"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7" w:type="dxa"/>
            <w:shd w:val="clear" w:color="auto" w:fill="auto"/>
            <w:vAlign w:val="center"/>
          </w:tcPr>
          <w:p w14:paraId="368FAACC"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8" w:type="dxa"/>
            <w:shd w:val="clear" w:color="auto" w:fill="auto"/>
            <w:vAlign w:val="center"/>
          </w:tcPr>
          <w:p w14:paraId="40982110"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27392B32"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1.172.483 </w:t>
            </w:r>
          </w:p>
        </w:tc>
        <w:tc>
          <w:tcPr>
            <w:tcW w:w="1418" w:type="dxa"/>
            <w:shd w:val="clear" w:color="auto" w:fill="auto"/>
            <w:vAlign w:val="center"/>
          </w:tcPr>
          <w:p w14:paraId="573AE279"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C42353" w:rsidRPr="00537AE7" w14:paraId="7573FF98" w14:textId="77777777" w:rsidTr="002E1412">
        <w:trPr>
          <w:trHeight w:val="238"/>
          <w:jc w:val="center"/>
        </w:trPr>
        <w:tc>
          <w:tcPr>
            <w:tcW w:w="2553" w:type="dxa"/>
            <w:shd w:val="clear" w:color="auto" w:fill="auto"/>
          </w:tcPr>
          <w:p w14:paraId="22DDE39F" w14:textId="77777777" w:rsidR="00C42353" w:rsidRPr="00537AE7" w:rsidRDefault="00C42353" w:rsidP="002E1412">
            <w:pPr>
              <w:keepNext/>
              <w:keepLines/>
              <w:spacing w:before="40" w:after="40" w:line="240" w:lineRule="auto"/>
              <w:ind w:left="113"/>
              <w:rPr>
                <w:rFonts w:eastAsia="Times New Roman" w:cs="Arial"/>
                <w:b/>
                <w:bCs/>
                <w:color w:val="000000"/>
                <w:spacing w:val="-2"/>
                <w:sz w:val="14"/>
                <w:szCs w:val="14"/>
                <w:lang w:eastAsia="pt-BR"/>
              </w:rPr>
            </w:pPr>
            <w:r w:rsidRPr="00537AE7">
              <w:rPr>
                <w:rFonts w:eastAsia="Times New Roman" w:cs="Arial"/>
                <w:spacing w:val="-2"/>
                <w:sz w:val="14"/>
                <w:szCs w:val="18"/>
                <w:lang w:eastAsia="pt-BR"/>
              </w:rPr>
              <w:t>Outros passivos circulantes</w:t>
            </w:r>
          </w:p>
        </w:tc>
        <w:tc>
          <w:tcPr>
            <w:tcW w:w="1417" w:type="dxa"/>
            <w:shd w:val="clear" w:color="auto" w:fill="auto"/>
            <w:vAlign w:val="center"/>
          </w:tcPr>
          <w:p w14:paraId="3571FF10"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530.082</w:t>
            </w:r>
          </w:p>
        </w:tc>
        <w:tc>
          <w:tcPr>
            <w:tcW w:w="1417" w:type="dxa"/>
            <w:shd w:val="clear" w:color="auto" w:fill="auto"/>
            <w:vAlign w:val="center"/>
          </w:tcPr>
          <w:p w14:paraId="7152DA68"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26.523</w:t>
            </w:r>
          </w:p>
        </w:tc>
        <w:tc>
          <w:tcPr>
            <w:tcW w:w="1418" w:type="dxa"/>
            <w:shd w:val="clear" w:color="auto" w:fill="auto"/>
            <w:vAlign w:val="center"/>
          </w:tcPr>
          <w:p w14:paraId="1291C092"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8.640</w:t>
            </w:r>
          </w:p>
        </w:tc>
        <w:tc>
          <w:tcPr>
            <w:tcW w:w="1417" w:type="dxa"/>
            <w:shd w:val="clear" w:color="auto" w:fill="auto"/>
            <w:vAlign w:val="center"/>
          </w:tcPr>
          <w:p w14:paraId="7C954D05" w14:textId="77777777" w:rsidR="00C42353" w:rsidRPr="002E1412" w:rsidRDefault="00C42353" w:rsidP="002E1412">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944.037 </w:t>
            </w:r>
          </w:p>
        </w:tc>
        <w:tc>
          <w:tcPr>
            <w:tcW w:w="1418" w:type="dxa"/>
            <w:shd w:val="clear" w:color="auto" w:fill="auto"/>
            <w:vAlign w:val="center"/>
          </w:tcPr>
          <w:p w14:paraId="06B8AA90"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10.332</w:t>
            </w:r>
          </w:p>
        </w:tc>
      </w:tr>
      <w:tr w:rsidR="00C42353" w:rsidRPr="002E1412" w14:paraId="4193D09E" w14:textId="77777777" w:rsidTr="002E1412">
        <w:trPr>
          <w:trHeight w:val="238"/>
          <w:jc w:val="center"/>
        </w:trPr>
        <w:tc>
          <w:tcPr>
            <w:tcW w:w="2553" w:type="dxa"/>
            <w:shd w:val="clear" w:color="auto" w:fill="auto"/>
          </w:tcPr>
          <w:p w14:paraId="7E216DA4" w14:textId="77777777" w:rsidR="00C42353" w:rsidRPr="002E1412" w:rsidRDefault="00C42353" w:rsidP="002E1412">
            <w:pPr>
              <w:keepNext/>
              <w:keepLines/>
              <w:spacing w:before="40" w:after="40" w:line="240" w:lineRule="auto"/>
              <w:rPr>
                <w:rFonts w:eastAsia="Times New Roman" w:cs="Arial"/>
                <w:b/>
                <w:color w:val="000000"/>
                <w:spacing w:val="-2"/>
                <w:sz w:val="14"/>
                <w:szCs w:val="14"/>
                <w:lang w:eastAsia="pt-BR"/>
              </w:rPr>
            </w:pPr>
            <w:r w:rsidRPr="002E1412">
              <w:rPr>
                <w:rFonts w:eastAsia="Times New Roman" w:cs="Arial"/>
                <w:b/>
                <w:spacing w:val="-2"/>
                <w:sz w:val="14"/>
                <w:szCs w:val="18"/>
                <w:lang w:eastAsia="pt-BR"/>
              </w:rPr>
              <w:t>Passivo não circulante</w:t>
            </w:r>
          </w:p>
        </w:tc>
        <w:tc>
          <w:tcPr>
            <w:tcW w:w="1417" w:type="dxa"/>
            <w:shd w:val="clear" w:color="auto" w:fill="auto"/>
            <w:vAlign w:val="center"/>
          </w:tcPr>
          <w:p w14:paraId="63781D7E"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279.120.921</w:t>
            </w:r>
          </w:p>
        </w:tc>
        <w:tc>
          <w:tcPr>
            <w:tcW w:w="1417" w:type="dxa"/>
            <w:shd w:val="clear" w:color="auto" w:fill="auto"/>
            <w:vAlign w:val="center"/>
          </w:tcPr>
          <w:p w14:paraId="121060CA"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1.088.809</w:t>
            </w:r>
          </w:p>
        </w:tc>
        <w:tc>
          <w:tcPr>
            <w:tcW w:w="1418" w:type="dxa"/>
            <w:shd w:val="clear" w:color="auto" w:fill="auto"/>
            <w:vAlign w:val="center"/>
          </w:tcPr>
          <w:p w14:paraId="195DDC15"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4.080</w:t>
            </w:r>
          </w:p>
        </w:tc>
        <w:tc>
          <w:tcPr>
            <w:tcW w:w="1417" w:type="dxa"/>
            <w:shd w:val="clear" w:color="auto" w:fill="auto"/>
            <w:vAlign w:val="center"/>
          </w:tcPr>
          <w:p w14:paraId="40D0DC08"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1.804.346 </w:t>
            </w:r>
          </w:p>
        </w:tc>
        <w:tc>
          <w:tcPr>
            <w:tcW w:w="1418" w:type="dxa"/>
            <w:shd w:val="clear" w:color="auto" w:fill="auto"/>
            <w:vAlign w:val="center"/>
          </w:tcPr>
          <w:p w14:paraId="279606E9"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w:t>
            </w:r>
          </w:p>
        </w:tc>
      </w:tr>
      <w:tr w:rsidR="00C42353" w:rsidRPr="00537AE7" w14:paraId="753A0455" w14:textId="77777777" w:rsidTr="002E1412">
        <w:trPr>
          <w:trHeight w:val="238"/>
          <w:jc w:val="center"/>
        </w:trPr>
        <w:tc>
          <w:tcPr>
            <w:tcW w:w="2553" w:type="dxa"/>
            <w:shd w:val="clear" w:color="auto" w:fill="auto"/>
          </w:tcPr>
          <w:p w14:paraId="5EB70B2C" w14:textId="77777777" w:rsidR="00C42353" w:rsidRPr="00537AE7" w:rsidRDefault="00C42353" w:rsidP="002E1412">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2F3485A8"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581.677</w:t>
            </w:r>
          </w:p>
        </w:tc>
        <w:tc>
          <w:tcPr>
            <w:tcW w:w="1417" w:type="dxa"/>
            <w:shd w:val="clear" w:color="auto" w:fill="auto"/>
            <w:vAlign w:val="center"/>
          </w:tcPr>
          <w:p w14:paraId="0CF83C60"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10.780</w:t>
            </w:r>
          </w:p>
        </w:tc>
        <w:tc>
          <w:tcPr>
            <w:tcW w:w="1418" w:type="dxa"/>
            <w:shd w:val="clear" w:color="auto" w:fill="auto"/>
            <w:vAlign w:val="center"/>
          </w:tcPr>
          <w:p w14:paraId="2A30E726"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31206017"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 </w:t>
            </w:r>
          </w:p>
        </w:tc>
        <w:tc>
          <w:tcPr>
            <w:tcW w:w="1418" w:type="dxa"/>
            <w:shd w:val="clear" w:color="auto" w:fill="auto"/>
            <w:vAlign w:val="center"/>
          </w:tcPr>
          <w:p w14:paraId="4213308A"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C42353" w:rsidRPr="00537AE7" w14:paraId="6238130C" w14:textId="77777777" w:rsidTr="002E1412">
        <w:trPr>
          <w:trHeight w:val="238"/>
          <w:jc w:val="center"/>
        </w:trPr>
        <w:tc>
          <w:tcPr>
            <w:tcW w:w="2553" w:type="dxa"/>
            <w:shd w:val="clear" w:color="auto" w:fill="auto"/>
          </w:tcPr>
          <w:p w14:paraId="4DC527CA" w14:textId="77777777" w:rsidR="00C42353" w:rsidRPr="00537AE7" w:rsidRDefault="00C42353" w:rsidP="002E1412">
            <w:pPr>
              <w:keepNext/>
              <w:keepLines/>
              <w:spacing w:before="40" w:after="40" w:line="240" w:lineRule="auto"/>
              <w:ind w:left="113"/>
              <w:rPr>
                <w:rFonts w:eastAsia="Times New Roman" w:cs="Arial"/>
                <w:spacing w:val="-2"/>
                <w:sz w:val="14"/>
                <w:szCs w:val="18"/>
                <w:lang w:eastAsia="pt-BR"/>
              </w:rPr>
            </w:pPr>
            <w:r>
              <w:rPr>
                <w:rFonts w:eastAsia="Times New Roman" w:cs="Arial"/>
                <w:spacing w:val="-2"/>
                <w:sz w:val="14"/>
                <w:szCs w:val="18"/>
                <w:lang w:eastAsia="pt-BR"/>
              </w:rPr>
              <w:t>Passivo financeiro</w:t>
            </w:r>
          </w:p>
        </w:tc>
        <w:tc>
          <w:tcPr>
            <w:tcW w:w="1417" w:type="dxa"/>
            <w:shd w:val="clear" w:color="auto" w:fill="auto"/>
            <w:vAlign w:val="center"/>
          </w:tcPr>
          <w:p w14:paraId="1F94546A"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278.516.180</w:t>
            </w:r>
          </w:p>
        </w:tc>
        <w:tc>
          <w:tcPr>
            <w:tcW w:w="1417" w:type="dxa"/>
            <w:shd w:val="clear" w:color="auto" w:fill="auto"/>
            <w:vAlign w:val="center"/>
          </w:tcPr>
          <w:p w14:paraId="18772CCB"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8" w:type="dxa"/>
            <w:shd w:val="clear" w:color="auto" w:fill="auto"/>
            <w:vAlign w:val="center"/>
          </w:tcPr>
          <w:p w14:paraId="2EFE29C2"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6794D24A"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 </w:t>
            </w:r>
          </w:p>
        </w:tc>
        <w:tc>
          <w:tcPr>
            <w:tcW w:w="1418" w:type="dxa"/>
            <w:shd w:val="clear" w:color="auto" w:fill="auto"/>
            <w:vAlign w:val="center"/>
          </w:tcPr>
          <w:p w14:paraId="5354406A"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C42353" w:rsidRPr="00537AE7" w14:paraId="74750367" w14:textId="77777777" w:rsidTr="002E1412">
        <w:trPr>
          <w:trHeight w:val="238"/>
          <w:jc w:val="center"/>
        </w:trPr>
        <w:tc>
          <w:tcPr>
            <w:tcW w:w="2553" w:type="dxa"/>
            <w:shd w:val="clear" w:color="auto" w:fill="auto"/>
          </w:tcPr>
          <w:p w14:paraId="1C3FACD2" w14:textId="77777777" w:rsidR="00C42353" w:rsidRPr="00537AE7" w:rsidRDefault="00C42353" w:rsidP="002E1412">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51D5B89F"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7" w:type="dxa"/>
            <w:shd w:val="clear" w:color="auto" w:fill="auto"/>
            <w:vAlign w:val="center"/>
          </w:tcPr>
          <w:p w14:paraId="0F189EC8"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8" w:type="dxa"/>
            <w:shd w:val="clear" w:color="auto" w:fill="auto"/>
            <w:vAlign w:val="center"/>
          </w:tcPr>
          <w:p w14:paraId="3E900B2A" w14:textId="77777777" w:rsidR="00C42353" w:rsidRPr="00F74843" w:rsidRDefault="00C42353" w:rsidP="002E1412">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3709200D"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1.794.544 </w:t>
            </w:r>
          </w:p>
        </w:tc>
        <w:tc>
          <w:tcPr>
            <w:tcW w:w="1418" w:type="dxa"/>
            <w:shd w:val="clear" w:color="auto" w:fill="auto"/>
            <w:vAlign w:val="center"/>
          </w:tcPr>
          <w:p w14:paraId="741F6BBC" w14:textId="77777777" w:rsidR="00C42353" w:rsidRPr="00F74843" w:rsidRDefault="00C42353" w:rsidP="002E1412">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C42353" w:rsidRPr="00537AE7" w14:paraId="5EF4AE58" w14:textId="77777777" w:rsidTr="002E1412">
        <w:trPr>
          <w:trHeight w:val="238"/>
          <w:jc w:val="center"/>
        </w:trPr>
        <w:tc>
          <w:tcPr>
            <w:tcW w:w="2553" w:type="dxa"/>
            <w:shd w:val="clear" w:color="auto" w:fill="auto"/>
          </w:tcPr>
          <w:p w14:paraId="48108D37" w14:textId="77777777" w:rsidR="00C42353" w:rsidRPr="00537AE7" w:rsidRDefault="00C42353" w:rsidP="002E1412">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Outros passivos não circulantes</w:t>
            </w:r>
          </w:p>
        </w:tc>
        <w:tc>
          <w:tcPr>
            <w:tcW w:w="1417" w:type="dxa"/>
            <w:shd w:val="clear" w:color="auto" w:fill="auto"/>
            <w:vAlign w:val="center"/>
          </w:tcPr>
          <w:p w14:paraId="3E064821"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23.064</w:t>
            </w:r>
          </w:p>
        </w:tc>
        <w:tc>
          <w:tcPr>
            <w:tcW w:w="1417" w:type="dxa"/>
            <w:shd w:val="clear" w:color="auto" w:fill="auto"/>
            <w:vAlign w:val="center"/>
          </w:tcPr>
          <w:p w14:paraId="1209E8F7"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1.078.029</w:t>
            </w:r>
          </w:p>
        </w:tc>
        <w:tc>
          <w:tcPr>
            <w:tcW w:w="1418" w:type="dxa"/>
            <w:shd w:val="clear" w:color="auto" w:fill="auto"/>
            <w:vAlign w:val="center"/>
          </w:tcPr>
          <w:p w14:paraId="213B1071"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4.080</w:t>
            </w:r>
          </w:p>
        </w:tc>
        <w:tc>
          <w:tcPr>
            <w:tcW w:w="1417" w:type="dxa"/>
            <w:shd w:val="clear" w:color="auto" w:fill="auto"/>
            <w:vAlign w:val="center"/>
          </w:tcPr>
          <w:p w14:paraId="71F2882E"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9.802 </w:t>
            </w:r>
          </w:p>
        </w:tc>
        <w:tc>
          <w:tcPr>
            <w:tcW w:w="1418" w:type="dxa"/>
            <w:shd w:val="clear" w:color="auto" w:fill="auto"/>
            <w:vAlign w:val="center"/>
          </w:tcPr>
          <w:p w14:paraId="005F3158" w14:textId="77777777" w:rsidR="00C42353" w:rsidRPr="00F74843" w:rsidRDefault="00C42353" w:rsidP="002E1412">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w:t>
            </w:r>
          </w:p>
        </w:tc>
      </w:tr>
      <w:tr w:rsidR="00C42353" w:rsidRPr="002E1412" w14:paraId="3F11F051" w14:textId="77777777" w:rsidTr="002E1412">
        <w:trPr>
          <w:trHeight w:val="238"/>
          <w:jc w:val="center"/>
        </w:trPr>
        <w:tc>
          <w:tcPr>
            <w:tcW w:w="2553" w:type="dxa"/>
            <w:shd w:val="clear" w:color="auto" w:fill="auto"/>
          </w:tcPr>
          <w:p w14:paraId="6BD15AB5" w14:textId="77777777" w:rsidR="00C42353" w:rsidRPr="002E1412" w:rsidRDefault="00C42353" w:rsidP="002E1412">
            <w:pPr>
              <w:keepNext/>
              <w:keepLines/>
              <w:spacing w:before="40" w:after="40" w:line="240" w:lineRule="auto"/>
              <w:rPr>
                <w:rFonts w:eastAsia="Times New Roman" w:cs="Arial"/>
                <w:b/>
                <w:color w:val="000000"/>
                <w:spacing w:val="-2"/>
                <w:sz w:val="14"/>
                <w:szCs w:val="14"/>
                <w:lang w:eastAsia="pt-BR"/>
              </w:rPr>
            </w:pPr>
            <w:r w:rsidRPr="002E1412">
              <w:rPr>
                <w:rFonts w:eastAsia="Times New Roman" w:cs="Times New Roman"/>
                <w:b/>
                <w:spacing w:val="-2"/>
                <w:sz w:val="14"/>
                <w:szCs w:val="18"/>
                <w:lang w:eastAsia="pt-BR"/>
              </w:rPr>
              <w:t>Patrimônio líquido</w:t>
            </w:r>
          </w:p>
        </w:tc>
        <w:tc>
          <w:tcPr>
            <w:tcW w:w="1417" w:type="dxa"/>
            <w:shd w:val="clear" w:color="auto" w:fill="auto"/>
            <w:vAlign w:val="center"/>
          </w:tcPr>
          <w:p w14:paraId="5991B9D4"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5.833.438</w:t>
            </w:r>
          </w:p>
        </w:tc>
        <w:tc>
          <w:tcPr>
            <w:tcW w:w="1417" w:type="dxa"/>
            <w:shd w:val="clear" w:color="auto" w:fill="auto"/>
            <w:vAlign w:val="center"/>
          </w:tcPr>
          <w:p w14:paraId="4692DF65"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474.965</w:t>
            </w:r>
          </w:p>
        </w:tc>
        <w:tc>
          <w:tcPr>
            <w:tcW w:w="1418" w:type="dxa"/>
            <w:shd w:val="clear" w:color="auto" w:fill="auto"/>
            <w:vAlign w:val="center"/>
          </w:tcPr>
          <w:p w14:paraId="0B90F651"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21.452</w:t>
            </w:r>
          </w:p>
        </w:tc>
        <w:tc>
          <w:tcPr>
            <w:tcW w:w="1417" w:type="dxa"/>
            <w:shd w:val="clear" w:color="auto" w:fill="auto"/>
            <w:vAlign w:val="center"/>
          </w:tcPr>
          <w:p w14:paraId="534645FC"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6.009 </w:t>
            </w:r>
          </w:p>
        </w:tc>
        <w:tc>
          <w:tcPr>
            <w:tcW w:w="1418" w:type="dxa"/>
            <w:shd w:val="clear" w:color="auto" w:fill="auto"/>
            <w:vAlign w:val="center"/>
          </w:tcPr>
          <w:p w14:paraId="49F7B61A" w14:textId="77777777" w:rsidR="00C42353" w:rsidRPr="002E1412" w:rsidRDefault="00C42353" w:rsidP="002E1412">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2.466</w:t>
            </w:r>
          </w:p>
        </w:tc>
      </w:tr>
      <w:tr w:rsidR="00C42353" w:rsidRPr="00537AE7" w14:paraId="5F570E44" w14:textId="77777777" w:rsidTr="00800353">
        <w:trPr>
          <w:trHeight w:val="238"/>
          <w:jc w:val="center"/>
        </w:trPr>
        <w:tc>
          <w:tcPr>
            <w:tcW w:w="2553" w:type="dxa"/>
            <w:shd w:val="clear" w:color="auto" w:fill="auto"/>
          </w:tcPr>
          <w:p w14:paraId="2E3D2A58" w14:textId="77777777" w:rsidR="00C42353" w:rsidRPr="00537AE7" w:rsidRDefault="00C42353" w:rsidP="00F74843">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Times New Roman"/>
                <w:spacing w:val="-2"/>
                <w:sz w:val="14"/>
                <w:szCs w:val="18"/>
                <w:lang w:eastAsia="pt-BR"/>
              </w:rPr>
              <w:t>Atribuível à BB Seguridade</w:t>
            </w:r>
          </w:p>
        </w:tc>
        <w:tc>
          <w:tcPr>
            <w:tcW w:w="1417" w:type="dxa"/>
            <w:shd w:val="clear" w:color="auto" w:fill="auto"/>
            <w:vAlign w:val="center"/>
          </w:tcPr>
          <w:p w14:paraId="7B8E406A"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4.374.787</w:t>
            </w:r>
          </w:p>
        </w:tc>
        <w:tc>
          <w:tcPr>
            <w:tcW w:w="1417" w:type="dxa"/>
            <w:shd w:val="clear" w:color="auto" w:fill="auto"/>
            <w:vAlign w:val="center"/>
          </w:tcPr>
          <w:p w14:paraId="1B4A2988"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316.610</w:t>
            </w:r>
          </w:p>
        </w:tc>
        <w:tc>
          <w:tcPr>
            <w:tcW w:w="1418" w:type="dxa"/>
            <w:shd w:val="clear" w:color="auto" w:fill="auto"/>
            <w:vAlign w:val="center"/>
          </w:tcPr>
          <w:p w14:paraId="0728062D"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16.088</w:t>
            </w:r>
          </w:p>
        </w:tc>
        <w:tc>
          <w:tcPr>
            <w:tcW w:w="1417" w:type="dxa"/>
            <w:shd w:val="clear" w:color="auto" w:fill="auto"/>
            <w:vAlign w:val="center"/>
          </w:tcPr>
          <w:p w14:paraId="25818F91"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6.009</w:t>
            </w:r>
          </w:p>
        </w:tc>
        <w:tc>
          <w:tcPr>
            <w:tcW w:w="1418" w:type="dxa"/>
            <w:shd w:val="clear" w:color="auto" w:fill="auto"/>
            <w:vAlign w:val="center"/>
          </w:tcPr>
          <w:p w14:paraId="766D6F63"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1.850</w:t>
            </w:r>
          </w:p>
        </w:tc>
      </w:tr>
      <w:tr w:rsidR="00C42353" w:rsidRPr="00537AE7" w14:paraId="4A9BA3BE" w14:textId="77777777" w:rsidTr="00800353">
        <w:trPr>
          <w:trHeight w:val="238"/>
          <w:jc w:val="center"/>
        </w:trPr>
        <w:tc>
          <w:tcPr>
            <w:tcW w:w="2553" w:type="dxa"/>
            <w:shd w:val="clear" w:color="auto" w:fill="auto"/>
          </w:tcPr>
          <w:p w14:paraId="29CB36B9" w14:textId="77777777" w:rsidR="00C42353" w:rsidRPr="00537AE7" w:rsidRDefault="00C42353" w:rsidP="00F74843">
            <w:pPr>
              <w:keepNext/>
              <w:keepLines/>
              <w:spacing w:before="40" w:after="40" w:line="240" w:lineRule="auto"/>
              <w:ind w:left="113"/>
              <w:rPr>
                <w:rFonts w:eastAsia="Times New Roman" w:cs="Times New Roman"/>
                <w:spacing w:val="-2"/>
                <w:sz w:val="14"/>
                <w:szCs w:val="18"/>
                <w:lang w:eastAsia="pt-BR"/>
              </w:rPr>
            </w:pPr>
            <w:r>
              <w:rPr>
                <w:rFonts w:eastAsia="Times New Roman" w:cs="Times New Roman"/>
                <w:spacing w:val="-2"/>
                <w:sz w:val="14"/>
                <w:szCs w:val="18"/>
                <w:lang w:eastAsia="pt-BR"/>
              </w:rPr>
              <w:t xml:space="preserve">Diferença de prática contábil </w:t>
            </w:r>
            <w:r w:rsidRPr="00102925">
              <w:rPr>
                <w:rFonts w:eastAsia="Times New Roman" w:cs="Times New Roman"/>
                <w:spacing w:val="-2"/>
                <w:sz w:val="14"/>
                <w:szCs w:val="18"/>
                <w:vertAlign w:val="superscript"/>
                <w:lang w:eastAsia="pt-BR"/>
              </w:rPr>
              <w:t>(1)</w:t>
            </w:r>
          </w:p>
        </w:tc>
        <w:tc>
          <w:tcPr>
            <w:tcW w:w="1417" w:type="dxa"/>
            <w:shd w:val="clear" w:color="auto" w:fill="auto"/>
            <w:vAlign w:val="center"/>
          </w:tcPr>
          <w:p w14:paraId="73FF1FE2" w14:textId="77777777" w:rsidR="00C42353" w:rsidRPr="00F74843" w:rsidRDefault="00C42353" w:rsidP="00800353">
            <w:pPr>
              <w:keepNext/>
              <w:keepLines/>
              <w:spacing w:before="40" w:after="40" w:line="240" w:lineRule="auto"/>
              <w:jc w:val="right"/>
              <w:rPr>
                <w:rFonts w:cs="Arial"/>
                <w:sz w:val="14"/>
                <w:szCs w:val="14"/>
              </w:rPr>
            </w:pPr>
            <w:r w:rsidRPr="00F74843">
              <w:rPr>
                <w:rFonts w:cs="Arial"/>
                <w:sz w:val="14"/>
                <w:szCs w:val="14"/>
              </w:rPr>
              <w:t>2.421</w:t>
            </w:r>
          </w:p>
        </w:tc>
        <w:tc>
          <w:tcPr>
            <w:tcW w:w="1417" w:type="dxa"/>
            <w:shd w:val="clear" w:color="auto" w:fill="auto"/>
            <w:vAlign w:val="center"/>
          </w:tcPr>
          <w:p w14:paraId="1D7728A6" w14:textId="77777777" w:rsidR="00C42353" w:rsidRPr="00F74843" w:rsidRDefault="00C42353" w:rsidP="00800353">
            <w:pPr>
              <w:keepNext/>
              <w:keepLines/>
              <w:spacing w:before="40" w:after="40" w:line="240" w:lineRule="auto"/>
              <w:jc w:val="right"/>
              <w:rPr>
                <w:rFonts w:cs="Arial"/>
                <w:sz w:val="14"/>
                <w:szCs w:val="14"/>
              </w:rPr>
            </w:pPr>
            <w:r w:rsidRPr="00F74843">
              <w:rPr>
                <w:rFonts w:cs="Arial"/>
                <w:sz w:val="14"/>
                <w:szCs w:val="14"/>
              </w:rPr>
              <w:t>(75)</w:t>
            </w:r>
          </w:p>
        </w:tc>
        <w:tc>
          <w:tcPr>
            <w:tcW w:w="1418" w:type="dxa"/>
            <w:shd w:val="clear" w:color="auto" w:fill="auto"/>
            <w:vAlign w:val="center"/>
          </w:tcPr>
          <w:p w14:paraId="7F5F3268" w14:textId="77777777" w:rsidR="00C42353" w:rsidRPr="00F74843" w:rsidRDefault="00C42353" w:rsidP="00800353">
            <w:pPr>
              <w:keepNext/>
              <w:keepLines/>
              <w:spacing w:before="40" w:after="40" w:line="240" w:lineRule="auto"/>
              <w:jc w:val="right"/>
              <w:rPr>
                <w:rFonts w:cs="Arial"/>
                <w:sz w:val="14"/>
                <w:szCs w:val="14"/>
              </w:rPr>
            </w:pPr>
            <w:r w:rsidRPr="00F74843">
              <w:rPr>
                <w:rFonts w:cs="Arial"/>
                <w:sz w:val="14"/>
                <w:szCs w:val="14"/>
              </w:rPr>
              <w:t>--</w:t>
            </w:r>
          </w:p>
        </w:tc>
        <w:tc>
          <w:tcPr>
            <w:tcW w:w="1417" w:type="dxa"/>
            <w:shd w:val="clear" w:color="auto" w:fill="auto"/>
            <w:vAlign w:val="center"/>
          </w:tcPr>
          <w:p w14:paraId="021DB247"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8" w:type="dxa"/>
            <w:shd w:val="clear" w:color="auto" w:fill="auto"/>
            <w:vAlign w:val="center"/>
          </w:tcPr>
          <w:p w14:paraId="484CEFE3"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C42353" w:rsidRPr="00537AE7" w14:paraId="3139F724" w14:textId="77777777" w:rsidTr="00800353">
        <w:trPr>
          <w:trHeight w:val="238"/>
          <w:jc w:val="center"/>
        </w:trPr>
        <w:tc>
          <w:tcPr>
            <w:tcW w:w="2553" w:type="dxa"/>
            <w:shd w:val="clear" w:color="auto" w:fill="auto"/>
          </w:tcPr>
          <w:p w14:paraId="4FE59D6B" w14:textId="77777777" w:rsidR="00C42353" w:rsidRPr="00537AE7" w:rsidRDefault="00C42353" w:rsidP="00F74843">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Times New Roman"/>
                <w:spacing w:val="-2"/>
                <w:sz w:val="14"/>
                <w:szCs w:val="18"/>
                <w:lang w:eastAsia="pt-BR"/>
              </w:rPr>
              <w:t>Ajustes</w:t>
            </w:r>
            <w:r>
              <w:rPr>
                <w:rFonts w:eastAsia="Times New Roman" w:cs="Times New Roman"/>
                <w:spacing w:val="-2"/>
                <w:sz w:val="14"/>
                <w:szCs w:val="18"/>
                <w:lang w:eastAsia="pt-BR"/>
              </w:rPr>
              <w:t xml:space="preserve"> </w:t>
            </w:r>
            <w:r w:rsidRPr="00DF1831">
              <w:rPr>
                <w:rFonts w:eastAsia="Times New Roman" w:cs="Times New Roman"/>
                <w:spacing w:val="-2"/>
                <w:sz w:val="14"/>
                <w:szCs w:val="18"/>
                <w:vertAlign w:val="superscript"/>
                <w:lang w:eastAsia="pt-BR"/>
              </w:rPr>
              <w:t>(</w:t>
            </w:r>
            <w:r>
              <w:rPr>
                <w:rFonts w:eastAsia="Times New Roman" w:cs="Times New Roman"/>
                <w:spacing w:val="-2"/>
                <w:sz w:val="14"/>
                <w:szCs w:val="18"/>
                <w:vertAlign w:val="superscript"/>
                <w:lang w:eastAsia="pt-BR"/>
              </w:rPr>
              <w:t>2</w:t>
            </w:r>
            <w:r w:rsidRPr="00DF1831">
              <w:rPr>
                <w:rFonts w:eastAsia="Times New Roman" w:cs="Times New Roman"/>
                <w:spacing w:val="-2"/>
                <w:sz w:val="14"/>
                <w:szCs w:val="18"/>
                <w:vertAlign w:val="superscript"/>
                <w:lang w:eastAsia="pt-BR"/>
              </w:rPr>
              <w:t>)</w:t>
            </w:r>
          </w:p>
        </w:tc>
        <w:tc>
          <w:tcPr>
            <w:tcW w:w="1417" w:type="dxa"/>
            <w:shd w:val="clear" w:color="auto" w:fill="auto"/>
            <w:vAlign w:val="center"/>
          </w:tcPr>
          <w:p w14:paraId="36D4F334"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(22.831)</w:t>
            </w:r>
          </w:p>
        </w:tc>
        <w:tc>
          <w:tcPr>
            <w:tcW w:w="1417" w:type="dxa"/>
            <w:shd w:val="clear" w:color="auto" w:fill="auto"/>
            <w:vAlign w:val="center"/>
          </w:tcPr>
          <w:p w14:paraId="2282E9DC"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111.305</w:t>
            </w:r>
          </w:p>
        </w:tc>
        <w:tc>
          <w:tcPr>
            <w:tcW w:w="1418" w:type="dxa"/>
            <w:shd w:val="clear" w:color="auto" w:fill="auto"/>
            <w:vAlign w:val="center"/>
          </w:tcPr>
          <w:p w14:paraId="135259D7"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7" w:type="dxa"/>
            <w:shd w:val="clear" w:color="auto" w:fill="auto"/>
            <w:vAlign w:val="center"/>
          </w:tcPr>
          <w:p w14:paraId="594D5A6E"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8" w:type="dxa"/>
            <w:shd w:val="clear" w:color="auto" w:fill="auto"/>
            <w:vAlign w:val="center"/>
          </w:tcPr>
          <w:p w14:paraId="07931930" w14:textId="77777777" w:rsidR="00C42353" w:rsidRPr="00F74843" w:rsidRDefault="00C42353" w:rsidP="00800353">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C42353" w:rsidRPr="002E1412" w14:paraId="5D8CE572" w14:textId="77777777" w:rsidTr="00800353">
        <w:trPr>
          <w:trHeight w:val="238"/>
          <w:jc w:val="center"/>
        </w:trPr>
        <w:tc>
          <w:tcPr>
            <w:tcW w:w="2553" w:type="dxa"/>
            <w:tcBorders>
              <w:bottom w:val="single" w:sz="2" w:space="0" w:color="1F4E79" w:themeColor="accent1" w:themeShade="80"/>
            </w:tcBorders>
            <w:shd w:val="clear" w:color="auto" w:fill="auto"/>
          </w:tcPr>
          <w:p w14:paraId="17CAFC78" w14:textId="77777777" w:rsidR="00C42353" w:rsidRPr="002E1412" w:rsidRDefault="00C42353" w:rsidP="00F74843">
            <w:pPr>
              <w:keepNext/>
              <w:keepLines/>
              <w:spacing w:before="40" w:after="40" w:line="240" w:lineRule="auto"/>
              <w:rPr>
                <w:rFonts w:eastAsia="Times New Roman" w:cs="Arial"/>
                <w:b/>
                <w:spacing w:val="-2"/>
                <w:sz w:val="14"/>
                <w:szCs w:val="14"/>
                <w:lang w:eastAsia="pt-BR"/>
              </w:rPr>
            </w:pPr>
            <w:r w:rsidRPr="002E1412">
              <w:rPr>
                <w:rFonts w:eastAsia="Times New Roman" w:cs="Times New Roman"/>
                <w:b/>
                <w:spacing w:val="-2"/>
                <w:sz w:val="14"/>
                <w:szCs w:val="18"/>
                <w:lang w:eastAsia="pt-BR"/>
              </w:rPr>
              <w:t>Saldo do investimento</w:t>
            </w:r>
          </w:p>
        </w:tc>
        <w:tc>
          <w:tcPr>
            <w:tcW w:w="1417" w:type="dxa"/>
            <w:tcBorders>
              <w:bottom w:val="single" w:sz="2" w:space="0" w:color="1F4E79" w:themeColor="accent1" w:themeShade="80"/>
            </w:tcBorders>
            <w:shd w:val="clear" w:color="auto" w:fill="auto"/>
            <w:vAlign w:val="center"/>
          </w:tcPr>
          <w:p w14:paraId="614439A5" w14:textId="77777777" w:rsidR="00C42353" w:rsidRPr="002E1412" w:rsidRDefault="00C42353" w:rsidP="00800353">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4.354.377</w:t>
            </w:r>
          </w:p>
        </w:tc>
        <w:tc>
          <w:tcPr>
            <w:tcW w:w="1417" w:type="dxa"/>
            <w:tcBorders>
              <w:bottom w:val="single" w:sz="2" w:space="0" w:color="1F4E79" w:themeColor="accent1" w:themeShade="80"/>
            </w:tcBorders>
            <w:shd w:val="clear" w:color="auto" w:fill="auto"/>
            <w:vAlign w:val="center"/>
          </w:tcPr>
          <w:p w14:paraId="116455AC" w14:textId="77777777" w:rsidR="00C42353" w:rsidRPr="002E1412" w:rsidRDefault="00C42353" w:rsidP="00800353">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427.840</w:t>
            </w:r>
          </w:p>
        </w:tc>
        <w:tc>
          <w:tcPr>
            <w:tcW w:w="1418" w:type="dxa"/>
            <w:tcBorders>
              <w:bottom w:val="single" w:sz="2" w:space="0" w:color="1F4E79" w:themeColor="accent1" w:themeShade="80"/>
            </w:tcBorders>
            <w:shd w:val="clear" w:color="auto" w:fill="auto"/>
            <w:vAlign w:val="center"/>
          </w:tcPr>
          <w:p w14:paraId="51375C15" w14:textId="77777777" w:rsidR="00C42353" w:rsidRPr="002E1412" w:rsidRDefault="00C42353" w:rsidP="00800353">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16.088</w:t>
            </w:r>
          </w:p>
        </w:tc>
        <w:tc>
          <w:tcPr>
            <w:tcW w:w="1417" w:type="dxa"/>
            <w:tcBorders>
              <w:bottom w:val="single" w:sz="2" w:space="0" w:color="1F4E79" w:themeColor="accent1" w:themeShade="80"/>
            </w:tcBorders>
            <w:shd w:val="clear" w:color="auto" w:fill="auto"/>
            <w:vAlign w:val="center"/>
          </w:tcPr>
          <w:p w14:paraId="53D47F19" w14:textId="77777777" w:rsidR="00C42353" w:rsidRPr="002E1412" w:rsidRDefault="00C42353" w:rsidP="00800353">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6.009</w:t>
            </w:r>
          </w:p>
        </w:tc>
        <w:tc>
          <w:tcPr>
            <w:tcW w:w="1418" w:type="dxa"/>
            <w:tcBorders>
              <w:bottom w:val="single" w:sz="2" w:space="0" w:color="1F4E79" w:themeColor="accent1" w:themeShade="80"/>
            </w:tcBorders>
            <w:shd w:val="clear" w:color="auto" w:fill="auto"/>
            <w:vAlign w:val="center"/>
          </w:tcPr>
          <w:p w14:paraId="1A1CCA63" w14:textId="77777777" w:rsidR="00C42353" w:rsidRPr="002E1412" w:rsidRDefault="00C42353" w:rsidP="00800353">
            <w:pPr>
              <w:keepNext/>
              <w:keepLines/>
              <w:spacing w:before="40" w:after="40" w:line="240" w:lineRule="auto"/>
              <w:jc w:val="right"/>
              <w:rPr>
                <w:rFonts w:eastAsia="Times New Roman" w:cs="Arial"/>
                <w:b/>
                <w:spacing w:val="-2"/>
                <w:sz w:val="14"/>
                <w:szCs w:val="14"/>
                <w:lang w:eastAsia="pt-BR"/>
              </w:rPr>
            </w:pPr>
            <w:r w:rsidRPr="002E1412">
              <w:rPr>
                <w:rFonts w:eastAsia="Times New Roman" w:cs="Arial"/>
                <w:b/>
                <w:spacing w:val="-2"/>
                <w:sz w:val="14"/>
                <w:szCs w:val="14"/>
                <w:lang w:eastAsia="pt-BR"/>
              </w:rPr>
              <w:t>1.850</w:t>
            </w:r>
          </w:p>
        </w:tc>
      </w:tr>
    </w:tbl>
    <w:p w14:paraId="014B2A13" w14:textId="77777777" w:rsidR="00C42353" w:rsidRPr="00800353" w:rsidRDefault="00C42353" w:rsidP="00C42353">
      <w:pPr>
        <w:numPr>
          <w:ilvl w:val="0"/>
          <w:numId w:val="22"/>
        </w:numPr>
        <w:spacing w:line="257" w:lineRule="auto"/>
        <w:ind w:left="284" w:hanging="284"/>
        <w:contextualSpacing/>
        <w:jc w:val="both"/>
        <w:rPr>
          <w:rFonts w:eastAsia="Times New Roman" w:cs="Times New Roman"/>
          <w:spacing w:val="-2"/>
          <w:sz w:val="14"/>
          <w:szCs w:val="18"/>
          <w:lang w:eastAsia="pt-BR"/>
        </w:rPr>
      </w:pPr>
      <w:r w:rsidRPr="00800353">
        <w:rPr>
          <w:rFonts w:cs="Arial"/>
          <w:sz w:val="14"/>
          <w:szCs w:val="18"/>
        </w:rPr>
        <w:t xml:space="preserve">Ajustes para fins de uniformização de prática contábil em virtude do CPC 06 (R2) </w:t>
      </w:r>
      <w:r>
        <w:rPr>
          <w:rFonts w:cs="Arial"/>
          <w:sz w:val="14"/>
          <w:szCs w:val="18"/>
        </w:rPr>
        <w:t xml:space="preserve">[IFRS 16] </w:t>
      </w:r>
      <w:r w:rsidRPr="00800353">
        <w:rPr>
          <w:rFonts w:cs="Arial"/>
          <w:sz w:val="14"/>
          <w:szCs w:val="18"/>
        </w:rPr>
        <w:t>– Arrendamentos de períodos anteriores. Brasilprev e Brasilcap passaram a adotar o CPC 06 (R2)</w:t>
      </w:r>
      <w:r>
        <w:rPr>
          <w:rFonts w:cs="Arial"/>
          <w:sz w:val="14"/>
          <w:szCs w:val="18"/>
        </w:rPr>
        <w:t xml:space="preserve"> [IFRS 16]</w:t>
      </w:r>
      <w:r w:rsidRPr="00800353">
        <w:rPr>
          <w:rFonts w:cs="Arial"/>
          <w:sz w:val="14"/>
          <w:szCs w:val="18"/>
        </w:rPr>
        <w:t xml:space="preserve"> a partir de 1° de janeiro de 2021.</w:t>
      </w:r>
    </w:p>
    <w:p w14:paraId="3B99BE58" w14:textId="77777777" w:rsidR="00C42353" w:rsidRPr="00800353" w:rsidRDefault="00C42353" w:rsidP="00C42353">
      <w:pPr>
        <w:numPr>
          <w:ilvl w:val="0"/>
          <w:numId w:val="22"/>
        </w:numPr>
        <w:spacing w:line="257" w:lineRule="auto"/>
        <w:ind w:left="284" w:hanging="284"/>
        <w:contextualSpacing/>
        <w:jc w:val="both"/>
        <w:rPr>
          <w:rFonts w:eastAsia="Times New Roman" w:cs="Times New Roman"/>
          <w:spacing w:val="-2"/>
          <w:sz w:val="14"/>
          <w:szCs w:val="18"/>
          <w:lang w:eastAsia="pt-BR"/>
        </w:rPr>
      </w:pPr>
      <w:r w:rsidRPr="00800353">
        <w:rPr>
          <w:rFonts w:eastAsia="Times New Roman" w:cs="Times New Roman"/>
          <w:spacing w:val="-2"/>
          <w:sz w:val="14"/>
          <w:szCs w:val="18"/>
          <w:lang w:eastAsia="pt-BR"/>
        </w:rPr>
        <w:t xml:space="preserve">Inclui na Brasilprev de resultado não realizado da venda da participação acionária da Mapfre Nossa Caixa Vida e Previdência (MNCVP) em julho de 2012. Na Brasilcap inclui o ágio de R$ 110.749 mil, na aquisição de participação societária da empresa Sulacap pela BB Seguros, ocorrida em 22.07.2011 e </w:t>
      </w:r>
      <w:r w:rsidRPr="00752E92">
        <w:rPr>
          <w:rFonts w:eastAsia="Times New Roman" w:cs="Times New Roman"/>
          <w:spacing w:val="-2"/>
          <w:sz w:val="14"/>
          <w:szCs w:val="18"/>
          <w:lang w:eastAsia="pt-BR"/>
        </w:rPr>
        <w:t>R$ 556 mil de dividendos a receber não reconhecidos pela BB Seguros, devido a aprovação no âmbito da Brasilcap ter ocorrido pela Diretoria em 25.01.2022</w:t>
      </w:r>
      <w:r>
        <w:rPr>
          <w:rFonts w:eastAsia="Times New Roman" w:cs="Times New Roman"/>
          <w:spacing w:val="-2"/>
          <w:sz w:val="14"/>
          <w:szCs w:val="18"/>
          <w:lang w:eastAsia="pt-BR"/>
        </w:rPr>
        <w:t>.</w:t>
      </w:r>
    </w:p>
    <w:p w14:paraId="14280C97" w14:textId="77777777" w:rsidR="00C42353" w:rsidRPr="00537AE7" w:rsidRDefault="00C42353" w:rsidP="009167E2">
      <w:pPr>
        <w:keepNext/>
        <w:keepLines/>
        <w:pageBreakBefore/>
        <w:spacing w:after="0"/>
        <w:jc w:val="right"/>
        <w:rPr>
          <w:rFonts w:cs="Arial"/>
          <w:b/>
          <w:sz w:val="14"/>
          <w:szCs w:val="18"/>
        </w:rPr>
      </w:pPr>
      <w:r w:rsidRPr="00537AE7">
        <w:rPr>
          <w:rFonts w:cs="Arial"/>
          <w:b/>
          <w:sz w:val="14"/>
          <w:szCs w:val="18"/>
        </w:rPr>
        <w:lastRenderedPageBreak/>
        <w:t>R$ mil</w:t>
      </w:r>
    </w:p>
    <w:tbl>
      <w:tblPr>
        <w:tblW w:w="9640" w:type="dxa"/>
        <w:jc w:val="center"/>
        <w:tblLayout w:type="fixed"/>
        <w:tblLook w:val="04A0" w:firstRow="1" w:lastRow="0" w:firstColumn="1" w:lastColumn="0" w:noHBand="0" w:noVBand="1"/>
      </w:tblPr>
      <w:tblGrid>
        <w:gridCol w:w="2551"/>
        <w:gridCol w:w="1417"/>
        <w:gridCol w:w="1418"/>
        <w:gridCol w:w="1418"/>
        <w:gridCol w:w="1418"/>
        <w:gridCol w:w="1418"/>
      </w:tblGrid>
      <w:tr w:rsidR="00C42353" w:rsidRPr="00537AE7" w14:paraId="585D41D9" w14:textId="77777777" w:rsidTr="003C17F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5F77BAE5" w14:textId="77777777" w:rsidR="00C42353" w:rsidRPr="00537AE7" w:rsidRDefault="00C42353" w:rsidP="00102925">
            <w:pPr>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253"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0F49CC52"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836"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1D301333"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3473F30C" w14:textId="77777777" w:rsidTr="003C17F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0CB41620"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3C17980"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05F2653"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D4E1DB0"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418"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78D5B31D"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94558FF"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C42353" w:rsidRPr="00537AE7" w14:paraId="618F557B" w14:textId="77777777" w:rsidTr="003C17F0">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5F3FE6FA"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31.12.2020</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18CF9EF"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Brasilprev</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85D1BFF"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Brasilcap</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707B4C3"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Brasildental</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DAEA6B4"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BB Corretora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03E4FFC" w14:textId="77777777" w:rsidR="00C42353" w:rsidRPr="00537AE7" w:rsidRDefault="00C42353" w:rsidP="00102925">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C42353" w:rsidRPr="00E16033" w14:paraId="7F70AB56" w14:textId="77777777" w:rsidTr="003C17F0">
        <w:trPr>
          <w:trHeight w:val="238"/>
          <w:jc w:val="center"/>
        </w:trPr>
        <w:tc>
          <w:tcPr>
            <w:tcW w:w="2551" w:type="dxa"/>
            <w:tcBorders>
              <w:top w:val="single" w:sz="2" w:space="0" w:color="1F4E79" w:themeColor="accent1" w:themeShade="80"/>
            </w:tcBorders>
            <w:shd w:val="clear" w:color="auto" w:fill="auto"/>
          </w:tcPr>
          <w:p w14:paraId="52CF2ED7" w14:textId="77777777" w:rsidR="00C42353" w:rsidRPr="00E16033" w:rsidRDefault="00C42353" w:rsidP="00E16033">
            <w:pPr>
              <w:spacing w:before="40" w:after="40" w:line="240" w:lineRule="auto"/>
              <w:rPr>
                <w:rFonts w:eastAsia="Times New Roman" w:cs="Arial"/>
                <w:b/>
                <w:bCs/>
                <w:spacing w:val="-2"/>
                <w:sz w:val="14"/>
                <w:szCs w:val="14"/>
                <w:lang w:eastAsia="pt-BR"/>
              </w:rPr>
            </w:pPr>
            <w:r w:rsidRPr="00E16033">
              <w:rPr>
                <w:rFonts w:eastAsia="Times New Roman" w:cs="Arial"/>
                <w:b/>
                <w:spacing w:val="-2"/>
                <w:sz w:val="14"/>
                <w:szCs w:val="18"/>
                <w:lang w:eastAsia="pt-BR"/>
              </w:rPr>
              <w:t xml:space="preserve">Ativo circulante </w:t>
            </w:r>
          </w:p>
        </w:tc>
        <w:tc>
          <w:tcPr>
            <w:tcW w:w="1417" w:type="dxa"/>
            <w:tcBorders>
              <w:top w:val="single" w:sz="2" w:space="0" w:color="1F4E79" w:themeColor="accent1" w:themeShade="80"/>
            </w:tcBorders>
            <w:shd w:val="clear" w:color="auto" w:fill="auto"/>
            <w:vAlign w:val="center"/>
          </w:tcPr>
          <w:p w14:paraId="7144E22B"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299.893.358</w:t>
            </w:r>
          </w:p>
        </w:tc>
        <w:tc>
          <w:tcPr>
            <w:tcW w:w="1418" w:type="dxa"/>
            <w:tcBorders>
              <w:top w:val="single" w:sz="2" w:space="0" w:color="1F4E79" w:themeColor="accent1" w:themeShade="80"/>
            </w:tcBorders>
            <w:shd w:val="clear" w:color="auto" w:fill="auto"/>
            <w:vAlign w:val="center"/>
          </w:tcPr>
          <w:p w14:paraId="7AA57352"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sz w:val="14"/>
                <w:szCs w:val="14"/>
              </w:rPr>
              <w:t>5.952.543</w:t>
            </w:r>
          </w:p>
        </w:tc>
        <w:tc>
          <w:tcPr>
            <w:tcW w:w="1418" w:type="dxa"/>
            <w:tcBorders>
              <w:top w:val="single" w:sz="2" w:space="0" w:color="1F4E79" w:themeColor="accent1" w:themeShade="80"/>
            </w:tcBorders>
            <w:shd w:val="clear" w:color="auto" w:fill="auto"/>
            <w:vAlign w:val="center"/>
          </w:tcPr>
          <w:p w14:paraId="3845F99D"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45.380</w:t>
            </w:r>
          </w:p>
        </w:tc>
        <w:tc>
          <w:tcPr>
            <w:tcW w:w="1418" w:type="dxa"/>
            <w:tcBorders>
              <w:top w:val="single" w:sz="2" w:space="0" w:color="1F4E79" w:themeColor="accent1" w:themeShade="80"/>
            </w:tcBorders>
            <w:shd w:val="clear" w:color="auto" w:fill="auto"/>
            <w:vAlign w:val="center"/>
          </w:tcPr>
          <w:p w14:paraId="6F85DA5E"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F31558">
              <w:rPr>
                <w:rFonts w:cs="Arial"/>
                <w:b/>
                <w:bCs/>
                <w:sz w:val="14"/>
                <w:szCs w:val="14"/>
              </w:rPr>
              <w:t>3.307.742</w:t>
            </w:r>
          </w:p>
        </w:tc>
        <w:tc>
          <w:tcPr>
            <w:tcW w:w="1418" w:type="dxa"/>
            <w:tcBorders>
              <w:top w:val="single" w:sz="2" w:space="0" w:color="1F4E79" w:themeColor="accent1" w:themeShade="80"/>
            </w:tcBorders>
            <w:shd w:val="clear" w:color="auto" w:fill="auto"/>
            <w:vAlign w:val="center"/>
          </w:tcPr>
          <w:p w14:paraId="7D173C4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26.125</w:t>
            </w:r>
          </w:p>
        </w:tc>
      </w:tr>
      <w:tr w:rsidR="00C42353" w:rsidRPr="00537AE7" w14:paraId="53330C7B" w14:textId="77777777" w:rsidTr="003C17F0">
        <w:trPr>
          <w:trHeight w:val="238"/>
          <w:jc w:val="center"/>
        </w:trPr>
        <w:tc>
          <w:tcPr>
            <w:tcW w:w="2551" w:type="dxa"/>
            <w:shd w:val="clear" w:color="auto" w:fill="auto"/>
          </w:tcPr>
          <w:p w14:paraId="2069F4F6" w14:textId="77777777" w:rsidR="00C42353" w:rsidRPr="00537AE7" w:rsidRDefault="00C42353" w:rsidP="00E16033">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Caixa e equivalentes de caixa</w:t>
            </w:r>
          </w:p>
        </w:tc>
        <w:tc>
          <w:tcPr>
            <w:tcW w:w="1417" w:type="dxa"/>
            <w:shd w:val="clear" w:color="auto" w:fill="auto"/>
            <w:vAlign w:val="center"/>
          </w:tcPr>
          <w:p w14:paraId="1BE73871"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14.201</w:t>
            </w:r>
          </w:p>
        </w:tc>
        <w:tc>
          <w:tcPr>
            <w:tcW w:w="1418" w:type="dxa"/>
            <w:shd w:val="clear" w:color="auto" w:fill="auto"/>
            <w:vAlign w:val="center"/>
          </w:tcPr>
          <w:p w14:paraId="106D0DF0"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413</w:t>
            </w:r>
          </w:p>
        </w:tc>
        <w:tc>
          <w:tcPr>
            <w:tcW w:w="1418" w:type="dxa"/>
            <w:shd w:val="clear" w:color="auto" w:fill="auto"/>
            <w:vAlign w:val="center"/>
          </w:tcPr>
          <w:p w14:paraId="42BC5D38"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2.108</w:t>
            </w:r>
          </w:p>
        </w:tc>
        <w:tc>
          <w:tcPr>
            <w:tcW w:w="1418" w:type="dxa"/>
            <w:shd w:val="clear" w:color="auto" w:fill="auto"/>
            <w:vAlign w:val="center"/>
          </w:tcPr>
          <w:p w14:paraId="4F510D8D"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1.887.215</w:t>
            </w:r>
          </w:p>
        </w:tc>
        <w:tc>
          <w:tcPr>
            <w:tcW w:w="1418" w:type="dxa"/>
            <w:shd w:val="clear" w:color="auto" w:fill="auto"/>
            <w:vAlign w:val="center"/>
          </w:tcPr>
          <w:p w14:paraId="7381BCC0"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158</w:t>
            </w:r>
          </w:p>
        </w:tc>
      </w:tr>
      <w:tr w:rsidR="00C42353" w:rsidRPr="00537AE7" w14:paraId="0C5C237F" w14:textId="77777777" w:rsidTr="003C17F0">
        <w:trPr>
          <w:trHeight w:val="238"/>
          <w:jc w:val="center"/>
        </w:trPr>
        <w:tc>
          <w:tcPr>
            <w:tcW w:w="2551" w:type="dxa"/>
            <w:shd w:val="clear" w:color="auto" w:fill="auto"/>
          </w:tcPr>
          <w:p w14:paraId="6872B8E7" w14:textId="77777777" w:rsidR="00C42353" w:rsidRPr="00537AE7" w:rsidRDefault="00C42353" w:rsidP="00E16033">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142C572E"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298.891.327</w:t>
            </w:r>
          </w:p>
        </w:tc>
        <w:tc>
          <w:tcPr>
            <w:tcW w:w="1418" w:type="dxa"/>
            <w:shd w:val="clear" w:color="auto" w:fill="auto"/>
            <w:vAlign w:val="center"/>
          </w:tcPr>
          <w:p w14:paraId="04192A5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5.929.382</w:t>
            </w:r>
          </w:p>
        </w:tc>
        <w:tc>
          <w:tcPr>
            <w:tcW w:w="1418" w:type="dxa"/>
            <w:shd w:val="clear" w:color="auto" w:fill="auto"/>
            <w:vAlign w:val="center"/>
          </w:tcPr>
          <w:p w14:paraId="547A595E"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37.126</w:t>
            </w:r>
          </w:p>
        </w:tc>
        <w:tc>
          <w:tcPr>
            <w:tcW w:w="1418" w:type="dxa"/>
            <w:shd w:val="clear" w:color="auto" w:fill="auto"/>
            <w:vAlign w:val="center"/>
          </w:tcPr>
          <w:p w14:paraId="74C35E76"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245.101</w:t>
            </w:r>
          </w:p>
        </w:tc>
        <w:tc>
          <w:tcPr>
            <w:tcW w:w="1418" w:type="dxa"/>
            <w:shd w:val="clear" w:color="auto" w:fill="auto"/>
            <w:vAlign w:val="center"/>
          </w:tcPr>
          <w:p w14:paraId="060BC39D"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17.602</w:t>
            </w:r>
          </w:p>
        </w:tc>
      </w:tr>
      <w:tr w:rsidR="00C42353" w:rsidRPr="00537AE7" w14:paraId="621727C5" w14:textId="77777777" w:rsidTr="003C17F0">
        <w:trPr>
          <w:trHeight w:val="238"/>
          <w:jc w:val="center"/>
        </w:trPr>
        <w:tc>
          <w:tcPr>
            <w:tcW w:w="2551" w:type="dxa"/>
            <w:shd w:val="clear" w:color="auto" w:fill="auto"/>
          </w:tcPr>
          <w:p w14:paraId="45CA8139" w14:textId="77777777" w:rsidR="00C42353" w:rsidRPr="00537AE7" w:rsidRDefault="00C42353" w:rsidP="005D27E2">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4"/>
                <w:lang w:eastAsia="pt-BR"/>
              </w:rPr>
              <w:t>Comissões a receber</w:t>
            </w:r>
          </w:p>
        </w:tc>
        <w:tc>
          <w:tcPr>
            <w:tcW w:w="1417" w:type="dxa"/>
            <w:shd w:val="clear" w:color="auto" w:fill="auto"/>
            <w:vAlign w:val="center"/>
          </w:tcPr>
          <w:p w14:paraId="04CC497E"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w:t>
            </w:r>
          </w:p>
        </w:tc>
        <w:tc>
          <w:tcPr>
            <w:tcW w:w="1418" w:type="dxa"/>
            <w:shd w:val="clear" w:color="auto" w:fill="auto"/>
            <w:vAlign w:val="center"/>
          </w:tcPr>
          <w:p w14:paraId="2C2C1BD3"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33343835"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w:t>
            </w:r>
          </w:p>
        </w:tc>
        <w:tc>
          <w:tcPr>
            <w:tcW w:w="1418" w:type="dxa"/>
            <w:shd w:val="clear" w:color="auto" w:fill="auto"/>
            <w:vAlign w:val="center"/>
          </w:tcPr>
          <w:p w14:paraId="755D18D3"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1.173.988</w:t>
            </w:r>
          </w:p>
        </w:tc>
        <w:tc>
          <w:tcPr>
            <w:tcW w:w="1418" w:type="dxa"/>
            <w:shd w:val="clear" w:color="auto" w:fill="auto"/>
          </w:tcPr>
          <w:p w14:paraId="0F8E531D" w14:textId="77777777" w:rsidR="00C42353" w:rsidRPr="005D27E2" w:rsidRDefault="00C42353" w:rsidP="005D27E2">
            <w:pPr>
              <w:spacing w:before="40" w:after="40" w:line="240" w:lineRule="auto"/>
              <w:jc w:val="right"/>
              <w:rPr>
                <w:rFonts w:eastAsia="Times New Roman" w:cs="Arial"/>
                <w:spacing w:val="-2"/>
                <w:sz w:val="14"/>
                <w:szCs w:val="14"/>
                <w:lang w:eastAsia="pt-BR"/>
              </w:rPr>
            </w:pPr>
            <w:r w:rsidRPr="005D27E2">
              <w:rPr>
                <w:rFonts w:cs="Arial"/>
                <w:sz w:val="14"/>
                <w:szCs w:val="14"/>
              </w:rPr>
              <w:t xml:space="preserve">  2.919 </w:t>
            </w:r>
          </w:p>
        </w:tc>
      </w:tr>
      <w:tr w:rsidR="00C42353" w:rsidRPr="00537AE7" w14:paraId="167E9798" w14:textId="77777777" w:rsidTr="003C17F0">
        <w:trPr>
          <w:trHeight w:val="238"/>
          <w:jc w:val="center"/>
        </w:trPr>
        <w:tc>
          <w:tcPr>
            <w:tcW w:w="2551" w:type="dxa"/>
            <w:shd w:val="clear" w:color="auto" w:fill="auto"/>
          </w:tcPr>
          <w:p w14:paraId="2D5D9F29" w14:textId="77777777" w:rsidR="00C42353" w:rsidRPr="00537AE7" w:rsidRDefault="00C42353" w:rsidP="005D27E2">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Outros ativos circulantes</w:t>
            </w:r>
          </w:p>
        </w:tc>
        <w:tc>
          <w:tcPr>
            <w:tcW w:w="1417" w:type="dxa"/>
            <w:shd w:val="clear" w:color="auto" w:fill="auto"/>
            <w:vAlign w:val="center"/>
          </w:tcPr>
          <w:p w14:paraId="7BAFC5A0"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987.830</w:t>
            </w:r>
          </w:p>
        </w:tc>
        <w:tc>
          <w:tcPr>
            <w:tcW w:w="1418" w:type="dxa"/>
            <w:shd w:val="clear" w:color="auto" w:fill="auto"/>
            <w:vAlign w:val="center"/>
          </w:tcPr>
          <w:p w14:paraId="213D943F"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22.748</w:t>
            </w:r>
          </w:p>
        </w:tc>
        <w:tc>
          <w:tcPr>
            <w:tcW w:w="1418" w:type="dxa"/>
            <w:shd w:val="clear" w:color="auto" w:fill="auto"/>
            <w:vAlign w:val="center"/>
          </w:tcPr>
          <w:p w14:paraId="526CF7F2"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E16033">
              <w:rPr>
                <w:rFonts w:cs="Arial"/>
                <w:sz w:val="14"/>
                <w:szCs w:val="14"/>
              </w:rPr>
              <w:t>6.146</w:t>
            </w:r>
          </w:p>
        </w:tc>
        <w:tc>
          <w:tcPr>
            <w:tcW w:w="1418" w:type="dxa"/>
            <w:shd w:val="clear" w:color="auto" w:fill="auto"/>
            <w:vAlign w:val="center"/>
          </w:tcPr>
          <w:p w14:paraId="3970EE8F" w14:textId="77777777" w:rsidR="00C42353" w:rsidRPr="00E16033" w:rsidRDefault="00C42353" w:rsidP="005D27E2">
            <w:pPr>
              <w:spacing w:before="40" w:after="40" w:line="240" w:lineRule="auto"/>
              <w:jc w:val="right"/>
              <w:rPr>
                <w:rFonts w:eastAsia="Times New Roman" w:cs="Arial"/>
                <w:spacing w:val="-2"/>
                <w:sz w:val="14"/>
                <w:szCs w:val="14"/>
                <w:lang w:eastAsia="pt-BR"/>
              </w:rPr>
            </w:pPr>
            <w:r w:rsidRPr="00F31558">
              <w:rPr>
                <w:rFonts w:cs="Arial"/>
                <w:sz w:val="14"/>
                <w:szCs w:val="14"/>
              </w:rPr>
              <w:t>1.438</w:t>
            </w:r>
          </w:p>
        </w:tc>
        <w:tc>
          <w:tcPr>
            <w:tcW w:w="1418" w:type="dxa"/>
            <w:shd w:val="clear" w:color="auto" w:fill="auto"/>
          </w:tcPr>
          <w:p w14:paraId="3C7CB027" w14:textId="77777777" w:rsidR="00C42353" w:rsidRPr="005D27E2" w:rsidRDefault="00C42353" w:rsidP="005D27E2">
            <w:pPr>
              <w:spacing w:before="40" w:after="40" w:line="240" w:lineRule="auto"/>
              <w:jc w:val="right"/>
              <w:rPr>
                <w:rFonts w:eastAsia="Times New Roman" w:cs="Arial"/>
                <w:spacing w:val="-2"/>
                <w:sz w:val="14"/>
                <w:szCs w:val="14"/>
                <w:lang w:eastAsia="pt-BR"/>
              </w:rPr>
            </w:pPr>
            <w:r w:rsidRPr="005D27E2">
              <w:rPr>
                <w:rFonts w:cs="Arial"/>
                <w:sz w:val="14"/>
                <w:szCs w:val="14"/>
              </w:rPr>
              <w:t xml:space="preserve">  5.446 </w:t>
            </w:r>
          </w:p>
        </w:tc>
      </w:tr>
      <w:tr w:rsidR="00C42353" w:rsidRPr="00E16033" w14:paraId="57CF3168" w14:textId="77777777" w:rsidTr="003C17F0">
        <w:trPr>
          <w:trHeight w:val="238"/>
          <w:jc w:val="center"/>
        </w:trPr>
        <w:tc>
          <w:tcPr>
            <w:tcW w:w="2551" w:type="dxa"/>
            <w:shd w:val="clear" w:color="auto" w:fill="auto"/>
          </w:tcPr>
          <w:p w14:paraId="118A6A61" w14:textId="77777777" w:rsidR="00C42353" w:rsidRPr="00E16033" w:rsidRDefault="00C42353" w:rsidP="00E16033">
            <w:pPr>
              <w:spacing w:before="40" w:after="40" w:line="240" w:lineRule="auto"/>
              <w:rPr>
                <w:rFonts w:eastAsia="Times New Roman" w:cs="Arial"/>
                <w:b/>
                <w:bCs/>
                <w:spacing w:val="-2"/>
                <w:sz w:val="14"/>
                <w:szCs w:val="14"/>
                <w:lang w:eastAsia="pt-BR"/>
              </w:rPr>
            </w:pPr>
            <w:r w:rsidRPr="00E16033">
              <w:rPr>
                <w:rFonts w:eastAsia="Times New Roman" w:cs="Arial"/>
                <w:b/>
                <w:spacing w:val="-2"/>
                <w:sz w:val="14"/>
                <w:szCs w:val="18"/>
                <w:lang w:eastAsia="pt-BR"/>
              </w:rPr>
              <w:t xml:space="preserve">Ativo não circulante </w:t>
            </w:r>
          </w:p>
        </w:tc>
        <w:tc>
          <w:tcPr>
            <w:tcW w:w="1417" w:type="dxa"/>
            <w:shd w:val="clear" w:color="auto" w:fill="auto"/>
            <w:vAlign w:val="center"/>
          </w:tcPr>
          <w:p w14:paraId="061FBBA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13.261.289</w:t>
            </w:r>
          </w:p>
        </w:tc>
        <w:tc>
          <w:tcPr>
            <w:tcW w:w="1418" w:type="dxa"/>
            <w:shd w:val="clear" w:color="auto" w:fill="auto"/>
            <w:vAlign w:val="center"/>
          </w:tcPr>
          <w:p w14:paraId="0A6E697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sz w:val="14"/>
                <w:szCs w:val="14"/>
              </w:rPr>
              <w:t>3.958.00</w:t>
            </w:r>
            <w:r>
              <w:rPr>
                <w:rFonts w:cs="Arial"/>
                <w:b/>
                <w:sz w:val="14"/>
                <w:szCs w:val="14"/>
              </w:rPr>
              <w:t>4</w:t>
            </w:r>
          </w:p>
        </w:tc>
        <w:tc>
          <w:tcPr>
            <w:tcW w:w="1418" w:type="dxa"/>
            <w:shd w:val="clear" w:color="auto" w:fill="auto"/>
            <w:vAlign w:val="center"/>
          </w:tcPr>
          <w:p w14:paraId="48D0700A"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1.775</w:t>
            </w:r>
          </w:p>
        </w:tc>
        <w:tc>
          <w:tcPr>
            <w:tcW w:w="1418" w:type="dxa"/>
            <w:shd w:val="clear" w:color="auto" w:fill="auto"/>
            <w:vAlign w:val="center"/>
          </w:tcPr>
          <w:p w14:paraId="7F6714DB"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F31558">
              <w:rPr>
                <w:rFonts w:cs="Arial"/>
                <w:b/>
                <w:bCs/>
                <w:sz w:val="14"/>
                <w:szCs w:val="14"/>
              </w:rPr>
              <w:t>1.098.937</w:t>
            </w:r>
          </w:p>
        </w:tc>
        <w:tc>
          <w:tcPr>
            <w:tcW w:w="1418" w:type="dxa"/>
            <w:shd w:val="clear" w:color="auto" w:fill="auto"/>
            <w:vAlign w:val="center"/>
          </w:tcPr>
          <w:p w14:paraId="309824F9" w14:textId="77777777" w:rsidR="00C42353" w:rsidRPr="005D27E2" w:rsidRDefault="00C42353" w:rsidP="00E16033">
            <w:pPr>
              <w:spacing w:before="40" w:after="40" w:line="240" w:lineRule="auto"/>
              <w:jc w:val="right"/>
              <w:rPr>
                <w:rFonts w:eastAsia="Times New Roman" w:cs="Arial"/>
                <w:b/>
                <w:spacing w:val="-2"/>
                <w:sz w:val="14"/>
                <w:szCs w:val="14"/>
                <w:lang w:eastAsia="pt-BR"/>
              </w:rPr>
            </w:pPr>
            <w:r w:rsidRPr="005D27E2">
              <w:rPr>
                <w:rFonts w:cs="Arial"/>
                <w:b/>
                <w:bCs/>
                <w:sz w:val="14"/>
                <w:szCs w:val="14"/>
              </w:rPr>
              <w:t>1.676</w:t>
            </w:r>
          </w:p>
        </w:tc>
      </w:tr>
      <w:tr w:rsidR="00C42353" w:rsidRPr="00537AE7" w14:paraId="65A18EDD" w14:textId="77777777" w:rsidTr="003C17F0">
        <w:trPr>
          <w:trHeight w:val="238"/>
          <w:jc w:val="center"/>
        </w:trPr>
        <w:tc>
          <w:tcPr>
            <w:tcW w:w="2551" w:type="dxa"/>
            <w:shd w:val="clear" w:color="auto" w:fill="auto"/>
          </w:tcPr>
          <w:p w14:paraId="42A75187" w14:textId="77777777" w:rsidR="00C42353" w:rsidRPr="00537AE7" w:rsidRDefault="00C42353" w:rsidP="00E16033">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27EF6D5A"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12.246.283</w:t>
            </w:r>
          </w:p>
        </w:tc>
        <w:tc>
          <w:tcPr>
            <w:tcW w:w="1418" w:type="dxa"/>
            <w:shd w:val="clear" w:color="auto" w:fill="auto"/>
            <w:vAlign w:val="center"/>
          </w:tcPr>
          <w:p w14:paraId="2742F036"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2.800.346</w:t>
            </w:r>
          </w:p>
        </w:tc>
        <w:tc>
          <w:tcPr>
            <w:tcW w:w="1418" w:type="dxa"/>
            <w:shd w:val="clear" w:color="auto" w:fill="auto"/>
            <w:vAlign w:val="center"/>
          </w:tcPr>
          <w:p w14:paraId="4E060B47"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w:t>
            </w:r>
          </w:p>
        </w:tc>
        <w:tc>
          <w:tcPr>
            <w:tcW w:w="1418" w:type="dxa"/>
            <w:shd w:val="clear" w:color="auto" w:fill="auto"/>
            <w:vAlign w:val="center"/>
          </w:tcPr>
          <w:p w14:paraId="58EB7D74"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205.487</w:t>
            </w:r>
          </w:p>
        </w:tc>
        <w:tc>
          <w:tcPr>
            <w:tcW w:w="1418" w:type="dxa"/>
            <w:shd w:val="clear" w:color="auto" w:fill="auto"/>
            <w:vAlign w:val="center"/>
          </w:tcPr>
          <w:p w14:paraId="5D38C31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w:t>
            </w:r>
          </w:p>
        </w:tc>
      </w:tr>
      <w:tr w:rsidR="00C42353" w:rsidRPr="00537AE7" w14:paraId="50865741" w14:textId="77777777" w:rsidTr="003C17F0">
        <w:trPr>
          <w:trHeight w:val="238"/>
          <w:jc w:val="center"/>
        </w:trPr>
        <w:tc>
          <w:tcPr>
            <w:tcW w:w="2551" w:type="dxa"/>
            <w:shd w:val="clear" w:color="auto" w:fill="auto"/>
          </w:tcPr>
          <w:p w14:paraId="01F2AD00" w14:textId="77777777" w:rsidR="00C42353" w:rsidRPr="00537AE7" w:rsidRDefault="00C42353" w:rsidP="00102925">
            <w:pPr>
              <w:spacing w:before="40" w:after="40" w:line="240" w:lineRule="auto"/>
              <w:ind w:left="113"/>
              <w:rPr>
                <w:rFonts w:eastAsia="Times New Roman" w:cs="Arial"/>
                <w:b/>
                <w:bCs/>
                <w:color w:val="000000"/>
                <w:spacing w:val="-2"/>
                <w:sz w:val="14"/>
                <w:szCs w:val="14"/>
                <w:lang w:eastAsia="pt-BR"/>
              </w:rPr>
            </w:pPr>
            <w:r w:rsidRPr="00537AE7">
              <w:rPr>
                <w:rFonts w:eastAsia="Times New Roman" w:cs="Arial"/>
                <w:spacing w:val="-2"/>
                <w:sz w:val="14"/>
                <w:szCs w:val="18"/>
                <w:lang w:eastAsia="pt-BR"/>
              </w:rPr>
              <w:t>Comissões a receber</w:t>
            </w:r>
          </w:p>
        </w:tc>
        <w:tc>
          <w:tcPr>
            <w:tcW w:w="1417" w:type="dxa"/>
            <w:shd w:val="clear" w:color="auto" w:fill="auto"/>
            <w:vAlign w:val="center"/>
          </w:tcPr>
          <w:p w14:paraId="55E37E03"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c>
          <w:tcPr>
            <w:tcW w:w="1418" w:type="dxa"/>
            <w:shd w:val="clear" w:color="auto" w:fill="auto"/>
            <w:vAlign w:val="center"/>
          </w:tcPr>
          <w:p w14:paraId="13662EF5" w14:textId="77777777" w:rsidR="00C42353" w:rsidRPr="0077528C" w:rsidRDefault="00C42353" w:rsidP="00E16033">
            <w:pPr>
              <w:spacing w:before="40" w:after="40" w:line="240" w:lineRule="auto"/>
              <w:jc w:val="right"/>
              <w:rPr>
                <w:rFonts w:eastAsia="Times New Roman" w:cs="Arial"/>
                <w:bCs/>
                <w:spacing w:val="-2"/>
                <w:sz w:val="14"/>
                <w:szCs w:val="14"/>
                <w:lang w:eastAsia="pt-BR"/>
              </w:rPr>
            </w:pPr>
            <w:r w:rsidRPr="0077528C">
              <w:rPr>
                <w:rFonts w:eastAsia="Times New Roman" w:cs="Arial"/>
                <w:bCs/>
                <w:spacing w:val="-2"/>
                <w:sz w:val="14"/>
                <w:szCs w:val="14"/>
                <w:lang w:eastAsia="pt-BR"/>
              </w:rPr>
              <w:t>--</w:t>
            </w:r>
          </w:p>
        </w:tc>
        <w:tc>
          <w:tcPr>
            <w:tcW w:w="1418" w:type="dxa"/>
            <w:shd w:val="clear" w:color="auto" w:fill="auto"/>
            <w:vAlign w:val="center"/>
          </w:tcPr>
          <w:p w14:paraId="52242CC4"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c>
          <w:tcPr>
            <w:tcW w:w="1418" w:type="dxa"/>
            <w:shd w:val="clear" w:color="auto" w:fill="auto"/>
            <w:vAlign w:val="center"/>
          </w:tcPr>
          <w:p w14:paraId="50D64B2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643.090</w:t>
            </w:r>
          </w:p>
        </w:tc>
        <w:tc>
          <w:tcPr>
            <w:tcW w:w="1418" w:type="dxa"/>
            <w:shd w:val="clear" w:color="auto" w:fill="auto"/>
            <w:vAlign w:val="center"/>
          </w:tcPr>
          <w:p w14:paraId="480DB284"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r>
      <w:tr w:rsidR="00C42353" w:rsidRPr="00537AE7" w14:paraId="2B36634B" w14:textId="77777777" w:rsidTr="003C17F0">
        <w:trPr>
          <w:trHeight w:val="238"/>
          <w:jc w:val="center"/>
        </w:trPr>
        <w:tc>
          <w:tcPr>
            <w:tcW w:w="2551" w:type="dxa"/>
            <w:shd w:val="clear" w:color="auto" w:fill="auto"/>
          </w:tcPr>
          <w:p w14:paraId="4CCE48A1" w14:textId="77777777" w:rsidR="00C42353" w:rsidRPr="00537AE7" w:rsidRDefault="00C42353" w:rsidP="00102925">
            <w:pPr>
              <w:spacing w:before="40" w:after="40" w:line="240" w:lineRule="auto"/>
              <w:ind w:left="113"/>
              <w:rPr>
                <w:rFonts w:eastAsia="Times New Roman" w:cs="Arial"/>
                <w:b/>
                <w:bCs/>
                <w:spacing w:val="-2"/>
                <w:sz w:val="14"/>
                <w:szCs w:val="14"/>
                <w:lang w:eastAsia="pt-BR"/>
              </w:rPr>
            </w:pPr>
            <w:r w:rsidRPr="00537AE7">
              <w:rPr>
                <w:rFonts w:eastAsia="Times New Roman" w:cs="Arial"/>
                <w:spacing w:val="-2"/>
                <w:sz w:val="14"/>
                <w:szCs w:val="18"/>
                <w:lang w:eastAsia="pt-BR"/>
              </w:rPr>
              <w:t>Outros ativos não circulantes</w:t>
            </w:r>
          </w:p>
        </w:tc>
        <w:tc>
          <w:tcPr>
            <w:tcW w:w="1417" w:type="dxa"/>
            <w:shd w:val="clear" w:color="auto" w:fill="auto"/>
            <w:vAlign w:val="center"/>
          </w:tcPr>
          <w:p w14:paraId="20C5378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1.015.006</w:t>
            </w:r>
          </w:p>
        </w:tc>
        <w:tc>
          <w:tcPr>
            <w:tcW w:w="1418" w:type="dxa"/>
            <w:shd w:val="clear" w:color="auto" w:fill="auto"/>
            <w:vAlign w:val="center"/>
          </w:tcPr>
          <w:p w14:paraId="48F03D97"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1.157.658</w:t>
            </w:r>
          </w:p>
        </w:tc>
        <w:tc>
          <w:tcPr>
            <w:tcW w:w="1418" w:type="dxa"/>
            <w:shd w:val="clear" w:color="auto" w:fill="auto"/>
            <w:vAlign w:val="center"/>
          </w:tcPr>
          <w:p w14:paraId="437793E2"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1.775</w:t>
            </w:r>
          </w:p>
        </w:tc>
        <w:tc>
          <w:tcPr>
            <w:tcW w:w="1418" w:type="dxa"/>
            <w:shd w:val="clear" w:color="auto" w:fill="auto"/>
            <w:vAlign w:val="center"/>
          </w:tcPr>
          <w:p w14:paraId="5D71309F"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0F24FE">
              <w:rPr>
                <w:rFonts w:cs="Arial"/>
                <w:sz w:val="14"/>
                <w:szCs w:val="14"/>
              </w:rPr>
              <w:t>250.360</w:t>
            </w:r>
          </w:p>
        </w:tc>
        <w:tc>
          <w:tcPr>
            <w:tcW w:w="1418" w:type="dxa"/>
            <w:shd w:val="clear" w:color="auto" w:fill="auto"/>
            <w:vAlign w:val="center"/>
          </w:tcPr>
          <w:p w14:paraId="5A6336B3"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1.676</w:t>
            </w:r>
          </w:p>
        </w:tc>
      </w:tr>
      <w:tr w:rsidR="00C42353" w:rsidRPr="00E16033" w14:paraId="400DA8F4" w14:textId="77777777" w:rsidTr="003C17F0">
        <w:trPr>
          <w:trHeight w:val="238"/>
          <w:jc w:val="center"/>
        </w:trPr>
        <w:tc>
          <w:tcPr>
            <w:tcW w:w="2551" w:type="dxa"/>
            <w:shd w:val="clear" w:color="auto" w:fill="auto"/>
          </w:tcPr>
          <w:p w14:paraId="608C0E29" w14:textId="77777777" w:rsidR="00C42353" w:rsidRPr="00E16033" w:rsidRDefault="00C42353" w:rsidP="00E16033">
            <w:pPr>
              <w:spacing w:before="40" w:after="40" w:line="240" w:lineRule="auto"/>
              <w:rPr>
                <w:rFonts w:eastAsia="Times New Roman" w:cs="Arial"/>
                <w:b/>
                <w:bCs/>
                <w:color w:val="000000"/>
                <w:spacing w:val="-2"/>
                <w:sz w:val="14"/>
                <w:szCs w:val="14"/>
                <w:lang w:eastAsia="pt-BR"/>
              </w:rPr>
            </w:pPr>
            <w:r w:rsidRPr="00E16033">
              <w:rPr>
                <w:rFonts w:eastAsia="Times New Roman" w:cs="Arial"/>
                <w:b/>
                <w:spacing w:val="-2"/>
                <w:sz w:val="14"/>
                <w:szCs w:val="18"/>
                <w:lang w:eastAsia="pt-BR"/>
              </w:rPr>
              <w:t>Passivo circulante</w:t>
            </w:r>
          </w:p>
        </w:tc>
        <w:tc>
          <w:tcPr>
            <w:tcW w:w="1417" w:type="dxa"/>
            <w:shd w:val="clear" w:color="auto" w:fill="auto"/>
            <w:vAlign w:val="center"/>
          </w:tcPr>
          <w:p w14:paraId="78081388"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35.083.159</w:t>
            </w:r>
          </w:p>
        </w:tc>
        <w:tc>
          <w:tcPr>
            <w:tcW w:w="1418" w:type="dxa"/>
            <w:shd w:val="clear" w:color="auto" w:fill="auto"/>
            <w:vAlign w:val="center"/>
          </w:tcPr>
          <w:p w14:paraId="68E2440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sz w:val="14"/>
                <w:szCs w:val="14"/>
              </w:rPr>
              <w:t>8.351.92</w:t>
            </w:r>
            <w:r>
              <w:rPr>
                <w:rFonts w:cs="Arial"/>
                <w:b/>
                <w:sz w:val="14"/>
                <w:szCs w:val="14"/>
              </w:rPr>
              <w:t>9</w:t>
            </w:r>
          </w:p>
        </w:tc>
        <w:tc>
          <w:tcPr>
            <w:tcW w:w="1418" w:type="dxa"/>
            <w:shd w:val="clear" w:color="auto" w:fill="auto"/>
            <w:vAlign w:val="center"/>
          </w:tcPr>
          <w:p w14:paraId="4B590262"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23.083</w:t>
            </w:r>
          </w:p>
        </w:tc>
        <w:tc>
          <w:tcPr>
            <w:tcW w:w="1418" w:type="dxa"/>
            <w:shd w:val="clear" w:color="auto" w:fill="auto"/>
            <w:vAlign w:val="center"/>
          </w:tcPr>
          <w:p w14:paraId="30BD3FC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2.931.761</w:t>
            </w:r>
          </w:p>
        </w:tc>
        <w:tc>
          <w:tcPr>
            <w:tcW w:w="1418" w:type="dxa"/>
            <w:shd w:val="clear" w:color="auto" w:fill="auto"/>
            <w:vAlign w:val="center"/>
          </w:tcPr>
          <w:p w14:paraId="67443E0F"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8.489</w:t>
            </w:r>
          </w:p>
        </w:tc>
      </w:tr>
      <w:tr w:rsidR="00C42353" w:rsidRPr="00537AE7" w14:paraId="211C378F" w14:textId="77777777" w:rsidTr="003C17F0">
        <w:trPr>
          <w:trHeight w:val="238"/>
          <w:jc w:val="center"/>
        </w:trPr>
        <w:tc>
          <w:tcPr>
            <w:tcW w:w="2551" w:type="dxa"/>
            <w:shd w:val="clear" w:color="auto" w:fill="auto"/>
          </w:tcPr>
          <w:p w14:paraId="67177ADF" w14:textId="77777777" w:rsidR="00C42353" w:rsidRPr="00537AE7" w:rsidRDefault="00C42353" w:rsidP="00E16033">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Passivos financeiros</w:t>
            </w:r>
          </w:p>
        </w:tc>
        <w:tc>
          <w:tcPr>
            <w:tcW w:w="1417" w:type="dxa"/>
            <w:shd w:val="clear" w:color="auto" w:fill="auto"/>
            <w:vAlign w:val="center"/>
          </w:tcPr>
          <w:p w14:paraId="0AD19BE0"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266.586</w:t>
            </w:r>
          </w:p>
        </w:tc>
        <w:tc>
          <w:tcPr>
            <w:tcW w:w="1418" w:type="dxa"/>
            <w:shd w:val="clear" w:color="auto" w:fill="auto"/>
            <w:vAlign w:val="center"/>
          </w:tcPr>
          <w:p w14:paraId="26559234"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526</w:t>
            </w:r>
          </w:p>
        </w:tc>
        <w:tc>
          <w:tcPr>
            <w:tcW w:w="1418" w:type="dxa"/>
            <w:shd w:val="clear" w:color="auto" w:fill="auto"/>
            <w:vAlign w:val="center"/>
          </w:tcPr>
          <w:p w14:paraId="3BD6A6B7"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w:t>
            </w:r>
          </w:p>
        </w:tc>
        <w:tc>
          <w:tcPr>
            <w:tcW w:w="1418" w:type="dxa"/>
            <w:shd w:val="clear" w:color="auto" w:fill="auto"/>
            <w:vAlign w:val="center"/>
          </w:tcPr>
          <w:p w14:paraId="34C67B72"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w:t>
            </w:r>
          </w:p>
        </w:tc>
        <w:tc>
          <w:tcPr>
            <w:tcW w:w="1418" w:type="dxa"/>
            <w:shd w:val="clear" w:color="auto" w:fill="auto"/>
            <w:vAlign w:val="center"/>
          </w:tcPr>
          <w:p w14:paraId="3D7A8A66"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964</w:t>
            </w:r>
          </w:p>
        </w:tc>
      </w:tr>
      <w:tr w:rsidR="00C42353" w:rsidRPr="00537AE7" w14:paraId="391E42E1" w14:textId="77777777" w:rsidTr="003C17F0">
        <w:trPr>
          <w:trHeight w:val="238"/>
          <w:jc w:val="center"/>
        </w:trPr>
        <w:tc>
          <w:tcPr>
            <w:tcW w:w="2551" w:type="dxa"/>
            <w:shd w:val="clear" w:color="auto" w:fill="auto"/>
          </w:tcPr>
          <w:p w14:paraId="528C2DE2" w14:textId="77777777" w:rsidR="00C42353" w:rsidRPr="00537AE7" w:rsidRDefault="00C42353" w:rsidP="00E16033">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66C91522"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34.486.024</w:t>
            </w:r>
          </w:p>
        </w:tc>
        <w:tc>
          <w:tcPr>
            <w:tcW w:w="1418" w:type="dxa"/>
            <w:shd w:val="clear" w:color="auto" w:fill="auto"/>
            <w:vAlign w:val="center"/>
          </w:tcPr>
          <w:p w14:paraId="4B3CB7FB"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8.261.132</w:t>
            </w:r>
          </w:p>
        </w:tc>
        <w:tc>
          <w:tcPr>
            <w:tcW w:w="1418" w:type="dxa"/>
            <w:shd w:val="clear" w:color="auto" w:fill="auto"/>
            <w:vAlign w:val="center"/>
          </w:tcPr>
          <w:p w14:paraId="736AF0F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14.295</w:t>
            </w:r>
          </w:p>
        </w:tc>
        <w:tc>
          <w:tcPr>
            <w:tcW w:w="1418" w:type="dxa"/>
            <w:shd w:val="clear" w:color="auto" w:fill="auto"/>
            <w:vAlign w:val="center"/>
          </w:tcPr>
          <w:p w14:paraId="68AB63A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w:t>
            </w:r>
          </w:p>
        </w:tc>
        <w:tc>
          <w:tcPr>
            <w:tcW w:w="1418" w:type="dxa"/>
            <w:shd w:val="clear" w:color="auto" w:fill="auto"/>
            <w:vAlign w:val="center"/>
          </w:tcPr>
          <w:p w14:paraId="121B371E"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3.839</w:t>
            </w:r>
          </w:p>
        </w:tc>
      </w:tr>
      <w:tr w:rsidR="00C42353" w:rsidRPr="00537AE7" w14:paraId="0FFD6337" w14:textId="77777777" w:rsidTr="003C17F0">
        <w:trPr>
          <w:trHeight w:val="238"/>
          <w:jc w:val="center"/>
        </w:trPr>
        <w:tc>
          <w:tcPr>
            <w:tcW w:w="2551" w:type="dxa"/>
            <w:shd w:val="clear" w:color="auto" w:fill="auto"/>
          </w:tcPr>
          <w:p w14:paraId="58F8886E" w14:textId="77777777" w:rsidR="00C42353" w:rsidRPr="00537AE7" w:rsidRDefault="00C42353" w:rsidP="00E16033">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Dividendos a pagar</w:t>
            </w:r>
          </w:p>
        </w:tc>
        <w:tc>
          <w:tcPr>
            <w:tcW w:w="1417" w:type="dxa"/>
            <w:shd w:val="clear" w:color="auto" w:fill="auto"/>
            <w:vAlign w:val="center"/>
          </w:tcPr>
          <w:p w14:paraId="5196C3DE"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w:t>
            </w:r>
          </w:p>
        </w:tc>
        <w:tc>
          <w:tcPr>
            <w:tcW w:w="1418" w:type="dxa"/>
            <w:shd w:val="clear" w:color="auto" w:fill="auto"/>
            <w:vAlign w:val="center"/>
          </w:tcPr>
          <w:p w14:paraId="1FE508AC"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1.814</w:t>
            </w:r>
          </w:p>
        </w:tc>
        <w:tc>
          <w:tcPr>
            <w:tcW w:w="1418" w:type="dxa"/>
            <w:shd w:val="clear" w:color="auto" w:fill="auto"/>
            <w:vAlign w:val="center"/>
          </w:tcPr>
          <w:p w14:paraId="308A6CFA"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w:t>
            </w:r>
          </w:p>
        </w:tc>
        <w:tc>
          <w:tcPr>
            <w:tcW w:w="1418" w:type="dxa"/>
            <w:shd w:val="clear" w:color="auto" w:fill="auto"/>
            <w:vAlign w:val="center"/>
          </w:tcPr>
          <w:p w14:paraId="49837907"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1.060.278</w:t>
            </w:r>
          </w:p>
        </w:tc>
        <w:tc>
          <w:tcPr>
            <w:tcW w:w="1418" w:type="dxa"/>
            <w:shd w:val="clear" w:color="auto" w:fill="auto"/>
            <w:vAlign w:val="center"/>
          </w:tcPr>
          <w:p w14:paraId="53C6E2F3" w14:textId="77777777" w:rsidR="00C42353" w:rsidRPr="00E16033" w:rsidRDefault="00C42353" w:rsidP="00E16033">
            <w:pPr>
              <w:spacing w:before="40" w:after="40" w:line="240" w:lineRule="auto"/>
              <w:jc w:val="right"/>
              <w:rPr>
                <w:rFonts w:eastAsia="Times New Roman" w:cs="Arial"/>
                <w:b/>
                <w:bCs/>
                <w:spacing w:val="-2"/>
                <w:sz w:val="14"/>
                <w:szCs w:val="14"/>
                <w:lang w:eastAsia="pt-BR"/>
              </w:rPr>
            </w:pPr>
            <w:r w:rsidRPr="00E16033">
              <w:rPr>
                <w:rFonts w:cs="Arial"/>
                <w:sz w:val="14"/>
                <w:szCs w:val="14"/>
              </w:rPr>
              <w:t>--</w:t>
            </w:r>
          </w:p>
        </w:tc>
      </w:tr>
      <w:tr w:rsidR="00C42353" w:rsidRPr="00537AE7" w14:paraId="15348088" w14:textId="77777777" w:rsidTr="003C17F0">
        <w:trPr>
          <w:trHeight w:val="238"/>
          <w:jc w:val="center"/>
        </w:trPr>
        <w:tc>
          <w:tcPr>
            <w:tcW w:w="2551" w:type="dxa"/>
            <w:shd w:val="clear" w:color="auto" w:fill="auto"/>
          </w:tcPr>
          <w:p w14:paraId="06D3EDC8" w14:textId="77777777" w:rsidR="00C42353" w:rsidRPr="00537AE7" w:rsidRDefault="00C42353" w:rsidP="00102925">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0B55B8FF"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72A6CFF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04856C4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0D97E47F"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1.127.358</w:t>
            </w:r>
          </w:p>
        </w:tc>
        <w:tc>
          <w:tcPr>
            <w:tcW w:w="1418" w:type="dxa"/>
            <w:shd w:val="clear" w:color="auto" w:fill="auto"/>
            <w:vAlign w:val="center"/>
          </w:tcPr>
          <w:p w14:paraId="1725838D" w14:textId="77777777" w:rsidR="00C42353" w:rsidRPr="00E16033" w:rsidRDefault="00C42353" w:rsidP="00E16033">
            <w:pPr>
              <w:spacing w:before="40" w:after="40" w:line="240" w:lineRule="auto"/>
              <w:jc w:val="right"/>
              <w:rPr>
                <w:rFonts w:eastAsia="Times New Roman" w:cs="Arial"/>
                <w:spacing w:val="-2"/>
                <w:sz w:val="14"/>
                <w:szCs w:val="14"/>
                <w:lang w:eastAsia="pt-BR"/>
              </w:rPr>
            </w:pPr>
          </w:p>
        </w:tc>
      </w:tr>
      <w:tr w:rsidR="00C42353" w:rsidRPr="00537AE7" w14:paraId="3A45729A" w14:textId="77777777" w:rsidTr="003C17F0">
        <w:trPr>
          <w:trHeight w:val="238"/>
          <w:jc w:val="center"/>
        </w:trPr>
        <w:tc>
          <w:tcPr>
            <w:tcW w:w="2551" w:type="dxa"/>
            <w:shd w:val="clear" w:color="auto" w:fill="auto"/>
          </w:tcPr>
          <w:p w14:paraId="1A339FC0" w14:textId="77777777" w:rsidR="00C42353" w:rsidRPr="00537AE7" w:rsidRDefault="00C42353" w:rsidP="00E16033">
            <w:pPr>
              <w:spacing w:before="40" w:after="40" w:line="240" w:lineRule="auto"/>
              <w:ind w:left="113"/>
              <w:rPr>
                <w:rFonts w:eastAsia="Times New Roman" w:cs="Arial"/>
                <w:b/>
                <w:bCs/>
                <w:color w:val="000000"/>
                <w:spacing w:val="-2"/>
                <w:sz w:val="14"/>
                <w:szCs w:val="14"/>
                <w:lang w:eastAsia="pt-BR"/>
              </w:rPr>
            </w:pPr>
            <w:r w:rsidRPr="00537AE7">
              <w:rPr>
                <w:rFonts w:eastAsia="Times New Roman" w:cs="Arial"/>
                <w:spacing w:val="-2"/>
                <w:sz w:val="14"/>
                <w:szCs w:val="18"/>
                <w:lang w:eastAsia="pt-BR"/>
              </w:rPr>
              <w:t>Outros passivos circulantes</w:t>
            </w:r>
          </w:p>
        </w:tc>
        <w:tc>
          <w:tcPr>
            <w:tcW w:w="1417" w:type="dxa"/>
            <w:shd w:val="clear" w:color="auto" w:fill="auto"/>
            <w:vAlign w:val="center"/>
          </w:tcPr>
          <w:p w14:paraId="4984410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330.549</w:t>
            </w:r>
          </w:p>
        </w:tc>
        <w:tc>
          <w:tcPr>
            <w:tcW w:w="1418" w:type="dxa"/>
            <w:shd w:val="clear" w:color="auto" w:fill="auto"/>
            <w:vAlign w:val="center"/>
          </w:tcPr>
          <w:p w14:paraId="71BF4676"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88.457</w:t>
            </w:r>
          </w:p>
        </w:tc>
        <w:tc>
          <w:tcPr>
            <w:tcW w:w="1418" w:type="dxa"/>
            <w:shd w:val="clear" w:color="auto" w:fill="auto"/>
            <w:vAlign w:val="center"/>
          </w:tcPr>
          <w:p w14:paraId="51FF216A"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8.788</w:t>
            </w:r>
          </w:p>
        </w:tc>
        <w:tc>
          <w:tcPr>
            <w:tcW w:w="1418" w:type="dxa"/>
            <w:shd w:val="clear" w:color="auto" w:fill="auto"/>
            <w:vAlign w:val="center"/>
          </w:tcPr>
          <w:p w14:paraId="43B1C5C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744.125</w:t>
            </w:r>
          </w:p>
        </w:tc>
        <w:tc>
          <w:tcPr>
            <w:tcW w:w="1418" w:type="dxa"/>
            <w:shd w:val="clear" w:color="auto" w:fill="auto"/>
            <w:vAlign w:val="center"/>
          </w:tcPr>
          <w:p w14:paraId="15FD878A"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3.686</w:t>
            </w:r>
          </w:p>
        </w:tc>
      </w:tr>
      <w:tr w:rsidR="00C42353" w:rsidRPr="00E16033" w14:paraId="4D0C440D" w14:textId="77777777" w:rsidTr="003C17F0">
        <w:trPr>
          <w:trHeight w:val="238"/>
          <w:jc w:val="center"/>
        </w:trPr>
        <w:tc>
          <w:tcPr>
            <w:tcW w:w="2551" w:type="dxa"/>
            <w:shd w:val="clear" w:color="auto" w:fill="auto"/>
          </w:tcPr>
          <w:p w14:paraId="154A6400" w14:textId="77777777" w:rsidR="00C42353" w:rsidRPr="00E16033" w:rsidRDefault="00C42353" w:rsidP="00E16033">
            <w:pPr>
              <w:spacing w:before="40" w:after="40" w:line="240" w:lineRule="auto"/>
              <w:rPr>
                <w:rFonts w:eastAsia="Times New Roman" w:cs="Arial"/>
                <w:b/>
                <w:color w:val="000000"/>
                <w:spacing w:val="-2"/>
                <w:sz w:val="14"/>
                <w:szCs w:val="14"/>
                <w:lang w:eastAsia="pt-BR"/>
              </w:rPr>
            </w:pPr>
            <w:r w:rsidRPr="00E16033">
              <w:rPr>
                <w:rFonts w:eastAsia="Times New Roman" w:cs="Arial"/>
                <w:b/>
                <w:spacing w:val="-2"/>
                <w:sz w:val="14"/>
                <w:szCs w:val="18"/>
                <w:lang w:eastAsia="pt-BR"/>
              </w:rPr>
              <w:t>Passivo não circulante</w:t>
            </w:r>
          </w:p>
        </w:tc>
        <w:tc>
          <w:tcPr>
            <w:tcW w:w="1417" w:type="dxa"/>
            <w:shd w:val="clear" w:color="auto" w:fill="auto"/>
            <w:vAlign w:val="center"/>
          </w:tcPr>
          <w:p w14:paraId="61EB169C"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273.743.021</w:t>
            </w:r>
          </w:p>
        </w:tc>
        <w:tc>
          <w:tcPr>
            <w:tcW w:w="1418" w:type="dxa"/>
            <w:shd w:val="clear" w:color="auto" w:fill="auto"/>
            <w:vAlign w:val="center"/>
          </w:tcPr>
          <w:p w14:paraId="12CF4ADF"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sz w:val="14"/>
                <w:szCs w:val="14"/>
              </w:rPr>
              <w:t>1.019.084</w:t>
            </w:r>
          </w:p>
        </w:tc>
        <w:tc>
          <w:tcPr>
            <w:tcW w:w="1418" w:type="dxa"/>
            <w:shd w:val="clear" w:color="auto" w:fill="auto"/>
            <w:vAlign w:val="center"/>
          </w:tcPr>
          <w:p w14:paraId="35780B94"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3.296</w:t>
            </w:r>
          </w:p>
        </w:tc>
        <w:tc>
          <w:tcPr>
            <w:tcW w:w="1418" w:type="dxa"/>
            <w:shd w:val="clear" w:color="auto" w:fill="auto"/>
            <w:vAlign w:val="center"/>
          </w:tcPr>
          <w:p w14:paraId="5960F9F1"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1.428.010</w:t>
            </w:r>
          </w:p>
        </w:tc>
        <w:tc>
          <w:tcPr>
            <w:tcW w:w="1418" w:type="dxa"/>
            <w:shd w:val="clear" w:color="auto" w:fill="auto"/>
            <w:vAlign w:val="center"/>
          </w:tcPr>
          <w:p w14:paraId="78616FD5"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w:t>
            </w:r>
          </w:p>
        </w:tc>
      </w:tr>
      <w:tr w:rsidR="00C42353" w:rsidRPr="00537AE7" w14:paraId="0585EA39" w14:textId="77777777" w:rsidTr="003C17F0">
        <w:trPr>
          <w:trHeight w:val="238"/>
          <w:jc w:val="center"/>
        </w:trPr>
        <w:tc>
          <w:tcPr>
            <w:tcW w:w="2551" w:type="dxa"/>
            <w:shd w:val="clear" w:color="auto" w:fill="auto"/>
          </w:tcPr>
          <w:p w14:paraId="6A9B825C" w14:textId="77777777" w:rsidR="00C42353" w:rsidRPr="00537AE7" w:rsidRDefault="00C42353" w:rsidP="00102925">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6AE4E2E1"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273.724.242</w:t>
            </w:r>
          </w:p>
        </w:tc>
        <w:tc>
          <w:tcPr>
            <w:tcW w:w="1418" w:type="dxa"/>
            <w:shd w:val="clear" w:color="auto" w:fill="auto"/>
            <w:vAlign w:val="center"/>
          </w:tcPr>
          <w:p w14:paraId="69E0BB4F" w14:textId="77777777" w:rsidR="00C42353" w:rsidRPr="0077528C" w:rsidRDefault="00C42353" w:rsidP="00E16033">
            <w:pPr>
              <w:spacing w:before="40" w:after="40" w:line="240" w:lineRule="auto"/>
              <w:jc w:val="right"/>
              <w:rPr>
                <w:rFonts w:eastAsia="Times New Roman" w:cs="Arial"/>
                <w:bCs/>
                <w:spacing w:val="-2"/>
                <w:sz w:val="14"/>
                <w:szCs w:val="14"/>
                <w:lang w:eastAsia="pt-BR"/>
              </w:rPr>
            </w:pPr>
            <w:r w:rsidRPr="0077528C">
              <w:rPr>
                <w:rFonts w:eastAsia="Times New Roman" w:cs="Arial"/>
                <w:bCs/>
                <w:spacing w:val="-2"/>
                <w:sz w:val="14"/>
                <w:szCs w:val="14"/>
                <w:lang w:eastAsia="pt-BR"/>
              </w:rPr>
              <w:t>--</w:t>
            </w:r>
          </w:p>
        </w:tc>
        <w:tc>
          <w:tcPr>
            <w:tcW w:w="1418" w:type="dxa"/>
            <w:shd w:val="clear" w:color="auto" w:fill="auto"/>
            <w:vAlign w:val="center"/>
          </w:tcPr>
          <w:p w14:paraId="6D7EC35A"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c>
          <w:tcPr>
            <w:tcW w:w="1418" w:type="dxa"/>
            <w:shd w:val="clear" w:color="auto" w:fill="auto"/>
            <w:vAlign w:val="center"/>
          </w:tcPr>
          <w:p w14:paraId="331944FD"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c>
          <w:tcPr>
            <w:tcW w:w="1418" w:type="dxa"/>
            <w:shd w:val="clear" w:color="auto" w:fill="auto"/>
            <w:vAlign w:val="center"/>
          </w:tcPr>
          <w:p w14:paraId="6B7869F6"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r>
      <w:tr w:rsidR="00C42353" w:rsidRPr="00537AE7" w14:paraId="0C40F84B" w14:textId="77777777" w:rsidTr="003C17F0">
        <w:trPr>
          <w:trHeight w:val="238"/>
          <w:jc w:val="center"/>
        </w:trPr>
        <w:tc>
          <w:tcPr>
            <w:tcW w:w="2551" w:type="dxa"/>
            <w:shd w:val="clear" w:color="auto" w:fill="auto"/>
          </w:tcPr>
          <w:p w14:paraId="7D7736E3" w14:textId="77777777" w:rsidR="00C42353" w:rsidRPr="00537AE7" w:rsidRDefault="00C42353" w:rsidP="00102925">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6181ACC8" w14:textId="77777777" w:rsidR="00C42353" w:rsidRPr="0077528C" w:rsidRDefault="00C42353" w:rsidP="00E16033">
            <w:pPr>
              <w:spacing w:before="40" w:after="40" w:line="240" w:lineRule="auto"/>
              <w:jc w:val="right"/>
              <w:rPr>
                <w:rFonts w:eastAsia="Times New Roman" w:cs="Arial"/>
                <w:bCs/>
                <w:spacing w:val="-2"/>
                <w:sz w:val="14"/>
                <w:szCs w:val="14"/>
                <w:lang w:eastAsia="pt-BR"/>
              </w:rPr>
            </w:pPr>
            <w:r w:rsidRPr="0077528C">
              <w:rPr>
                <w:rFonts w:eastAsia="Times New Roman" w:cs="Arial"/>
                <w:bCs/>
                <w:spacing w:val="-2"/>
                <w:sz w:val="14"/>
                <w:szCs w:val="14"/>
                <w:lang w:eastAsia="pt-BR"/>
              </w:rPr>
              <w:t>--</w:t>
            </w:r>
          </w:p>
        </w:tc>
        <w:tc>
          <w:tcPr>
            <w:tcW w:w="1418" w:type="dxa"/>
            <w:shd w:val="clear" w:color="auto" w:fill="auto"/>
            <w:vAlign w:val="center"/>
          </w:tcPr>
          <w:p w14:paraId="46CE5A7C" w14:textId="77777777" w:rsidR="00C42353" w:rsidRPr="0077528C" w:rsidRDefault="00C42353" w:rsidP="00E16033">
            <w:pPr>
              <w:spacing w:before="40" w:after="40" w:line="240" w:lineRule="auto"/>
              <w:jc w:val="right"/>
              <w:rPr>
                <w:rFonts w:eastAsia="Times New Roman" w:cs="Arial"/>
                <w:bCs/>
                <w:spacing w:val="-2"/>
                <w:sz w:val="14"/>
                <w:szCs w:val="14"/>
                <w:lang w:eastAsia="pt-BR"/>
              </w:rPr>
            </w:pPr>
            <w:r w:rsidRPr="0077528C">
              <w:rPr>
                <w:rFonts w:eastAsia="Times New Roman" w:cs="Arial"/>
                <w:bCs/>
                <w:spacing w:val="-2"/>
                <w:sz w:val="14"/>
                <w:szCs w:val="14"/>
                <w:lang w:eastAsia="pt-BR"/>
              </w:rPr>
              <w:t>--</w:t>
            </w:r>
          </w:p>
        </w:tc>
        <w:tc>
          <w:tcPr>
            <w:tcW w:w="1418" w:type="dxa"/>
            <w:shd w:val="clear" w:color="auto" w:fill="auto"/>
            <w:vAlign w:val="center"/>
          </w:tcPr>
          <w:p w14:paraId="75721B1D"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c>
          <w:tcPr>
            <w:tcW w:w="1418" w:type="dxa"/>
            <w:shd w:val="clear" w:color="auto" w:fill="auto"/>
            <w:vAlign w:val="center"/>
          </w:tcPr>
          <w:p w14:paraId="3587201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1.417.250</w:t>
            </w:r>
          </w:p>
        </w:tc>
        <w:tc>
          <w:tcPr>
            <w:tcW w:w="1418" w:type="dxa"/>
            <w:shd w:val="clear" w:color="auto" w:fill="auto"/>
            <w:vAlign w:val="center"/>
          </w:tcPr>
          <w:p w14:paraId="1BE71C9A"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r>
      <w:tr w:rsidR="00C42353" w:rsidRPr="00537AE7" w14:paraId="775D6144" w14:textId="77777777" w:rsidTr="003C17F0">
        <w:trPr>
          <w:trHeight w:val="238"/>
          <w:jc w:val="center"/>
        </w:trPr>
        <w:tc>
          <w:tcPr>
            <w:tcW w:w="2551" w:type="dxa"/>
            <w:shd w:val="clear" w:color="auto" w:fill="auto"/>
          </w:tcPr>
          <w:p w14:paraId="33821F80" w14:textId="77777777" w:rsidR="00C42353" w:rsidRPr="00537AE7" w:rsidRDefault="00C42353" w:rsidP="00E16033">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Outros passivos não circulantes</w:t>
            </w:r>
          </w:p>
        </w:tc>
        <w:tc>
          <w:tcPr>
            <w:tcW w:w="1417" w:type="dxa"/>
            <w:shd w:val="clear" w:color="auto" w:fill="auto"/>
            <w:vAlign w:val="center"/>
          </w:tcPr>
          <w:p w14:paraId="21FF4B91"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18.779</w:t>
            </w:r>
          </w:p>
        </w:tc>
        <w:tc>
          <w:tcPr>
            <w:tcW w:w="1418" w:type="dxa"/>
            <w:shd w:val="clear" w:color="auto" w:fill="auto"/>
            <w:vAlign w:val="center"/>
          </w:tcPr>
          <w:p w14:paraId="5A02B9E3"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1.019.084</w:t>
            </w:r>
          </w:p>
        </w:tc>
        <w:tc>
          <w:tcPr>
            <w:tcW w:w="1418" w:type="dxa"/>
            <w:shd w:val="clear" w:color="auto" w:fill="auto"/>
            <w:vAlign w:val="center"/>
          </w:tcPr>
          <w:p w14:paraId="35A22CDB"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3.296</w:t>
            </w:r>
          </w:p>
        </w:tc>
        <w:tc>
          <w:tcPr>
            <w:tcW w:w="1418" w:type="dxa"/>
            <w:shd w:val="clear" w:color="auto" w:fill="auto"/>
            <w:vAlign w:val="center"/>
          </w:tcPr>
          <w:p w14:paraId="299F9CE9"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10.760</w:t>
            </w:r>
          </w:p>
        </w:tc>
        <w:tc>
          <w:tcPr>
            <w:tcW w:w="1418" w:type="dxa"/>
            <w:shd w:val="clear" w:color="auto" w:fill="auto"/>
            <w:vAlign w:val="center"/>
          </w:tcPr>
          <w:p w14:paraId="6B5357D4"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sz w:val="14"/>
                <w:szCs w:val="14"/>
              </w:rPr>
              <w:t>--</w:t>
            </w:r>
          </w:p>
        </w:tc>
      </w:tr>
      <w:tr w:rsidR="00C42353" w:rsidRPr="00E16033" w14:paraId="67A0D1FB" w14:textId="77777777" w:rsidTr="003C17F0">
        <w:trPr>
          <w:trHeight w:val="238"/>
          <w:jc w:val="center"/>
        </w:trPr>
        <w:tc>
          <w:tcPr>
            <w:tcW w:w="2551" w:type="dxa"/>
            <w:shd w:val="clear" w:color="auto" w:fill="auto"/>
          </w:tcPr>
          <w:p w14:paraId="54695447" w14:textId="77777777" w:rsidR="00C42353" w:rsidRPr="00E16033" w:rsidRDefault="00C42353" w:rsidP="00E16033">
            <w:pPr>
              <w:spacing w:before="40" w:after="40" w:line="240" w:lineRule="auto"/>
              <w:rPr>
                <w:rFonts w:eastAsia="Times New Roman" w:cs="Arial"/>
                <w:b/>
                <w:color w:val="000000"/>
                <w:spacing w:val="-2"/>
                <w:sz w:val="14"/>
                <w:szCs w:val="14"/>
                <w:lang w:eastAsia="pt-BR"/>
              </w:rPr>
            </w:pPr>
            <w:r w:rsidRPr="00E16033">
              <w:rPr>
                <w:rFonts w:eastAsia="Times New Roman" w:cs="Times New Roman"/>
                <w:b/>
                <w:spacing w:val="-2"/>
                <w:sz w:val="14"/>
                <w:szCs w:val="18"/>
                <w:lang w:eastAsia="pt-BR"/>
              </w:rPr>
              <w:t>Patrimônio líquido</w:t>
            </w:r>
          </w:p>
        </w:tc>
        <w:tc>
          <w:tcPr>
            <w:tcW w:w="1417" w:type="dxa"/>
            <w:shd w:val="clear" w:color="auto" w:fill="auto"/>
            <w:vAlign w:val="center"/>
          </w:tcPr>
          <w:p w14:paraId="67D31B41"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4.328.467</w:t>
            </w:r>
          </w:p>
        </w:tc>
        <w:tc>
          <w:tcPr>
            <w:tcW w:w="1418" w:type="dxa"/>
            <w:shd w:val="clear" w:color="auto" w:fill="auto"/>
            <w:vAlign w:val="center"/>
          </w:tcPr>
          <w:p w14:paraId="28C9894C"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sz w:val="14"/>
                <w:szCs w:val="14"/>
              </w:rPr>
              <w:t>539.536</w:t>
            </w:r>
          </w:p>
        </w:tc>
        <w:tc>
          <w:tcPr>
            <w:tcW w:w="1418" w:type="dxa"/>
            <w:shd w:val="clear" w:color="auto" w:fill="auto"/>
            <w:vAlign w:val="center"/>
          </w:tcPr>
          <w:p w14:paraId="56A4E5AD"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20.776</w:t>
            </w:r>
          </w:p>
        </w:tc>
        <w:tc>
          <w:tcPr>
            <w:tcW w:w="1418" w:type="dxa"/>
            <w:shd w:val="clear" w:color="auto" w:fill="auto"/>
            <w:vAlign w:val="center"/>
          </w:tcPr>
          <w:p w14:paraId="0F0BF91D"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46.908</w:t>
            </w:r>
          </w:p>
        </w:tc>
        <w:tc>
          <w:tcPr>
            <w:tcW w:w="1418" w:type="dxa"/>
            <w:shd w:val="clear" w:color="auto" w:fill="auto"/>
            <w:vAlign w:val="center"/>
          </w:tcPr>
          <w:p w14:paraId="59608A27"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cs="Arial"/>
                <w:b/>
                <w:bCs/>
                <w:sz w:val="14"/>
                <w:szCs w:val="14"/>
              </w:rPr>
              <w:t>19.311</w:t>
            </w:r>
          </w:p>
        </w:tc>
      </w:tr>
      <w:tr w:rsidR="00C42353" w:rsidRPr="00537AE7" w14:paraId="63E9D284" w14:textId="77777777" w:rsidTr="003C17F0">
        <w:trPr>
          <w:trHeight w:val="238"/>
          <w:jc w:val="center"/>
        </w:trPr>
        <w:tc>
          <w:tcPr>
            <w:tcW w:w="2551" w:type="dxa"/>
            <w:shd w:val="clear" w:color="auto" w:fill="auto"/>
          </w:tcPr>
          <w:p w14:paraId="1FA485E4" w14:textId="77777777" w:rsidR="00C42353" w:rsidRPr="00537AE7" w:rsidRDefault="00C42353" w:rsidP="00102925">
            <w:pPr>
              <w:spacing w:before="40" w:after="40" w:line="240" w:lineRule="auto"/>
              <w:ind w:left="113"/>
              <w:rPr>
                <w:rFonts w:eastAsia="Times New Roman" w:cs="Arial"/>
                <w:b/>
                <w:color w:val="000000"/>
                <w:spacing w:val="-2"/>
                <w:sz w:val="14"/>
                <w:szCs w:val="14"/>
                <w:lang w:eastAsia="pt-BR"/>
              </w:rPr>
            </w:pPr>
            <w:r w:rsidRPr="00537AE7">
              <w:rPr>
                <w:rFonts w:eastAsia="Times New Roman" w:cs="Times New Roman"/>
                <w:spacing w:val="-2"/>
                <w:sz w:val="14"/>
                <w:szCs w:val="18"/>
                <w:lang w:eastAsia="pt-BR"/>
              </w:rPr>
              <w:t>Atribuível à BB Seguridade</w:t>
            </w:r>
          </w:p>
        </w:tc>
        <w:tc>
          <w:tcPr>
            <w:tcW w:w="1417" w:type="dxa"/>
            <w:shd w:val="clear" w:color="auto" w:fill="auto"/>
            <w:vAlign w:val="center"/>
          </w:tcPr>
          <w:p w14:paraId="05B15166"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3.246.134</w:t>
            </w:r>
          </w:p>
        </w:tc>
        <w:tc>
          <w:tcPr>
            <w:tcW w:w="1418" w:type="dxa"/>
            <w:shd w:val="clear" w:color="auto" w:fill="auto"/>
            <w:vAlign w:val="center"/>
          </w:tcPr>
          <w:p w14:paraId="7E8C7A2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359.653</w:t>
            </w:r>
          </w:p>
        </w:tc>
        <w:tc>
          <w:tcPr>
            <w:tcW w:w="1418" w:type="dxa"/>
            <w:shd w:val="clear" w:color="auto" w:fill="auto"/>
            <w:vAlign w:val="center"/>
          </w:tcPr>
          <w:p w14:paraId="6E377B5E"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cs="Arial"/>
                <w:sz w:val="14"/>
                <w:szCs w:val="14"/>
              </w:rPr>
              <w:t>15.582</w:t>
            </w:r>
          </w:p>
        </w:tc>
        <w:tc>
          <w:tcPr>
            <w:tcW w:w="1418" w:type="dxa"/>
            <w:shd w:val="clear" w:color="auto" w:fill="auto"/>
            <w:vAlign w:val="center"/>
          </w:tcPr>
          <w:p w14:paraId="6184A461"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46.908</w:t>
            </w:r>
          </w:p>
        </w:tc>
        <w:tc>
          <w:tcPr>
            <w:tcW w:w="1418" w:type="dxa"/>
            <w:shd w:val="clear" w:color="auto" w:fill="auto"/>
            <w:vAlign w:val="center"/>
          </w:tcPr>
          <w:p w14:paraId="38A3185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14.483</w:t>
            </w:r>
          </w:p>
        </w:tc>
      </w:tr>
      <w:tr w:rsidR="00C42353" w:rsidRPr="00537AE7" w14:paraId="2013963E" w14:textId="77777777" w:rsidTr="003C17F0">
        <w:trPr>
          <w:trHeight w:val="238"/>
          <w:jc w:val="center"/>
        </w:trPr>
        <w:tc>
          <w:tcPr>
            <w:tcW w:w="2551" w:type="dxa"/>
            <w:shd w:val="clear" w:color="auto" w:fill="auto"/>
          </w:tcPr>
          <w:p w14:paraId="1C3DF709" w14:textId="77777777" w:rsidR="00C42353" w:rsidRPr="00537AE7" w:rsidRDefault="00C42353" w:rsidP="00102925">
            <w:pPr>
              <w:spacing w:before="40" w:after="40" w:line="240" w:lineRule="auto"/>
              <w:ind w:left="113"/>
              <w:rPr>
                <w:rFonts w:eastAsia="Times New Roman" w:cs="Arial"/>
                <w:b/>
                <w:color w:val="000000"/>
                <w:spacing w:val="-2"/>
                <w:sz w:val="14"/>
                <w:szCs w:val="14"/>
                <w:lang w:eastAsia="pt-BR"/>
              </w:rPr>
            </w:pPr>
            <w:r>
              <w:rPr>
                <w:rFonts w:eastAsia="Times New Roman" w:cs="Times New Roman"/>
                <w:spacing w:val="-2"/>
                <w:sz w:val="14"/>
                <w:szCs w:val="18"/>
                <w:lang w:eastAsia="pt-BR"/>
              </w:rPr>
              <w:t xml:space="preserve">Diferença de prática contábil </w:t>
            </w:r>
            <w:r w:rsidRPr="00102925">
              <w:rPr>
                <w:rFonts w:eastAsia="Times New Roman" w:cs="Times New Roman"/>
                <w:spacing w:val="-2"/>
                <w:sz w:val="14"/>
                <w:szCs w:val="18"/>
                <w:vertAlign w:val="superscript"/>
                <w:lang w:eastAsia="pt-BR"/>
              </w:rPr>
              <w:t>(1)</w:t>
            </w:r>
          </w:p>
        </w:tc>
        <w:tc>
          <w:tcPr>
            <w:tcW w:w="1417" w:type="dxa"/>
            <w:shd w:val="clear" w:color="auto" w:fill="auto"/>
            <w:vAlign w:val="center"/>
          </w:tcPr>
          <w:p w14:paraId="103AC906"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2.421</w:t>
            </w:r>
          </w:p>
        </w:tc>
        <w:tc>
          <w:tcPr>
            <w:tcW w:w="1418" w:type="dxa"/>
            <w:shd w:val="clear" w:color="auto" w:fill="auto"/>
            <w:vAlign w:val="center"/>
          </w:tcPr>
          <w:p w14:paraId="3A3E99DC"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(75)</w:t>
            </w:r>
          </w:p>
        </w:tc>
        <w:tc>
          <w:tcPr>
            <w:tcW w:w="1418" w:type="dxa"/>
            <w:shd w:val="clear" w:color="auto" w:fill="auto"/>
            <w:vAlign w:val="center"/>
          </w:tcPr>
          <w:p w14:paraId="0EA16CFC"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61DEADC7"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36BD87E8"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r>
      <w:tr w:rsidR="00C42353" w:rsidRPr="00537AE7" w14:paraId="1E15CF38" w14:textId="77777777" w:rsidTr="003C17F0">
        <w:trPr>
          <w:trHeight w:val="238"/>
          <w:jc w:val="center"/>
        </w:trPr>
        <w:tc>
          <w:tcPr>
            <w:tcW w:w="2551" w:type="dxa"/>
            <w:shd w:val="clear" w:color="auto" w:fill="auto"/>
          </w:tcPr>
          <w:p w14:paraId="2A777C86" w14:textId="77777777" w:rsidR="00C42353" w:rsidRPr="00537AE7" w:rsidRDefault="00C42353" w:rsidP="00102925">
            <w:pPr>
              <w:spacing w:before="40" w:after="40" w:line="240" w:lineRule="auto"/>
              <w:ind w:left="113"/>
              <w:rPr>
                <w:rFonts w:eastAsia="Times New Roman" w:cs="Times New Roman"/>
                <w:spacing w:val="-2"/>
                <w:sz w:val="14"/>
                <w:szCs w:val="18"/>
                <w:lang w:eastAsia="pt-BR"/>
              </w:rPr>
            </w:pPr>
            <w:r>
              <w:rPr>
                <w:rFonts w:eastAsia="Times New Roman" w:cs="Times New Roman"/>
                <w:spacing w:val="-2"/>
                <w:sz w:val="14"/>
                <w:szCs w:val="18"/>
                <w:lang w:eastAsia="pt-BR"/>
              </w:rPr>
              <w:t xml:space="preserve">Ajustes </w:t>
            </w:r>
            <w:r w:rsidRPr="00102925">
              <w:rPr>
                <w:rFonts w:eastAsia="Times New Roman" w:cs="Times New Roman"/>
                <w:spacing w:val="-2"/>
                <w:sz w:val="14"/>
                <w:szCs w:val="18"/>
                <w:vertAlign w:val="superscript"/>
                <w:lang w:eastAsia="pt-BR"/>
              </w:rPr>
              <w:t>(2)</w:t>
            </w:r>
          </w:p>
        </w:tc>
        <w:tc>
          <w:tcPr>
            <w:tcW w:w="1417" w:type="dxa"/>
            <w:shd w:val="clear" w:color="auto" w:fill="auto"/>
            <w:vAlign w:val="center"/>
          </w:tcPr>
          <w:p w14:paraId="44F0FCC4"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89.684</w:t>
            </w:r>
          </w:p>
        </w:tc>
        <w:tc>
          <w:tcPr>
            <w:tcW w:w="1418" w:type="dxa"/>
            <w:shd w:val="clear" w:color="auto" w:fill="auto"/>
            <w:vAlign w:val="center"/>
          </w:tcPr>
          <w:p w14:paraId="6C1DCE1B"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110.749</w:t>
            </w:r>
          </w:p>
        </w:tc>
        <w:tc>
          <w:tcPr>
            <w:tcW w:w="1418" w:type="dxa"/>
            <w:shd w:val="clear" w:color="auto" w:fill="auto"/>
            <w:vAlign w:val="center"/>
          </w:tcPr>
          <w:p w14:paraId="4E78D905"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0D2A6E5C"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c>
          <w:tcPr>
            <w:tcW w:w="1418" w:type="dxa"/>
            <w:shd w:val="clear" w:color="auto" w:fill="auto"/>
            <w:vAlign w:val="center"/>
          </w:tcPr>
          <w:p w14:paraId="2FD87539" w14:textId="77777777" w:rsidR="00C42353" w:rsidRPr="00E16033" w:rsidRDefault="00C42353" w:rsidP="00E16033">
            <w:pPr>
              <w:spacing w:before="40" w:after="40" w:line="240" w:lineRule="auto"/>
              <w:jc w:val="right"/>
              <w:rPr>
                <w:rFonts w:eastAsia="Times New Roman" w:cs="Arial"/>
                <w:spacing w:val="-2"/>
                <w:sz w:val="14"/>
                <w:szCs w:val="14"/>
                <w:lang w:eastAsia="pt-BR"/>
              </w:rPr>
            </w:pPr>
            <w:r w:rsidRPr="00E16033">
              <w:rPr>
                <w:rFonts w:eastAsia="Times New Roman" w:cs="Arial"/>
                <w:spacing w:val="-2"/>
                <w:sz w:val="14"/>
                <w:szCs w:val="14"/>
                <w:lang w:eastAsia="pt-BR"/>
              </w:rPr>
              <w:t>--</w:t>
            </w:r>
          </w:p>
        </w:tc>
      </w:tr>
      <w:tr w:rsidR="00C42353" w:rsidRPr="00E16033" w14:paraId="539954B2" w14:textId="77777777" w:rsidTr="003C17F0">
        <w:trPr>
          <w:trHeight w:val="238"/>
          <w:jc w:val="center"/>
        </w:trPr>
        <w:tc>
          <w:tcPr>
            <w:tcW w:w="2551" w:type="dxa"/>
            <w:tcBorders>
              <w:bottom w:val="single" w:sz="2" w:space="0" w:color="1F4E79" w:themeColor="accent1" w:themeShade="80"/>
            </w:tcBorders>
            <w:shd w:val="clear" w:color="auto" w:fill="auto"/>
          </w:tcPr>
          <w:p w14:paraId="45BB6412" w14:textId="77777777" w:rsidR="00C42353" w:rsidRPr="00E16033" w:rsidRDefault="00C42353" w:rsidP="00102925">
            <w:pPr>
              <w:spacing w:before="40" w:after="40" w:line="240" w:lineRule="auto"/>
              <w:rPr>
                <w:rFonts w:eastAsia="Times New Roman" w:cs="Arial"/>
                <w:b/>
                <w:spacing w:val="-2"/>
                <w:sz w:val="14"/>
                <w:szCs w:val="14"/>
                <w:lang w:eastAsia="pt-BR"/>
              </w:rPr>
            </w:pPr>
            <w:r w:rsidRPr="00E16033">
              <w:rPr>
                <w:rFonts w:eastAsia="Times New Roman" w:cs="Times New Roman"/>
                <w:b/>
                <w:spacing w:val="-2"/>
                <w:sz w:val="14"/>
                <w:szCs w:val="18"/>
                <w:lang w:eastAsia="pt-BR"/>
              </w:rPr>
              <w:t>Saldo do investimento</w:t>
            </w:r>
          </w:p>
        </w:tc>
        <w:tc>
          <w:tcPr>
            <w:tcW w:w="1417" w:type="dxa"/>
            <w:tcBorders>
              <w:bottom w:val="single" w:sz="2" w:space="0" w:color="1F4E79" w:themeColor="accent1" w:themeShade="80"/>
            </w:tcBorders>
            <w:shd w:val="clear" w:color="auto" w:fill="auto"/>
            <w:vAlign w:val="center"/>
          </w:tcPr>
          <w:p w14:paraId="40FAE061"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3.338.239</w:t>
            </w:r>
          </w:p>
        </w:tc>
        <w:tc>
          <w:tcPr>
            <w:tcW w:w="1418" w:type="dxa"/>
            <w:tcBorders>
              <w:bottom w:val="single" w:sz="2" w:space="0" w:color="1F4E79" w:themeColor="accent1" w:themeShade="80"/>
            </w:tcBorders>
            <w:shd w:val="clear" w:color="auto" w:fill="auto"/>
            <w:vAlign w:val="center"/>
          </w:tcPr>
          <w:p w14:paraId="737EBAE8"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470.327</w:t>
            </w:r>
          </w:p>
        </w:tc>
        <w:tc>
          <w:tcPr>
            <w:tcW w:w="1418" w:type="dxa"/>
            <w:tcBorders>
              <w:bottom w:val="single" w:sz="2" w:space="0" w:color="1F4E79" w:themeColor="accent1" w:themeShade="80"/>
            </w:tcBorders>
            <w:shd w:val="clear" w:color="auto" w:fill="auto"/>
            <w:vAlign w:val="center"/>
          </w:tcPr>
          <w:p w14:paraId="5FD55608"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15.582</w:t>
            </w:r>
          </w:p>
        </w:tc>
        <w:tc>
          <w:tcPr>
            <w:tcW w:w="1418" w:type="dxa"/>
            <w:tcBorders>
              <w:bottom w:val="single" w:sz="2" w:space="0" w:color="1F4E79" w:themeColor="accent1" w:themeShade="80"/>
            </w:tcBorders>
            <w:shd w:val="clear" w:color="auto" w:fill="auto"/>
            <w:vAlign w:val="center"/>
          </w:tcPr>
          <w:p w14:paraId="16526593"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46.908</w:t>
            </w:r>
          </w:p>
        </w:tc>
        <w:tc>
          <w:tcPr>
            <w:tcW w:w="1418" w:type="dxa"/>
            <w:tcBorders>
              <w:bottom w:val="single" w:sz="2" w:space="0" w:color="1F4E79" w:themeColor="accent1" w:themeShade="80"/>
            </w:tcBorders>
            <w:shd w:val="clear" w:color="auto" w:fill="auto"/>
            <w:vAlign w:val="center"/>
          </w:tcPr>
          <w:p w14:paraId="720F64C2" w14:textId="77777777" w:rsidR="00C42353" w:rsidRPr="00E16033" w:rsidRDefault="00C42353" w:rsidP="00E16033">
            <w:pPr>
              <w:spacing w:before="40" w:after="40" w:line="240" w:lineRule="auto"/>
              <w:jc w:val="right"/>
              <w:rPr>
                <w:rFonts w:eastAsia="Times New Roman" w:cs="Arial"/>
                <w:b/>
                <w:spacing w:val="-2"/>
                <w:sz w:val="14"/>
                <w:szCs w:val="14"/>
                <w:lang w:eastAsia="pt-BR"/>
              </w:rPr>
            </w:pPr>
            <w:r w:rsidRPr="00E16033">
              <w:rPr>
                <w:rFonts w:eastAsia="Times New Roman" w:cs="Arial"/>
                <w:b/>
                <w:spacing w:val="-2"/>
                <w:sz w:val="14"/>
                <w:szCs w:val="14"/>
                <w:lang w:eastAsia="pt-BR"/>
              </w:rPr>
              <w:t>14.483</w:t>
            </w:r>
          </w:p>
        </w:tc>
      </w:tr>
    </w:tbl>
    <w:p w14:paraId="3C5311FF" w14:textId="77777777" w:rsidR="00C42353" w:rsidRPr="001E57FF" w:rsidRDefault="00C42353" w:rsidP="00C42353">
      <w:pPr>
        <w:pStyle w:val="PargrafodaLista"/>
        <w:numPr>
          <w:ilvl w:val="0"/>
          <w:numId w:val="24"/>
        </w:numPr>
        <w:spacing w:after="0"/>
        <w:jc w:val="both"/>
        <w:rPr>
          <w:rFonts w:ascii="Arial" w:hAnsi="Arial" w:cs="Arial"/>
          <w:sz w:val="14"/>
          <w:szCs w:val="18"/>
        </w:rPr>
      </w:pPr>
      <w:r w:rsidRPr="001E57FF">
        <w:rPr>
          <w:rFonts w:ascii="Arial" w:hAnsi="Arial" w:cs="Arial"/>
          <w:sz w:val="14"/>
          <w:szCs w:val="18"/>
        </w:rPr>
        <w:t>Ajustes para fins de uniformização de prática contábil</w:t>
      </w:r>
      <w:r>
        <w:rPr>
          <w:rFonts w:ascii="Arial" w:hAnsi="Arial" w:cs="Arial"/>
          <w:sz w:val="14"/>
          <w:szCs w:val="18"/>
        </w:rPr>
        <w:t xml:space="preserve"> </w:t>
      </w:r>
      <w:r w:rsidRPr="001E57FF">
        <w:rPr>
          <w:rFonts w:ascii="Arial" w:hAnsi="Arial" w:cs="Arial"/>
          <w:sz w:val="14"/>
          <w:szCs w:val="18"/>
        </w:rPr>
        <w:t>em virtude do CPC 06 (R2)</w:t>
      </w:r>
      <w:r>
        <w:rPr>
          <w:rFonts w:ascii="Arial" w:hAnsi="Arial" w:cs="Arial"/>
          <w:sz w:val="14"/>
          <w:szCs w:val="18"/>
        </w:rPr>
        <w:t xml:space="preserve"> [IFRS 16]</w:t>
      </w:r>
      <w:r w:rsidRPr="001E57FF">
        <w:rPr>
          <w:rFonts w:ascii="Arial" w:hAnsi="Arial" w:cs="Arial"/>
          <w:sz w:val="14"/>
          <w:szCs w:val="18"/>
        </w:rPr>
        <w:t xml:space="preserve"> – Arrendamentos.</w:t>
      </w:r>
    </w:p>
    <w:p w14:paraId="59E63B9A" w14:textId="77777777" w:rsidR="00C42353" w:rsidRPr="00FA7F7F" w:rsidRDefault="00C42353" w:rsidP="00C42353">
      <w:pPr>
        <w:pStyle w:val="PargrafodaLista"/>
        <w:numPr>
          <w:ilvl w:val="0"/>
          <w:numId w:val="24"/>
        </w:numPr>
        <w:spacing w:after="0"/>
        <w:jc w:val="both"/>
        <w:rPr>
          <w:rFonts w:ascii="Arial" w:hAnsi="Arial" w:cs="Arial"/>
          <w:sz w:val="14"/>
          <w:szCs w:val="18"/>
        </w:rPr>
      </w:pPr>
      <w:r w:rsidRPr="00FA7F7F">
        <w:rPr>
          <w:rFonts w:ascii="Arial" w:hAnsi="Arial" w:cs="Arial"/>
          <w:sz w:val="14"/>
          <w:szCs w:val="18"/>
        </w:rPr>
        <w:t>Inclui na Brasilprev o valor de R$ 112.515 mil referente ao reforço de capital para manutenção da suficiência do Patrimônio Líquido Ajustado frente ao capital mínimo requerido (requisito regulatório)</w:t>
      </w:r>
      <w:r>
        <w:rPr>
          <w:rFonts w:ascii="Arial" w:hAnsi="Arial" w:cs="Arial"/>
          <w:sz w:val="14"/>
          <w:szCs w:val="18"/>
        </w:rPr>
        <w:t>. T</w:t>
      </w:r>
      <w:r w:rsidRPr="00FA7F7F">
        <w:rPr>
          <w:rFonts w:ascii="Arial" w:hAnsi="Arial" w:cs="Arial"/>
          <w:sz w:val="14"/>
          <w:szCs w:val="18"/>
        </w:rPr>
        <w:t xml:space="preserve">rata-se de valor proporcional à participação da BB Seguros no capital social integralizado pela Principal Financial Group em janeiro de 2021 e redução de R$ 22.831 mil de resultado não realizado </w:t>
      </w:r>
      <w:r w:rsidRPr="00FA7F7F">
        <w:rPr>
          <w:rFonts w:ascii="Arial" w:eastAsia="Times New Roman" w:hAnsi="Arial" w:cs="Times New Roman"/>
          <w:spacing w:val="-2"/>
          <w:sz w:val="14"/>
          <w:szCs w:val="18"/>
          <w:lang w:eastAsia="pt-BR"/>
        </w:rPr>
        <w:t>da venda da participação acionária da Mapfre Nossa Caixa Vida e Previdência (MNCVP) em julho de 2012</w:t>
      </w:r>
      <w:r w:rsidRPr="00FA7F7F">
        <w:rPr>
          <w:rFonts w:ascii="Arial" w:hAnsi="Arial" w:cs="Arial"/>
          <w:sz w:val="14"/>
          <w:szCs w:val="18"/>
        </w:rPr>
        <w:t>. Na Brasilcap, inclui o ágio na aquisição de participação societária da empresa Sulacap pela BB Seguros, ocorrida em 22/07/2011.</w:t>
      </w:r>
    </w:p>
    <w:p w14:paraId="70896639" w14:textId="77777777" w:rsidR="00C42353" w:rsidRPr="00537AE7" w:rsidRDefault="00C42353" w:rsidP="00537AE7">
      <w:pPr>
        <w:keepNext/>
        <w:keepLines/>
        <w:spacing w:after="0"/>
        <w:jc w:val="right"/>
        <w:rPr>
          <w:rFonts w:cs="Arial"/>
          <w:b/>
          <w:sz w:val="14"/>
          <w:szCs w:val="18"/>
        </w:rPr>
      </w:pPr>
    </w:p>
    <w:bookmarkEnd w:id="70"/>
    <w:bookmarkEnd w:id="71"/>
    <w:p w14:paraId="62238C65" w14:textId="77777777" w:rsidR="00C42353" w:rsidRDefault="00C42353" w:rsidP="00C42353">
      <w:pPr>
        <w:pStyle w:val="01-Textonormal"/>
      </w:pPr>
    </w:p>
    <w:p w14:paraId="09CC358B" w14:textId="02E3B80D" w:rsidR="00C80991" w:rsidRPr="00C80991" w:rsidRDefault="00C80991" w:rsidP="00C80991">
      <w:pPr>
        <w:pStyle w:val="02-TtulodeNota"/>
        <w:rPr>
          <w:color w:val="1F4E79" w:themeColor="accent1" w:themeShade="80"/>
        </w:rPr>
      </w:pPr>
      <w:bookmarkStart w:id="72" w:name="OLE_LINK25"/>
      <w:bookmarkStart w:id="73" w:name="_Toc94861066"/>
      <w:r w:rsidRPr="00C80991">
        <w:rPr>
          <w:color w:val="1F4E79" w:themeColor="accent1" w:themeShade="80"/>
        </w:rPr>
        <w:t>8 – RECEITAS DE COMISSÕES</w:t>
      </w:r>
      <w:bookmarkEnd w:id="73"/>
    </w:p>
    <w:p w14:paraId="7A2EC0E0" w14:textId="77777777" w:rsidR="00C80991" w:rsidRPr="004C777F" w:rsidRDefault="00C80991" w:rsidP="0043555A">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C80991" w:rsidRPr="00A47279" w14:paraId="16D8E6D3" w14:textId="77777777" w:rsidTr="00C80991">
        <w:trPr>
          <w:trHeight w:val="238"/>
          <w:jc w:val="center"/>
        </w:trPr>
        <w:tc>
          <w:tcPr>
            <w:tcW w:w="2467" w:type="dxa"/>
            <w:tcBorders>
              <w:top w:val="single" w:sz="2" w:space="0" w:color="1F4E79" w:themeColor="accent1" w:themeShade="80"/>
              <w:bottom w:val="nil"/>
            </w:tcBorders>
            <w:shd w:val="clear" w:color="auto" w:fill="auto"/>
          </w:tcPr>
          <w:p w14:paraId="6EAA5818" w14:textId="77777777" w:rsidR="00C80991" w:rsidRPr="00890AEB" w:rsidRDefault="00C80991" w:rsidP="001623E3">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18028157" w14:textId="77777777" w:rsidR="00C80991" w:rsidRPr="00890AEB" w:rsidRDefault="00C80991" w:rsidP="001623E3">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33289A62" w14:textId="77777777" w:rsidR="00C80991" w:rsidRPr="00890AEB" w:rsidRDefault="00C80991" w:rsidP="001623E3">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37B768C9" w14:textId="77777777" w:rsidR="00C80991" w:rsidRPr="00A47279" w:rsidRDefault="00C80991" w:rsidP="001623E3">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123BAFEE" w14:textId="77777777" w:rsidR="00C80991" w:rsidRPr="00A47279" w:rsidRDefault="00C80991" w:rsidP="001623E3">
            <w:pPr>
              <w:keepNext/>
              <w:keepLines/>
              <w:spacing w:before="40" w:after="40"/>
              <w:jc w:val="center"/>
              <w:rPr>
                <w:rFonts w:cs="Arial"/>
                <w:b/>
                <w:spacing w:val="-2"/>
                <w:sz w:val="14"/>
                <w:szCs w:val="14"/>
              </w:rPr>
            </w:pPr>
            <w:r w:rsidRPr="00A47279">
              <w:rPr>
                <w:rFonts w:cs="Arial"/>
                <w:b/>
                <w:spacing w:val="-2"/>
                <w:sz w:val="14"/>
                <w:szCs w:val="14"/>
              </w:rPr>
              <w:t>Consolidado</w:t>
            </w:r>
          </w:p>
        </w:tc>
      </w:tr>
      <w:tr w:rsidR="00C80991" w:rsidRPr="00A47279" w14:paraId="52379CA7" w14:textId="77777777" w:rsidTr="00C80991">
        <w:trPr>
          <w:trHeight w:val="238"/>
          <w:jc w:val="center"/>
        </w:trPr>
        <w:tc>
          <w:tcPr>
            <w:tcW w:w="3050" w:type="dxa"/>
            <w:gridSpan w:val="2"/>
            <w:tcBorders>
              <w:top w:val="nil"/>
              <w:bottom w:val="single" w:sz="2" w:space="0" w:color="1F4E79" w:themeColor="accent1" w:themeShade="80"/>
            </w:tcBorders>
            <w:shd w:val="clear" w:color="auto" w:fill="auto"/>
          </w:tcPr>
          <w:p w14:paraId="1A1BEA52" w14:textId="77777777" w:rsidR="00C80991" w:rsidRPr="00A47279" w:rsidRDefault="00C80991" w:rsidP="001623E3">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3BF91213" w14:textId="77777777" w:rsidR="00C80991" w:rsidRPr="00890AEB" w:rsidRDefault="00C80991" w:rsidP="001623E3">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5D3724EA" w14:textId="77777777" w:rsidR="00C80991" w:rsidRPr="00890AEB" w:rsidRDefault="00C80991" w:rsidP="001623E3">
            <w:pPr>
              <w:keepNext/>
              <w:keepLines/>
              <w:spacing w:before="40" w:after="40"/>
              <w:jc w:val="right"/>
              <w:rPr>
                <w:rFonts w:cs="Arial"/>
                <w:b/>
                <w:spacing w:val="-2"/>
                <w:sz w:val="14"/>
                <w:szCs w:val="14"/>
              </w:rPr>
            </w:pPr>
          </w:p>
        </w:tc>
        <w:tc>
          <w:tcPr>
            <w:tcW w:w="1400" w:type="dxa"/>
            <w:tcBorders>
              <w:top w:val="nil"/>
              <w:bottom w:val="single" w:sz="2" w:space="0" w:color="1F4E79" w:themeColor="accent1" w:themeShade="80"/>
            </w:tcBorders>
            <w:shd w:val="clear" w:color="auto" w:fill="auto"/>
            <w:vAlign w:val="center"/>
          </w:tcPr>
          <w:p w14:paraId="278FFFD3" w14:textId="77777777" w:rsidR="00C80991" w:rsidRPr="00890AEB" w:rsidRDefault="00C80991" w:rsidP="001623E3">
            <w:pPr>
              <w:keepNext/>
              <w:keepLines/>
              <w:spacing w:before="40" w:after="40"/>
              <w:jc w:val="right"/>
              <w:rPr>
                <w:rFonts w:cs="Arial"/>
                <w:b/>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5A55FAD2" w14:textId="77777777" w:rsidR="00C80991" w:rsidRPr="00A47279" w:rsidRDefault="00C80991" w:rsidP="001623E3">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2F843AD5" w14:textId="77777777" w:rsidR="00C80991" w:rsidRPr="00A47279" w:rsidRDefault="00C80991" w:rsidP="008E70E2">
            <w:pPr>
              <w:keepNext/>
              <w:keepLines/>
              <w:spacing w:before="40" w:after="40"/>
              <w:jc w:val="right"/>
              <w:rPr>
                <w:rFonts w:cs="Arial"/>
                <w:b/>
                <w:spacing w:val="-2"/>
                <w:sz w:val="14"/>
                <w:szCs w:val="18"/>
              </w:rPr>
            </w:pPr>
            <w:r>
              <w:rPr>
                <w:rFonts w:cs="Arial"/>
                <w:b/>
                <w:spacing w:val="-2"/>
                <w:sz w:val="14"/>
                <w:szCs w:val="18"/>
              </w:rPr>
              <w:t>Exercício 2021</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7ED1D079" w14:textId="77777777" w:rsidR="00C80991" w:rsidRPr="00A47279" w:rsidRDefault="00C80991" w:rsidP="00435E4B">
            <w:pPr>
              <w:keepNext/>
              <w:keepLines/>
              <w:spacing w:before="40" w:after="40"/>
              <w:jc w:val="right"/>
              <w:rPr>
                <w:rFonts w:cs="Arial"/>
                <w:b/>
                <w:spacing w:val="-2"/>
                <w:sz w:val="14"/>
                <w:szCs w:val="18"/>
              </w:rPr>
            </w:pPr>
            <w:r>
              <w:rPr>
                <w:rFonts w:cs="Arial"/>
                <w:b/>
                <w:spacing w:val="-2"/>
                <w:sz w:val="14"/>
                <w:szCs w:val="18"/>
              </w:rPr>
              <w:t>Exercício 2020</w:t>
            </w:r>
          </w:p>
        </w:tc>
      </w:tr>
      <w:tr w:rsidR="00C80991" w:rsidRPr="00A47279" w14:paraId="26C63220" w14:textId="77777777" w:rsidTr="00C80991">
        <w:trPr>
          <w:trHeight w:val="238"/>
          <w:jc w:val="center"/>
        </w:trPr>
        <w:tc>
          <w:tcPr>
            <w:tcW w:w="3050" w:type="dxa"/>
            <w:gridSpan w:val="2"/>
            <w:tcBorders>
              <w:top w:val="single" w:sz="2" w:space="0" w:color="1F4E79" w:themeColor="accent1" w:themeShade="80"/>
              <w:bottom w:val="nil"/>
            </w:tcBorders>
            <w:shd w:val="clear" w:color="auto" w:fill="auto"/>
            <w:vAlign w:val="center"/>
          </w:tcPr>
          <w:p w14:paraId="3A81A5AF" w14:textId="77777777" w:rsidR="00C80991" w:rsidRPr="00496EA7" w:rsidRDefault="00C80991" w:rsidP="00496EA7">
            <w:pPr>
              <w:pStyle w:val="08-Tabelageral"/>
              <w:jc w:val="left"/>
              <w:rPr>
                <w:rFonts w:cs="Arial"/>
                <w:b/>
                <w:szCs w:val="14"/>
                <w:vertAlign w:val="superscript"/>
              </w:rPr>
            </w:pPr>
            <w:r w:rsidRPr="00496EA7">
              <w:rPr>
                <w:b/>
              </w:rPr>
              <w:t>Receitas de comissões bruta</w:t>
            </w:r>
          </w:p>
        </w:tc>
        <w:tc>
          <w:tcPr>
            <w:tcW w:w="595" w:type="dxa"/>
            <w:tcBorders>
              <w:top w:val="single" w:sz="2" w:space="0" w:color="1F4E79" w:themeColor="accent1" w:themeShade="80"/>
              <w:bottom w:val="nil"/>
            </w:tcBorders>
            <w:shd w:val="clear" w:color="auto" w:fill="auto"/>
          </w:tcPr>
          <w:p w14:paraId="1ABDFD73" w14:textId="77777777" w:rsidR="00C80991" w:rsidRPr="00890AEB" w:rsidRDefault="00C80991" w:rsidP="00496EA7">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05B0D436" w14:textId="77777777" w:rsidR="00C80991" w:rsidRPr="00496EA7" w:rsidRDefault="00C80991" w:rsidP="00496EA7">
            <w:pPr>
              <w:pStyle w:val="08-Tabelageral"/>
              <w:rPr>
                <w:rFonts w:cs="Arial"/>
              </w:rPr>
            </w:pPr>
          </w:p>
        </w:tc>
        <w:tc>
          <w:tcPr>
            <w:tcW w:w="1400" w:type="dxa"/>
            <w:tcBorders>
              <w:top w:val="single" w:sz="2" w:space="0" w:color="1F4E79" w:themeColor="accent1" w:themeShade="80"/>
              <w:bottom w:val="nil"/>
            </w:tcBorders>
            <w:shd w:val="clear" w:color="auto" w:fill="auto"/>
            <w:vAlign w:val="center"/>
          </w:tcPr>
          <w:p w14:paraId="6BC9CE44" w14:textId="77777777" w:rsidR="00C80991" w:rsidRPr="00496EA7" w:rsidRDefault="00C80991" w:rsidP="00496EA7">
            <w:pPr>
              <w:pStyle w:val="08-Tabelageral"/>
              <w:rPr>
                <w:rFonts w:cs="Arial"/>
              </w:rPr>
            </w:pPr>
          </w:p>
        </w:tc>
        <w:tc>
          <w:tcPr>
            <w:tcW w:w="282" w:type="dxa"/>
            <w:gridSpan w:val="2"/>
            <w:tcBorders>
              <w:top w:val="single" w:sz="2" w:space="0" w:color="1F4E79" w:themeColor="accent1" w:themeShade="80"/>
              <w:bottom w:val="nil"/>
            </w:tcBorders>
            <w:shd w:val="clear" w:color="auto" w:fill="auto"/>
            <w:vAlign w:val="center"/>
          </w:tcPr>
          <w:p w14:paraId="37FAFED0" w14:textId="77777777" w:rsidR="00C80991" w:rsidRPr="00496EA7" w:rsidRDefault="00C80991" w:rsidP="00496EA7">
            <w:pPr>
              <w:pStyle w:val="08-Tabelageral"/>
              <w:rPr>
                <w:rFonts w:cs="Arial"/>
              </w:rPr>
            </w:pPr>
          </w:p>
        </w:tc>
        <w:tc>
          <w:tcPr>
            <w:tcW w:w="1404" w:type="dxa"/>
            <w:tcBorders>
              <w:top w:val="single" w:sz="2" w:space="0" w:color="1F4E79" w:themeColor="accent1" w:themeShade="80"/>
              <w:bottom w:val="nil"/>
            </w:tcBorders>
            <w:shd w:val="clear" w:color="auto" w:fill="auto"/>
          </w:tcPr>
          <w:p w14:paraId="330E51FF" w14:textId="77777777" w:rsidR="00C80991" w:rsidRPr="002857F3" w:rsidRDefault="00C80991" w:rsidP="00496EA7">
            <w:pPr>
              <w:pStyle w:val="08-Tabelageral"/>
              <w:rPr>
                <w:rFonts w:cs="Arial"/>
                <w:b/>
                <w:bCs/>
              </w:rPr>
            </w:pPr>
            <w:r w:rsidRPr="002857F3">
              <w:rPr>
                <w:rFonts w:cs="Arial"/>
                <w:b/>
                <w:bCs/>
              </w:rPr>
              <w:t>3.953.457</w:t>
            </w:r>
          </w:p>
        </w:tc>
        <w:tc>
          <w:tcPr>
            <w:tcW w:w="1511" w:type="dxa"/>
            <w:tcBorders>
              <w:top w:val="single" w:sz="2" w:space="0" w:color="1F4E79" w:themeColor="accent1" w:themeShade="80"/>
              <w:bottom w:val="nil"/>
            </w:tcBorders>
            <w:shd w:val="clear" w:color="auto" w:fill="auto"/>
          </w:tcPr>
          <w:p w14:paraId="476C74B6" w14:textId="77777777" w:rsidR="00C80991" w:rsidRPr="00496EA7" w:rsidRDefault="00C80991" w:rsidP="00F00EEA">
            <w:pPr>
              <w:pStyle w:val="08-Tabelageral"/>
              <w:rPr>
                <w:rFonts w:cs="Arial"/>
              </w:rPr>
            </w:pPr>
            <w:r>
              <w:rPr>
                <w:rFonts w:cs="Arial"/>
                <w:b/>
              </w:rPr>
              <w:t>3.676.972</w:t>
            </w:r>
          </w:p>
        </w:tc>
      </w:tr>
      <w:tr w:rsidR="00C80991" w:rsidRPr="00A47279" w14:paraId="422DE5D3" w14:textId="77777777" w:rsidTr="00C80991">
        <w:trPr>
          <w:trHeight w:val="238"/>
          <w:jc w:val="center"/>
        </w:trPr>
        <w:tc>
          <w:tcPr>
            <w:tcW w:w="3050" w:type="dxa"/>
            <w:gridSpan w:val="2"/>
            <w:tcBorders>
              <w:top w:val="nil"/>
              <w:bottom w:val="nil"/>
            </w:tcBorders>
            <w:shd w:val="clear" w:color="auto" w:fill="auto"/>
            <w:vAlign w:val="center"/>
          </w:tcPr>
          <w:p w14:paraId="1C7DBE75" w14:textId="77777777" w:rsidR="00C80991" w:rsidRPr="00A47279" w:rsidRDefault="00C80991" w:rsidP="00496EA7">
            <w:pPr>
              <w:pStyle w:val="08-Tabelageral"/>
              <w:ind w:left="113"/>
              <w:jc w:val="left"/>
              <w:rPr>
                <w:rFonts w:cs="Arial"/>
                <w:szCs w:val="14"/>
              </w:rPr>
            </w:pPr>
            <w:r w:rsidRPr="00BC5A4F">
              <w:t>BB Mapfre</w:t>
            </w:r>
          </w:p>
        </w:tc>
        <w:tc>
          <w:tcPr>
            <w:tcW w:w="595" w:type="dxa"/>
            <w:tcBorders>
              <w:top w:val="nil"/>
            </w:tcBorders>
            <w:shd w:val="clear" w:color="auto" w:fill="auto"/>
          </w:tcPr>
          <w:p w14:paraId="1F005743"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6B206720"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552122E5"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73449729"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2967F648" w14:textId="77777777" w:rsidR="00C80991" w:rsidRPr="00496EA7" w:rsidRDefault="00C80991" w:rsidP="00496EA7">
            <w:pPr>
              <w:pStyle w:val="08-Tabelageral"/>
              <w:rPr>
                <w:rFonts w:cs="Arial"/>
              </w:rPr>
            </w:pPr>
            <w:r>
              <w:rPr>
                <w:rFonts w:cs="Arial"/>
              </w:rPr>
              <w:t>2.909.260</w:t>
            </w:r>
          </w:p>
        </w:tc>
        <w:tc>
          <w:tcPr>
            <w:tcW w:w="1511" w:type="dxa"/>
            <w:tcBorders>
              <w:top w:val="nil"/>
              <w:bottom w:val="nil"/>
            </w:tcBorders>
            <w:shd w:val="clear" w:color="auto" w:fill="auto"/>
          </w:tcPr>
          <w:p w14:paraId="146001B3" w14:textId="77777777" w:rsidR="00C80991" w:rsidRPr="00496EA7" w:rsidRDefault="00C80991" w:rsidP="00496EA7">
            <w:pPr>
              <w:pStyle w:val="08-Tabelageral"/>
              <w:rPr>
                <w:rFonts w:cs="Arial"/>
              </w:rPr>
            </w:pPr>
            <w:r>
              <w:rPr>
                <w:rFonts w:cs="Arial"/>
              </w:rPr>
              <w:t>2.659.958</w:t>
            </w:r>
          </w:p>
        </w:tc>
      </w:tr>
      <w:tr w:rsidR="00C80991" w:rsidRPr="00A47279" w14:paraId="7592E46E" w14:textId="77777777" w:rsidTr="00C80991">
        <w:trPr>
          <w:trHeight w:val="238"/>
          <w:jc w:val="center"/>
        </w:trPr>
        <w:tc>
          <w:tcPr>
            <w:tcW w:w="3050" w:type="dxa"/>
            <w:gridSpan w:val="2"/>
            <w:tcBorders>
              <w:top w:val="nil"/>
              <w:bottom w:val="nil"/>
            </w:tcBorders>
            <w:shd w:val="clear" w:color="auto" w:fill="auto"/>
            <w:vAlign w:val="center"/>
          </w:tcPr>
          <w:p w14:paraId="75D6B986" w14:textId="77777777" w:rsidR="00C80991" w:rsidRPr="00A47279" w:rsidRDefault="00C80991" w:rsidP="00496EA7">
            <w:pPr>
              <w:pStyle w:val="08-Tabelageral"/>
              <w:ind w:left="113"/>
              <w:jc w:val="left"/>
              <w:rPr>
                <w:rFonts w:cs="Arial"/>
                <w:szCs w:val="14"/>
              </w:rPr>
            </w:pPr>
            <w:r w:rsidRPr="00BC5A4F">
              <w:t>Brasilprev</w:t>
            </w:r>
          </w:p>
        </w:tc>
        <w:tc>
          <w:tcPr>
            <w:tcW w:w="595" w:type="dxa"/>
            <w:tcBorders>
              <w:top w:val="nil"/>
            </w:tcBorders>
            <w:shd w:val="clear" w:color="auto" w:fill="auto"/>
          </w:tcPr>
          <w:p w14:paraId="49983CC5"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70602B67"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346E0674"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7BFA69AD"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50B5145F" w14:textId="77777777" w:rsidR="00C80991" w:rsidRPr="00496EA7" w:rsidRDefault="00C80991" w:rsidP="00496EA7">
            <w:pPr>
              <w:pStyle w:val="08-Tabelageral"/>
              <w:rPr>
                <w:rFonts w:cs="Arial"/>
              </w:rPr>
            </w:pPr>
            <w:r>
              <w:rPr>
                <w:rFonts w:cs="Arial"/>
              </w:rPr>
              <w:t>558.296</w:t>
            </w:r>
          </w:p>
        </w:tc>
        <w:tc>
          <w:tcPr>
            <w:tcW w:w="1511" w:type="dxa"/>
            <w:tcBorders>
              <w:top w:val="nil"/>
              <w:bottom w:val="nil"/>
            </w:tcBorders>
            <w:shd w:val="clear" w:color="auto" w:fill="auto"/>
          </w:tcPr>
          <w:p w14:paraId="4DDB6A89" w14:textId="77777777" w:rsidR="00C80991" w:rsidRPr="00496EA7" w:rsidRDefault="00C80991" w:rsidP="00496EA7">
            <w:pPr>
              <w:pStyle w:val="08-Tabelageral"/>
              <w:rPr>
                <w:rFonts w:cs="Arial"/>
              </w:rPr>
            </w:pPr>
            <w:r>
              <w:rPr>
                <w:rFonts w:cs="Arial"/>
              </w:rPr>
              <w:t>489.694</w:t>
            </w:r>
          </w:p>
        </w:tc>
      </w:tr>
      <w:tr w:rsidR="00C80991" w:rsidRPr="00A47279" w14:paraId="5F1279AA" w14:textId="77777777" w:rsidTr="00C80991">
        <w:trPr>
          <w:trHeight w:val="238"/>
          <w:jc w:val="center"/>
        </w:trPr>
        <w:tc>
          <w:tcPr>
            <w:tcW w:w="3050" w:type="dxa"/>
            <w:gridSpan w:val="2"/>
            <w:tcBorders>
              <w:top w:val="nil"/>
              <w:bottom w:val="nil"/>
            </w:tcBorders>
            <w:shd w:val="clear" w:color="auto" w:fill="auto"/>
            <w:vAlign w:val="center"/>
          </w:tcPr>
          <w:p w14:paraId="1F5247EC" w14:textId="77777777" w:rsidR="00C80991" w:rsidRPr="00A47279" w:rsidRDefault="00C80991" w:rsidP="00496EA7">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329DFB3B"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tcPr>
          <w:p w14:paraId="71BBDFBF" w14:textId="77777777" w:rsidR="00C80991" w:rsidRPr="00496EA7" w:rsidRDefault="00C80991" w:rsidP="00496EA7">
            <w:pPr>
              <w:pStyle w:val="08-Tabelageral"/>
              <w:rPr>
                <w:rFonts w:cs="Arial"/>
              </w:rPr>
            </w:pPr>
          </w:p>
        </w:tc>
        <w:tc>
          <w:tcPr>
            <w:tcW w:w="1400" w:type="dxa"/>
            <w:tcBorders>
              <w:top w:val="nil"/>
              <w:bottom w:val="nil"/>
            </w:tcBorders>
            <w:shd w:val="clear" w:color="auto" w:fill="auto"/>
          </w:tcPr>
          <w:p w14:paraId="4F839002"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05386CAE"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60ADFB6B" w14:textId="77777777" w:rsidR="00C80991" w:rsidRPr="00496EA7" w:rsidRDefault="00C80991" w:rsidP="00496EA7">
            <w:pPr>
              <w:pStyle w:val="08-Tabelageral"/>
              <w:rPr>
                <w:rFonts w:cs="Arial"/>
              </w:rPr>
            </w:pPr>
            <w:r>
              <w:rPr>
                <w:rFonts w:cs="Arial"/>
              </w:rPr>
              <w:t>340.749</w:t>
            </w:r>
          </w:p>
        </w:tc>
        <w:tc>
          <w:tcPr>
            <w:tcW w:w="1511" w:type="dxa"/>
            <w:tcBorders>
              <w:top w:val="nil"/>
              <w:bottom w:val="nil"/>
            </w:tcBorders>
            <w:shd w:val="clear" w:color="auto" w:fill="auto"/>
          </w:tcPr>
          <w:p w14:paraId="0D931828" w14:textId="77777777" w:rsidR="00C80991" w:rsidRPr="00496EA7" w:rsidRDefault="00C80991" w:rsidP="00496EA7">
            <w:pPr>
              <w:pStyle w:val="08-Tabelageral"/>
              <w:rPr>
                <w:rFonts w:cs="Arial"/>
              </w:rPr>
            </w:pPr>
            <w:r>
              <w:rPr>
                <w:rFonts w:cs="Arial"/>
              </w:rPr>
              <w:t>374.304</w:t>
            </w:r>
          </w:p>
        </w:tc>
      </w:tr>
      <w:tr w:rsidR="00C80991" w:rsidRPr="00A47279" w14:paraId="4053F794" w14:textId="77777777" w:rsidTr="00C80991">
        <w:trPr>
          <w:trHeight w:val="238"/>
          <w:jc w:val="center"/>
        </w:trPr>
        <w:tc>
          <w:tcPr>
            <w:tcW w:w="3050" w:type="dxa"/>
            <w:gridSpan w:val="2"/>
            <w:tcBorders>
              <w:top w:val="nil"/>
              <w:bottom w:val="nil"/>
            </w:tcBorders>
            <w:shd w:val="clear" w:color="auto" w:fill="auto"/>
            <w:vAlign w:val="center"/>
          </w:tcPr>
          <w:p w14:paraId="62D2655E" w14:textId="77777777" w:rsidR="00C80991" w:rsidRPr="00A47279" w:rsidRDefault="00C80991" w:rsidP="00496EA7">
            <w:pPr>
              <w:pStyle w:val="08-Tabelageral"/>
              <w:ind w:left="113"/>
              <w:jc w:val="left"/>
              <w:rPr>
                <w:rFonts w:cs="Arial"/>
                <w:szCs w:val="14"/>
              </w:rPr>
            </w:pPr>
            <w:r w:rsidRPr="00BC5A4F">
              <w:t>Mapfre</w:t>
            </w:r>
            <w:r>
              <w:t xml:space="preserve"> Seguros Gerais </w:t>
            </w:r>
            <w:r w:rsidRPr="00BC5A4F">
              <w:rPr>
                <w:vertAlign w:val="superscript"/>
              </w:rPr>
              <w:t>(1)</w:t>
            </w:r>
          </w:p>
        </w:tc>
        <w:tc>
          <w:tcPr>
            <w:tcW w:w="595" w:type="dxa"/>
            <w:tcBorders>
              <w:top w:val="nil"/>
            </w:tcBorders>
            <w:shd w:val="clear" w:color="auto" w:fill="auto"/>
          </w:tcPr>
          <w:p w14:paraId="3C87B598"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3D4E5805"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01937C74"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121A304E"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11BBE2BA" w14:textId="77777777" w:rsidR="00C80991" w:rsidRPr="00496EA7" w:rsidRDefault="00C80991" w:rsidP="00496EA7">
            <w:pPr>
              <w:pStyle w:val="08-Tabelageral"/>
              <w:rPr>
                <w:rFonts w:cs="Arial"/>
              </w:rPr>
            </w:pPr>
            <w:r>
              <w:rPr>
                <w:rFonts w:cs="Arial"/>
              </w:rPr>
              <w:t>136.430</w:t>
            </w:r>
          </w:p>
        </w:tc>
        <w:tc>
          <w:tcPr>
            <w:tcW w:w="1511" w:type="dxa"/>
            <w:tcBorders>
              <w:top w:val="nil"/>
              <w:bottom w:val="nil"/>
            </w:tcBorders>
            <w:shd w:val="clear" w:color="auto" w:fill="auto"/>
          </w:tcPr>
          <w:p w14:paraId="6FF5B5FF" w14:textId="77777777" w:rsidR="00C80991" w:rsidRPr="00496EA7" w:rsidRDefault="00C80991" w:rsidP="00496EA7">
            <w:pPr>
              <w:pStyle w:val="08-Tabelageral"/>
              <w:rPr>
                <w:rFonts w:cs="Arial"/>
              </w:rPr>
            </w:pPr>
            <w:r>
              <w:rPr>
                <w:rFonts w:cs="Arial"/>
              </w:rPr>
              <w:t>144.349</w:t>
            </w:r>
          </w:p>
        </w:tc>
      </w:tr>
      <w:tr w:rsidR="00C80991" w:rsidRPr="00A47279" w14:paraId="08E5E462" w14:textId="77777777" w:rsidTr="00C80991">
        <w:trPr>
          <w:trHeight w:val="238"/>
          <w:jc w:val="center"/>
        </w:trPr>
        <w:tc>
          <w:tcPr>
            <w:tcW w:w="3050" w:type="dxa"/>
            <w:gridSpan w:val="2"/>
            <w:tcBorders>
              <w:top w:val="nil"/>
              <w:bottom w:val="nil"/>
            </w:tcBorders>
            <w:shd w:val="clear" w:color="auto" w:fill="auto"/>
            <w:vAlign w:val="center"/>
          </w:tcPr>
          <w:p w14:paraId="704DB544" w14:textId="77777777" w:rsidR="00C80991" w:rsidRPr="00A47279" w:rsidRDefault="00C80991" w:rsidP="00496EA7">
            <w:pPr>
              <w:pStyle w:val="08-Tabelageral"/>
              <w:ind w:left="113"/>
              <w:jc w:val="left"/>
              <w:rPr>
                <w:rFonts w:cs="Arial"/>
                <w:szCs w:val="14"/>
              </w:rPr>
            </w:pPr>
            <w:r w:rsidRPr="00BC5A4F">
              <w:t>Outras empresas</w:t>
            </w:r>
          </w:p>
        </w:tc>
        <w:tc>
          <w:tcPr>
            <w:tcW w:w="595" w:type="dxa"/>
            <w:tcBorders>
              <w:top w:val="nil"/>
            </w:tcBorders>
            <w:shd w:val="clear" w:color="auto" w:fill="auto"/>
          </w:tcPr>
          <w:p w14:paraId="702FDCFF"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773E2708"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266C5C9D"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2629AC82"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27CBB6EB" w14:textId="77777777" w:rsidR="00C80991" w:rsidRPr="00496EA7" w:rsidRDefault="00C80991" w:rsidP="00496EA7">
            <w:pPr>
              <w:pStyle w:val="08-Tabelageral"/>
              <w:rPr>
                <w:rFonts w:cs="Arial"/>
              </w:rPr>
            </w:pPr>
            <w:r>
              <w:rPr>
                <w:rFonts w:cs="Arial"/>
              </w:rPr>
              <w:t>8.722</w:t>
            </w:r>
          </w:p>
        </w:tc>
        <w:tc>
          <w:tcPr>
            <w:tcW w:w="1511" w:type="dxa"/>
            <w:tcBorders>
              <w:top w:val="nil"/>
              <w:bottom w:val="nil"/>
            </w:tcBorders>
            <w:shd w:val="clear" w:color="auto" w:fill="auto"/>
          </w:tcPr>
          <w:p w14:paraId="4D3517FB" w14:textId="77777777" w:rsidR="00C80991" w:rsidRPr="00496EA7" w:rsidRDefault="00C80991" w:rsidP="00496EA7">
            <w:pPr>
              <w:pStyle w:val="08-Tabelageral"/>
              <w:rPr>
                <w:rFonts w:cs="Arial"/>
              </w:rPr>
            </w:pPr>
            <w:r>
              <w:rPr>
                <w:rFonts w:cs="Arial"/>
              </w:rPr>
              <w:t>8.667</w:t>
            </w:r>
          </w:p>
        </w:tc>
      </w:tr>
      <w:tr w:rsidR="00C80991" w:rsidRPr="00A47279" w14:paraId="0F935C8F" w14:textId="77777777" w:rsidTr="00C80991">
        <w:trPr>
          <w:trHeight w:val="238"/>
          <w:jc w:val="center"/>
        </w:trPr>
        <w:tc>
          <w:tcPr>
            <w:tcW w:w="3050" w:type="dxa"/>
            <w:gridSpan w:val="2"/>
            <w:tcBorders>
              <w:top w:val="nil"/>
              <w:bottom w:val="nil"/>
            </w:tcBorders>
            <w:shd w:val="clear" w:color="auto" w:fill="auto"/>
            <w:vAlign w:val="center"/>
          </w:tcPr>
          <w:p w14:paraId="7677422A" w14:textId="77777777" w:rsidR="00C80991" w:rsidRPr="00496EA7" w:rsidRDefault="00C80991" w:rsidP="00496EA7">
            <w:pPr>
              <w:pStyle w:val="08-Tabelageral"/>
              <w:jc w:val="left"/>
              <w:rPr>
                <w:rFonts w:cs="Arial"/>
                <w:b/>
                <w:szCs w:val="14"/>
              </w:rPr>
            </w:pPr>
            <w:r w:rsidRPr="00496EA7">
              <w:rPr>
                <w:b/>
              </w:rPr>
              <w:t>Deduções das Receitas de comissões</w:t>
            </w:r>
          </w:p>
        </w:tc>
        <w:tc>
          <w:tcPr>
            <w:tcW w:w="595" w:type="dxa"/>
            <w:tcBorders>
              <w:top w:val="nil"/>
            </w:tcBorders>
            <w:shd w:val="clear" w:color="auto" w:fill="auto"/>
          </w:tcPr>
          <w:p w14:paraId="583238CC"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19B9C78C"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07290CBF"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4CDAA86B"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7B7BF113" w14:textId="77777777" w:rsidR="00C80991" w:rsidRPr="002857F3" w:rsidRDefault="00C80991" w:rsidP="00496EA7">
            <w:pPr>
              <w:pStyle w:val="08-Tabelageral"/>
              <w:rPr>
                <w:rFonts w:cs="Arial"/>
                <w:b/>
                <w:bCs/>
              </w:rPr>
            </w:pPr>
            <w:r>
              <w:rPr>
                <w:rFonts w:cs="Arial"/>
                <w:b/>
                <w:bCs/>
              </w:rPr>
              <w:t>(457.871)</w:t>
            </w:r>
          </w:p>
        </w:tc>
        <w:tc>
          <w:tcPr>
            <w:tcW w:w="1511" w:type="dxa"/>
            <w:tcBorders>
              <w:top w:val="nil"/>
              <w:bottom w:val="nil"/>
            </w:tcBorders>
            <w:shd w:val="clear" w:color="auto" w:fill="auto"/>
          </w:tcPr>
          <w:p w14:paraId="5CDC6ECB" w14:textId="77777777" w:rsidR="00C80991" w:rsidRPr="00496EA7" w:rsidRDefault="00C80991" w:rsidP="00F00EEA">
            <w:pPr>
              <w:pStyle w:val="08-Tabelageral"/>
              <w:rPr>
                <w:rFonts w:cs="Arial"/>
              </w:rPr>
            </w:pPr>
            <w:r w:rsidRPr="00496EA7">
              <w:rPr>
                <w:rFonts w:cs="Arial"/>
                <w:b/>
              </w:rPr>
              <w:t>(</w:t>
            </w:r>
            <w:r>
              <w:rPr>
                <w:rFonts w:cs="Arial"/>
                <w:b/>
              </w:rPr>
              <w:t>425.693</w:t>
            </w:r>
            <w:r w:rsidRPr="00496EA7">
              <w:rPr>
                <w:rFonts w:cs="Arial"/>
                <w:b/>
              </w:rPr>
              <w:t>)</w:t>
            </w:r>
          </w:p>
        </w:tc>
      </w:tr>
      <w:tr w:rsidR="00C80991" w:rsidRPr="00A47279" w14:paraId="380CD4C0" w14:textId="77777777" w:rsidTr="00C80991">
        <w:trPr>
          <w:trHeight w:val="238"/>
          <w:jc w:val="center"/>
        </w:trPr>
        <w:tc>
          <w:tcPr>
            <w:tcW w:w="3050" w:type="dxa"/>
            <w:gridSpan w:val="2"/>
            <w:tcBorders>
              <w:top w:val="nil"/>
              <w:bottom w:val="nil"/>
            </w:tcBorders>
            <w:shd w:val="clear" w:color="auto" w:fill="auto"/>
            <w:vAlign w:val="center"/>
          </w:tcPr>
          <w:p w14:paraId="23528243" w14:textId="77777777" w:rsidR="00C80991" w:rsidRPr="00A47279" w:rsidRDefault="00C80991" w:rsidP="00496EA7">
            <w:pPr>
              <w:pStyle w:val="08-Tabelageral"/>
              <w:ind w:left="113"/>
              <w:jc w:val="left"/>
              <w:rPr>
                <w:rFonts w:cs="Arial"/>
                <w:szCs w:val="14"/>
              </w:rPr>
            </w:pPr>
            <w:r>
              <w:t>Cofins</w:t>
            </w:r>
          </w:p>
        </w:tc>
        <w:tc>
          <w:tcPr>
            <w:tcW w:w="595" w:type="dxa"/>
            <w:tcBorders>
              <w:top w:val="nil"/>
            </w:tcBorders>
            <w:shd w:val="clear" w:color="auto" w:fill="auto"/>
          </w:tcPr>
          <w:p w14:paraId="2F5C138A"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tcPr>
          <w:p w14:paraId="7A666EBE" w14:textId="77777777" w:rsidR="00C80991" w:rsidRPr="00496EA7" w:rsidRDefault="00C80991" w:rsidP="00496EA7">
            <w:pPr>
              <w:pStyle w:val="08-Tabelageral"/>
              <w:rPr>
                <w:rFonts w:cs="Arial"/>
              </w:rPr>
            </w:pPr>
          </w:p>
        </w:tc>
        <w:tc>
          <w:tcPr>
            <w:tcW w:w="1400" w:type="dxa"/>
            <w:tcBorders>
              <w:top w:val="nil"/>
              <w:bottom w:val="nil"/>
            </w:tcBorders>
            <w:shd w:val="clear" w:color="auto" w:fill="auto"/>
          </w:tcPr>
          <w:p w14:paraId="46B37884"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6E2345C7"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5A38DDB9" w14:textId="77777777" w:rsidR="00C80991" w:rsidRPr="00496EA7" w:rsidRDefault="00C80991" w:rsidP="00496EA7">
            <w:pPr>
              <w:pStyle w:val="08-Tabelageral"/>
              <w:rPr>
                <w:rFonts w:cs="Arial"/>
              </w:rPr>
            </w:pPr>
            <w:r>
              <w:rPr>
                <w:rFonts w:cs="Arial"/>
              </w:rPr>
              <w:t>(300.281)</w:t>
            </w:r>
          </w:p>
        </w:tc>
        <w:tc>
          <w:tcPr>
            <w:tcW w:w="1511" w:type="dxa"/>
            <w:tcBorders>
              <w:top w:val="nil"/>
              <w:bottom w:val="nil"/>
            </w:tcBorders>
            <w:shd w:val="clear" w:color="auto" w:fill="auto"/>
          </w:tcPr>
          <w:p w14:paraId="529EFAEA" w14:textId="77777777" w:rsidR="00C80991" w:rsidRPr="00496EA7" w:rsidRDefault="00C80991" w:rsidP="00F00EEA">
            <w:pPr>
              <w:pStyle w:val="08-Tabelageral"/>
              <w:rPr>
                <w:rFonts w:cs="Arial"/>
              </w:rPr>
            </w:pPr>
            <w:r w:rsidRPr="00496EA7">
              <w:rPr>
                <w:rFonts w:cs="Arial"/>
              </w:rPr>
              <w:t>(</w:t>
            </w:r>
            <w:r>
              <w:rPr>
                <w:rFonts w:cs="Arial"/>
              </w:rPr>
              <w:t>279.280</w:t>
            </w:r>
            <w:r w:rsidRPr="00496EA7">
              <w:rPr>
                <w:rFonts w:cs="Arial"/>
              </w:rPr>
              <w:t>)</w:t>
            </w:r>
          </w:p>
        </w:tc>
      </w:tr>
      <w:tr w:rsidR="00C80991" w:rsidRPr="00A47279" w14:paraId="3797FA68" w14:textId="77777777" w:rsidTr="00C80991">
        <w:trPr>
          <w:trHeight w:val="238"/>
          <w:jc w:val="center"/>
        </w:trPr>
        <w:tc>
          <w:tcPr>
            <w:tcW w:w="3050" w:type="dxa"/>
            <w:gridSpan w:val="2"/>
            <w:tcBorders>
              <w:top w:val="nil"/>
              <w:bottom w:val="nil"/>
            </w:tcBorders>
            <w:shd w:val="clear" w:color="auto" w:fill="auto"/>
            <w:vAlign w:val="center"/>
          </w:tcPr>
          <w:p w14:paraId="5F4A993F" w14:textId="77777777" w:rsidR="00C80991" w:rsidRPr="00A47279" w:rsidRDefault="00C80991" w:rsidP="00496EA7">
            <w:pPr>
              <w:pStyle w:val="08-Tabelageral"/>
              <w:ind w:left="113"/>
              <w:jc w:val="left"/>
              <w:rPr>
                <w:rFonts w:cs="Arial"/>
                <w:szCs w:val="14"/>
              </w:rPr>
            </w:pPr>
            <w:r>
              <w:t>ISS</w:t>
            </w:r>
          </w:p>
        </w:tc>
        <w:tc>
          <w:tcPr>
            <w:tcW w:w="595" w:type="dxa"/>
            <w:tcBorders>
              <w:top w:val="nil"/>
            </w:tcBorders>
            <w:shd w:val="clear" w:color="auto" w:fill="auto"/>
          </w:tcPr>
          <w:p w14:paraId="4BE5FB60"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vAlign w:val="center"/>
          </w:tcPr>
          <w:p w14:paraId="50E96485" w14:textId="77777777" w:rsidR="00C80991" w:rsidRPr="00496EA7" w:rsidRDefault="00C80991" w:rsidP="00496EA7">
            <w:pPr>
              <w:pStyle w:val="08-Tabelageral"/>
              <w:rPr>
                <w:rFonts w:cs="Arial"/>
              </w:rPr>
            </w:pPr>
          </w:p>
        </w:tc>
        <w:tc>
          <w:tcPr>
            <w:tcW w:w="1400" w:type="dxa"/>
            <w:tcBorders>
              <w:top w:val="nil"/>
              <w:bottom w:val="nil"/>
            </w:tcBorders>
            <w:shd w:val="clear" w:color="auto" w:fill="auto"/>
            <w:vAlign w:val="center"/>
          </w:tcPr>
          <w:p w14:paraId="24C22992"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47C1850E"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661A3AB5" w14:textId="77777777" w:rsidR="00C80991" w:rsidRPr="00496EA7" w:rsidRDefault="00C80991" w:rsidP="00496EA7">
            <w:pPr>
              <w:pStyle w:val="08-Tabelageral"/>
              <w:rPr>
                <w:rFonts w:cs="Arial"/>
              </w:rPr>
            </w:pPr>
            <w:r>
              <w:rPr>
                <w:rFonts w:cs="Arial"/>
              </w:rPr>
              <w:t>(92.397)</w:t>
            </w:r>
          </w:p>
        </w:tc>
        <w:tc>
          <w:tcPr>
            <w:tcW w:w="1511" w:type="dxa"/>
            <w:tcBorders>
              <w:top w:val="nil"/>
              <w:bottom w:val="nil"/>
            </w:tcBorders>
            <w:shd w:val="clear" w:color="auto" w:fill="auto"/>
          </w:tcPr>
          <w:p w14:paraId="174B1CAE" w14:textId="77777777" w:rsidR="00C80991" w:rsidRPr="00496EA7" w:rsidRDefault="00C80991" w:rsidP="00F00EEA">
            <w:pPr>
              <w:pStyle w:val="08-Tabelageral"/>
              <w:rPr>
                <w:rFonts w:cs="Arial"/>
              </w:rPr>
            </w:pPr>
            <w:r w:rsidRPr="00496EA7">
              <w:rPr>
                <w:rFonts w:cs="Arial"/>
              </w:rPr>
              <w:t>(</w:t>
            </w:r>
            <w:r>
              <w:rPr>
                <w:rFonts w:cs="Arial"/>
              </w:rPr>
              <w:t>85.780</w:t>
            </w:r>
            <w:r w:rsidRPr="00496EA7">
              <w:rPr>
                <w:rFonts w:cs="Arial"/>
              </w:rPr>
              <w:t>)</w:t>
            </w:r>
          </w:p>
        </w:tc>
      </w:tr>
      <w:tr w:rsidR="00C80991" w:rsidRPr="00A47279" w14:paraId="0435C42F" w14:textId="77777777" w:rsidTr="00C80991">
        <w:trPr>
          <w:trHeight w:val="238"/>
          <w:jc w:val="center"/>
        </w:trPr>
        <w:tc>
          <w:tcPr>
            <w:tcW w:w="3050" w:type="dxa"/>
            <w:gridSpan w:val="2"/>
            <w:tcBorders>
              <w:top w:val="nil"/>
              <w:bottom w:val="nil"/>
            </w:tcBorders>
            <w:shd w:val="clear" w:color="auto" w:fill="auto"/>
            <w:vAlign w:val="center"/>
          </w:tcPr>
          <w:p w14:paraId="5C6E2E4A" w14:textId="77777777" w:rsidR="00C80991" w:rsidRPr="00A47279" w:rsidRDefault="00C80991" w:rsidP="00496EA7">
            <w:pPr>
              <w:pStyle w:val="08-Tabelageral"/>
              <w:ind w:left="113"/>
              <w:jc w:val="left"/>
              <w:rPr>
                <w:rFonts w:cs="Arial"/>
                <w:szCs w:val="14"/>
              </w:rPr>
            </w:pPr>
            <w:r>
              <w:t>PIS</w:t>
            </w:r>
          </w:p>
        </w:tc>
        <w:tc>
          <w:tcPr>
            <w:tcW w:w="595" w:type="dxa"/>
            <w:tcBorders>
              <w:bottom w:val="nil"/>
            </w:tcBorders>
            <w:shd w:val="clear" w:color="auto" w:fill="auto"/>
          </w:tcPr>
          <w:p w14:paraId="09F2A3CE" w14:textId="77777777" w:rsidR="00C80991" w:rsidRPr="00890AEB" w:rsidRDefault="00C80991" w:rsidP="00496EA7">
            <w:pPr>
              <w:pStyle w:val="08-Tabelageral"/>
              <w:rPr>
                <w:rFonts w:cs="Arial"/>
                <w:bCs/>
                <w:szCs w:val="14"/>
              </w:rPr>
            </w:pPr>
          </w:p>
        </w:tc>
        <w:tc>
          <w:tcPr>
            <w:tcW w:w="1397" w:type="dxa"/>
            <w:gridSpan w:val="2"/>
            <w:tcBorders>
              <w:top w:val="nil"/>
              <w:bottom w:val="nil"/>
            </w:tcBorders>
            <w:shd w:val="clear" w:color="auto" w:fill="auto"/>
          </w:tcPr>
          <w:p w14:paraId="3C82BDEC" w14:textId="77777777" w:rsidR="00C80991" w:rsidRPr="00496EA7" w:rsidRDefault="00C80991" w:rsidP="00496EA7">
            <w:pPr>
              <w:pStyle w:val="08-Tabelageral"/>
              <w:rPr>
                <w:rFonts w:cs="Arial"/>
              </w:rPr>
            </w:pPr>
          </w:p>
        </w:tc>
        <w:tc>
          <w:tcPr>
            <w:tcW w:w="1400" w:type="dxa"/>
            <w:tcBorders>
              <w:top w:val="nil"/>
              <w:bottom w:val="nil"/>
            </w:tcBorders>
            <w:shd w:val="clear" w:color="auto" w:fill="auto"/>
          </w:tcPr>
          <w:p w14:paraId="7EBCE763" w14:textId="77777777" w:rsidR="00C80991" w:rsidRPr="00496EA7" w:rsidRDefault="00C80991" w:rsidP="00496EA7">
            <w:pPr>
              <w:pStyle w:val="08-Tabelageral"/>
              <w:rPr>
                <w:rFonts w:cs="Arial"/>
              </w:rPr>
            </w:pPr>
          </w:p>
        </w:tc>
        <w:tc>
          <w:tcPr>
            <w:tcW w:w="282" w:type="dxa"/>
            <w:gridSpan w:val="2"/>
            <w:tcBorders>
              <w:top w:val="nil"/>
              <w:bottom w:val="nil"/>
            </w:tcBorders>
            <w:shd w:val="clear" w:color="auto" w:fill="auto"/>
            <w:vAlign w:val="center"/>
          </w:tcPr>
          <w:p w14:paraId="3005CD4F" w14:textId="77777777" w:rsidR="00C80991" w:rsidRPr="00496EA7" w:rsidRDefault="00C80991" w:rsidP="00496EA7">
            <w:pPr>
              <w:pStyle w:val="08-Tabelageral"/>
              <w:rPr>
                <w:rFonts w:cs="Arial"/>
              </w:rPr>
            </w:pPr>
          </w:p>
        </w:tc>
        <w:tc>
          <w:tcPr>
            <w:tcW w:w="1404" w:type="dxa"/>
            <w:tcBorders>
              <w:top w:val="nil"/>
              <w:bottom w:val="nil"/>
            </w:tcBorders>
            <w:shd w:val="clear" w:color="auto" w:fill="auto"/>
          </w:tcPr>
          <w:p w14:paraId="69A20B6A" w14:textId="77777777" w:rsidR="00C80991" w:rsidRPr="00496EA7" w:rsidRDefault="00C80991" w:rsidP="00496EA7">
            <w:pPr>
              <w:pStyle w:val="08-Tabelageral"/>
              <w:rPr>
                <w:rFonts w:cs="Arial"/>
              </w:rPr>
            </w:pPr>
            <w:r>
              <w:rPr>
                <w:rFonts w:cs="Arial"/>
              </w:rPr>
              <w:t>(65.193)</w:t>
            </w:r>
          </w:p>
        </w:tc>
        <w:tc>
          <w:tcPr>
            <w:tcW w:w="1511" w:type="dxa"/>
            <w:tcBorders>
              <w:top w:val="nil"/>
              <w:bottom w:val="nil"/>
            </w:tcBorders>
            <w:shd w:val="clear" w:color="auto" w:fill="auto"/>
          </w:tcPr>
          <w:p w14:paraId="089CD8CC" w14:textId="77777777" w:rsidR="00C80991" w:rsidRPr="00496EA7" w:rsidRDefault="00C80991" w:rsidP="00F00EEA">
            <w:pPr>
              <w:pStyle w:val="08-Tabelageral"/>
              <w:rPr>
                <w:rFonts w:cs="Arial"/>
              </w:rPr>
            </w:pPr>
            <w:r w:rsidRPr="00496EA7">
              <w:rPr>
                <w:rFonts w:cs="Arial"/>
              </w:rPr>
              <w:t>(</w:t>
            </w:r>
            <w:r>
              <w:rPr>
                <w:rFonts w:cs="Arial"/>
              </w:rPr>
              <w:t>60.633</w:t>
            </w:r>
            <w:r w:rsidRPr="00496EA7">
              <w:rPr>
                <w:rFonts w:cs="Arial"/>
              </w:rPr>
              <w:t>)</w:t>
            </w:r>
          </w:p>
        </w:tc>
      </w:tr>
      <w:tr w:rsidR="00C80991" w:rsidRPr="00A47279" w14:paraId="5EE28DF8" w14:textId="77777777" w:rsidTr="00C80991">
        <w:trPr>
          <w:trHeight w:val="238"/>
          <w:jc w:val="center"/>
        </w:trPr>
        <w:tc>
          <w:tcPr>
            <w:tcW w:w="3050" w:type="dxa"/>
            <w:gridSpan w:val="2"/>
            <w:tcBorders>
              <w:top w:val="nil"/>
              <w:bottom w:val="single" w:sz="2" w:space="0" w:color="1F4E79" w:themeColor="accent1" w:themeShade="80"/>
            </w:tcBorders>
            <w:shd w:val="clear" w:color="auto" w:fill="auto"/>
            <w:vAlign w:val="center"/>
          </w:tcPr>
          <w:p w14:paraId="1DB3E9C9" w14:textId="77777777" w:rsidR="00C80991" w:rsidRPr="00496EA7" w:rsidRDefault="00C80991" w:rsidP="00496EA7">
            <w:pPr>
              <w:keepNext/>
              <w:keepLines/>
              <w:spacing w:before="40" w:after="40" w:line="240" w:lineRule="auto"/>
              <w:rPr>
                <w:rFonts w:cs="Arial"/>
                <w:b/>
                <w:spacing w:val="-2"/>
                <w:sz w:val="14"/>
                <w:szCs w:val="14"/>
              </w:rPr>
            </w:pPr>
            <w:r w:rsidRPr="00496EA7">
              <w:rPr>
                <w:rFonts w:cs="Arial"/>
                <w:b/>
                <w:spacing w:val="-2"/>
                <w:sz w:val="14"/>
                <w:szCs w:val="14"/>
              </w:rPr>
              <w:t>Receitas de comissões líquida</w:t>
            </w:r>
          </w:p>
        </w:tc>
        <w:tc>
          <w:tcPr>
            <w:tcW w:w="595" w:type="dxa"/>
            <w:tcBorders>
              <w:top w:val="nil"/>
              <w:bottom w:val="single" w:sz="2" w:space="0" w:color="1F4E79" w:themeColor="accent1" w:themeShade="80"/>
            </w:tcBorders>
            <w:shd w:val="clear" w:color="auto" w:fill="auto"/>
          </w:tcPr>
          <w:p w14:paraId="1A1C8C07" w14:textId="77777777" w:rsidR="00C80991" w:rsidRPr="00890AEB" w:rsidRDefault="00C80991" w:rsidP="00496EA7">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5434B15F" w14:textId="77777777" w:rsidR="00C80991" w:rsidRPr="00496EA7" w:rsidRDefault="00C80991" w:rsidP="00496EA7">
            <w:pPr>
              <w:pStyle w:val="08-Tabelageral"/>
              <w:rPr>
                <w:rFonts w:cs="Arial"/>
                <w:b/>
              </w:rPr>
            </w:pPr>
          </w:p>
        </w:tc>
        <w:tc>
          <w:tcPr>
            <w:tcW w:w="1400" w:type="dxa"/>
            <w:tcBorders>
              <w:top w:val="nil"/>
              <w:bottom w:val="single" w:sz="2" w:space="0" w:color="1F4E79" w:themeColor="accent1" w:themeShade="80"/>
            </w:tcBorders>
            <w:shd w:val="clear" w:color="auto" w:fill="auto"/>
            <w:vAlign w:val="center"/>
          </w:tcPr>
          <w:p w14:paraId="048578A2" w14:textId="77777777" w:rsidR="00C80991" w:rsidRPr="00496EA7" w:rsidRDefault="00C80991" w:rsidP="00496EA7">
            <w:pPr>
              <w:pStyle w:val="08-Tabelageral"/>
              <w:rPr>
                <w:rFonts w:cs="Arial"/>
                <w:b/>
              </w:rPr>
            </w:pPr>
          </w:p>
        </w:tc>
        <w:tc>
          <w:tcPr>
            <w:tcW w:w="282" w:type="dxa"/>
            <w:gridSpan w:val="2"/>
            <w:tcBorders>
              <w:top w:val="nil"/>
              <w:bottom w:val="single" w:sz="2" w:space="0" w:color="1F4E79" w:themeColor="accent1" w:themeShade="80"/>
            </w:tcBorders>
            <w:shd w:val="clear" w:color="auto" w:fill="auto"/>
            <w:vAlign w:val="center"/>
          </w:tcPr>
          <w:p w14:paraId="0F71A0A4" w14:textId="77777777" w:rsidR="00C80991" w:rsidRPr="00496EA7" w:rsidRDefault="00C80991" w:rsidP="00496EA7">
            <w:pPr>
              <w:pStyle w:val="08-Tabelageral"/>
              <w:rPr>
                <w:rFonts w:cs="Arial"/>
                <w:b/>
              </w:rPr>
            </w:pPr>
          </w:p>
        </w:tc>
        <w:tc>
          <w:tcPr>
            <w:tcW w:w="1404" w:type="dxa"/>
            <w:tcBorders>
              <w:top w:val="nil"/>
              <w:bottom w:val="single" w:sz="2" w:space="0" w:color="1F4E79" w:themeColor="accent1" w:themeShade="80"/>
            </w:tcBorders>
            <w:shd w:val="clear" w:color="auto" w:fill="auto"/>
          </w:tcPr>
          <w:p w14:paraId="152C797D" w14:textId="77777777" w:rsidR="00C80991" w:rsidRPr="00496EA7" w:rsidRDefault="00C80991" w:rsidP="00496EA7">
            <w:pPr>
              <w:pStyle w:val="08-Tabelageral"/>
              <w:rPr>
                <w:rFonts w:cs="Arial"/>
                <w:b/>
              </w:rPr>
            </w:pPr>
            <w:r>
              <w:rPr>
                <w:rFonts w:cs="Arial"/>
                <w:b/>
              </w:rPr>
              <w:t>3.495.586</w:t>
            </w:r>
          </w:p>
        </w:tc>
        <w:tc>
          <w:tcPr>
            <w:tcW w:w="1511" w:type="dxa"/>
            <w:tcBorders>
              <w:top w:val="nil"/>
              <w:bottom w:val="single" w:sz="2" w:space="0" w:color="1F4E79" w:themeColor="accent1" w:themeShade="80"/>
            </w:tcBorders>
            <w:shd w:val="clear" w:color="auto" w:fill="auto"/>
          </w:tcPr>
          <w:p w14:paraId="663D75F1" w14:textId="77777777" w:rsidR="00C80991" w:rsidRPr="00496EA7" w:rsidRDefault="00C80991" w:rsidP="00496EA7">
            <w:pPr>
              <w:pStyle w:val="08-Tabelageral"/>
              <w:rPr>
                <w:rFonts w:cs="Arial"/>
                <w:b/>
              </w:rPr>
            </w:pPr>
            <w:r>
              <w:rPr>
                <w:rFonts w:cs="Arial"/>
                <w:b/>
              </w:rPr>
              <w:t>3.251.279</w:t>
            </w:r>
          </w:p>
        </w:tc>
      </w:tr>
    </w:tbl>
    <w:p w14:paraId="346D40C1" w14:textId="77777777" w:rsidR="00C80991" w:rsidRDefault="00C80991" w:rsidP="00C80991">
      <w:pPr>
        <w:pStyle w:val="07-Legenda"/>
        <w:numPr>
          <w:ilvl w:val="0"/>
          <w:numId w:val="18"/>
        </w:numPr>
        <w:tabs>
          <w:tab w:val="clear" w:pos="284"/>
          <w:tab w:val="left" w:pos="0"/>
        </w:tabs>
        <w:ind w:left="284" w:hanging="284"/>
      </w:pPr>
      <w:r>
        <w:t>Apesar da venda da participação, os produtos da Mapfre Seguros Gerais continuam sendo comercializados pela BB Corretora no âmbito do acordo operacional de Auto e Grandes Riscos.</w:t>
      </w:r>
    </w:p>
    <w:p w14:paraId="5E5A07E6" w14:textId="77777777" w:rsidR="00C80991" w:rsidRDefault="00C80991" w:rsidP="00273C81">
      <w:pPr>
        <w:pStyle w:val="07-Legenda"/>
        <w:spacing w:before="120" w:after="120" w:line="276" w:lineRule="auto"/>
        <w:ind w:left="0" w:firstLine="0"/>
        <w:rPr>
          <w:sz w:val="18"/>
        </w:rPr>
      </w:pPr>
      <w:r w:rsidRPr="007F2DCA">
        <w:rPr>
          <w:sz w:val="18"/>
        </w:rPr>
        <w:t>Não há saldo de receitas de comissões no controlador.</w:t>
      </w:r>
      <w:bookmarkEnd w:id="72"/>
    </w:p>
    <w:p w14:paraId="3EEDEFF3" w14:textId="77777777" w:rsidR="00C80991" w:rsidRPr="00D67D54" w:rsidRDefault="00C80991" w:rsidP="00273C81">
      <w:pPr>
        <w:spacing w:before="120" w:after="120"/>
        <w:jc w:val="both"/>
        <w:rPr>
          <w:rFonts w:eastAsia="Times New Roman" w:cs="Arial"/>
          <w:spacing w:val="-2"/>
          <w:szCs w:val="18"/>
          <w:lang w:eastAsia="pt-BR"/>
        </w:rPr>
      </w:pPr>
      <w:r w:rsidRPr="00FB7F7D">
        <w:rPr>
          <w:rFonts w:eastAsia="Times New Roman" w:cs="Arial"/>
          <w:spacing w:val="-2"/>
          <w:szCs w:val="18"/>
          <w:lang w:eastAsia="pt-BR"/>
        </w:rPr>
        <w:t xml:space="preserve">No modelo de parceria celebrado entre a BB Seguros e o Grupo Mapfre, está previsto o pagamento de remuneração adicional pela Brasilseg Companhia de Seguros S.A. à BB Corretora </w:t>
      </w:r>
      <w:r>
        <w:rPr>
          <w:rFonts w:eastAsia="Times New Roman" w:cs="Arial"/>
          <w:spacing w:val="-2"/>
          <w:szCs w:val="18"/>
          <w:lang w:eastAsia="pt-BR"/>
        </w:rPr>
        <w:t>vinculada à superação da meta de crescimento de vendas em alguns produtos específicos</w:t>
      </w:r>
      <w:r w:rsidRPr="00FB7F7D">
        <w:rPr>
          <w:rFonts w:eastAsia="Times New Roman" w:cs="Arial"/>
          <w:spacing w:val="-2"/>
          <w:szCs w:val="18"/>
          <w:lang w:eastAsia="pt-BR"/>
        </w:rPr>
        <w:t xml:space="preserve">, obedecendo ao disposto no </w:t>
      </w:r>
      <w:bookmarkStart w:id="74" w:name="_Hlk508470765"/>
      <w:r w:rsidRPr="00FB7F7D">
        <w:rPr>
          <w:rFonts w:eastAsia="Times New Roman" w:cs="Arial"/>
          <w:spacing w:val="-2"/>
          <w:szCs w:val="18"/>
          <w:lang w:eastAsia="pt-BR"/>
        </w:rPr>
        <w:t>2º Aditamento ao</w:t>
      </w:r>
      <w:bookmarkEnd w:id="74"/>
      <w:r w:rsidRPr="00FB7F7D">
        <w:rPr>
          <w:rFonts w:eastAsia="Times New Roman" w:cs="Arial"/>
          <w:spacing w:val="-2"/>
          <w:szCs w:val="18"/>
          <w:lang w:eastAsia="pt-BR"/>
        </w:rPr>
        <w:t xml:space="preserve"> Acordo Operacional para Atuação no Segmento de Seguros e seus anexos (“Acordo Operacional” ou “Acordo”) do qual </w:t>
      </w:r>
      <w:r>
        <w:rPr>
          <w:rFonts w:eastAsia="Times New Roman" w:cs="Arial"/>
          <w:spacing w:val="-2"/>
          <w:szCs w:val="18"/>
          <w:lang w:eastAsia="pt-BR"/>
        </w:rPr>
        <w:t>Brasilseg</w:t>
      </w:r>
      <w:r w:rsidRPr="00FB7F7D">
        <w:rPr>
          <w:rFonts w:eastAsia="Times New Roman" w:cs="Arial"/>
          <w:spacing w:val="-2"/>
          <w:szCs w:val="18"/>
          <w:lang w:eastAsia="pt-BR"/>
        </w:rPr>
        <w:t xml:space="preserve"> e BB Corretora sã</w:t>
      </w:r>
      <w:r>
        <w:rPr>
          <w:rFonts w:eastAsia="Times New Roman" w:cs="Arial"/>
          <w:spacing w:val="-2"/>
          <w:szCs w:val="18"/>
          <w:lang w:eastAsia="pt-BR"/>
        </w:rPr>
        <w:t>o signatárias desde 30.11.2018.</w:t>
      </w:r>
    </w:p>
    <w:p w14:paraId="2A7E69F2" w14:textId="2A6EE611" w:rsidR="00C80991" w:rsidRDefault="00C80991" w:rsidP="00C80991">
      <w:pPr>
        <w:pStyle w:val="02-TtulodeNota"/>
      </w:pPr>
    </w:p>
    <w:p w14:paraId="465BAB12" w14:textId="68EB6AD9" w:rsidR="00375569" w:rsidRPr="00725333" w:rsidRDefault="00375569" w:rsidP="00C80991">
      <w:pPr>
        <w:pStyle w:val="02-TtulodeNota"/>
        <w:rPr>
          <w:color w:val="1F4E79" w:themeColor="accent1" w:themeShade="80"/>
        </w:rPr>
      </w:pPr>
      <w:bookmarkStart w:id="75" w:name="OLE_LINK24"/>
      <w:bookmarkStart w:id="76" w:name="_Toc94861067"/>
      <w:r w:rsidRPr="00725333">
        <w:rPr>
          <w:color w:val="1F4E79" w:themeColor="accent1" w:themeShade="80"/>
        </w:rPr>
        <w:lastRenderedPageBreak/>
        <w:t>9 – CUSTOS DOS SERVIÇOS PRESTADOS</w:t>
      </w:r>
      <w:bookmarkEnd w:id="76"/>
    </w:p>
    <w:p w14:paraId="45BEB618" w14:textId="77777777" w:rsidR="00375569" w:rsidRPr="0065736B" w:rsidRDefault="00375569" w:rsidP="00457045">
      <w:pPr>
        <w:pStyle w:val="06-Rmil"/>
        <w:rPr>
          <w:rFonts w:cs="Arial"/>
          <w:szCs w:val="14"/>
        </w:rPr>
      </w:pPr>
      <w:r w:rsidRPr="0065736B">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375569" w:rsidRPr="00A47279" w14:paraId="7CACEACD" w14:textId="77777777" w:rsidTr="0077417D">
        <w:trPr>
          <w:trHeight w:val="238"/>
          <w:jc w:val="center"/>
        </w:trPr>
        <w:tc>
          <w:tcPr>
            <w:tcW w:w="2467" w:type="dxa"/>
            <w:tcBorders>
              <w:top w:val="single" w:sz="2" w:space="0" w:color="1F4E79" w:themeColor="accent1" w:themeShade="80"/>
              <w:bottom w:val="nil"/>
            </w:tcBorders>
            <w:shd w:val="clear" w:color="auto" w:fill="auto"/>
          </w:tcPr>
          <w:p w14:paraId="405C876B" w14:textId="77777777" w:rsidR="00375569" w:rsidRPr="00890AEB" w:rsidRDefault="00375569" w:rsidP="00890AEB">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38C3DF66" w14:textId="77777777" w:rsidR="00375569" w:rsidRPr="00890AEB" w:rsidRDefault="00375569" w:rsidP="00890AEB">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4D5E297D" w14:textId="77777777" w:rsidR="00375569" w:rsidRPr="00890AEB" w:rsidRDefault="00375569" w:rsidP="00890AEB">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306A8DA8" w14:textId="77777777" w:rsidR="00375569" w:rsidRPr="00A47279" w:rsidRDefault="00375569" w:rsidP="00890AEB">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02C9396E" w14:textId="77777777" w:rsidR="00375569" w:rsidRPr="00A47279" w:rsidRDefault="00375569" w:rsidP="00890AEB">
            <w:pPr>
              <w:keepNext/>
              <w:keepLines/>
              <w:spacing w:before="40" w:after="40"/>
              <w:jc w:val="center"/>
              <w:rPr>
                <w:rFonts w:cs="Arial"/>
                <w:b/>
                <w:spacing w:val="-2"/>
                <w:sz w:val="14"/>
                <w:szCs w:val="14"/>
              </w:rPr>
            </w:pPr>
            <w:r w:rsidRPr="00A47279">
              <w:rPr>
                <w:rFonts w:cs="Arial"/>
                <w:b/>
                <w:spacing w:val="-2"/>
                <w:sz w:val="14"/>
                <w:szCs w:val="14"/>
              </w:rPr>
              <w:t>Consolidado</w:t>
            </w:r>
          </w:p>
        </w:tc>
      </w:tr>
      <w:tr w:rsidR="00375569" w:rsidRPr="00A47279" w14:paraId="6681BB0A" w14:textId="77777777" w:rsidTr="0077417D">
        <w:trPr>
          <w:trHeight w:val="238"/>
          <w:jc w:val="center"/>
        </w:trPr>
        <w:tc>
          <w:tcPr>
            <w:tcW w:w="3050" w:type="dxa"/>
            <w:gridSpan w:val="2"/>
            <w:tcBorders>
              <w:top w:val="nil"/>
              <w:bottom w:val="single" w:sz="2" w:space="0" w:color="1F4E79" w:themeColor="accent1" w:themeShade="80"/>
            </w:tcBorders>
            <w:shd w:val="clear" w:color="auto" w:fill="auto"/>
          </w:tcPr>
          <w:p w14:paraId="10B8C35F" w14:textId="77777777" w:rsidR="00375569" w:rsidRPr="00A47279" w:rsidRDefault="00375569" w:rsidP="00890AEB">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1B2BD886" w14:textId="77777777" w:rsidR="00375569" w:rsidRPr="00890AEB" w:rsidRDefault="00375569" w:rsidP="00890AEB">
            <w:pPr>
              <w:keepNext/>
              <w:keepLines/>
              <w:spacing w:before="40" w:after="40"/>
              <w:jc w:val="right"/>
              <w:rPr>
                <w:rFonts w:cs="Arial"/>
                <w:bCs/>
                <w:spacing w:val="-2"/>
                <w:sz w:val="14"/>
                <w:szCs w:val="14"/>
              </w:rPr>
            </w:pPr>
          </w:p>
        </w:tc>
        <w:tc>
          <w:tcPr>
            <w:tcW w:w="1397" w:type="dxa"/>
            <w:gridSpan w:val="2"/>
            <w:tcBorders>
              <w:top w:val="nil"/>
              <w:bottom w:val="single" w:sz="4" w:space="0" w:color="auto"/>
            </w:tcBorders>
            <w:shd w:val="clear" w:color="auto" w:fill="auto"/>
            <w:vAlign w:val="center"/>
          </w:tcPr>
          <w:p w14:paraId="7C1E4B51" w14:textId="77777777" w:rsidR="00375569" w:rsidRPr="0077417D" w:rsidRDefault="00375569" w:rsidP="00890AEB">
            <w:pPr>
              <w:keepNext/>
              <w:keepLines/>
              <w:spacing w:before="40" w:after="40"/>
              <w:jc w:val="right"/>
              <w:rPr>
                <w:rFonts w:cs="Arial"/>
                <w:bCs/>
                <w:spacing w:val="-2"/>
                <w:sz w:val="14"/>
                <w:szCs w:val="14"/>
              </w:rPr>
            </w:pPr>
          </w:p>
        </w:tc>
        <w:tc>
          <w:tcPr>
            <w:tcW w:w="1400" w:type="dxa"/>
            <w:tcBorders>
              <w:top w:val="nil"/>
              <w:bottom w:val="single" w:sz="4" w:space="0" w:color="auto"/>
            </w:tcBorders>
            <w:shd w:val="clear" w:color="auto" w:fill="auto"/>
            <w:vAlign w:val="center"/>
          </w:tcPr>
          <w:p w14:paraId="313C5CEF" w14:textId="77777777" w:rsidR="00375569" w:rsidRPr="0077417D" w:rsidRDefault="00375569" w:rsidP="00890AEB">
            <w:pPr>
              <w:keepNext/>
              <w:keepLines/>
              <w:spacing w:before="40" w:after="40"/>
              <w:jc w:val="right"/>
              <w:rPr>
                <w:rFonts w:cs="Arial"/>
                <w:bCs/>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73C61610" w14:textId="77777777" w:rsidR="00375569" w:rsidRPr="00A47279" w:rsidRDefault="00375569" w:rsidP="00890AEB">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11494A78" w14:textId="77777777" w:rsidR="00375569" w:rsidRPr="00A47279" w:rsidRDefault="00375569" w:rsidP="00890AEB">
            <w:pPr>
              <w:keepNext/>
              <w:keepLines/>
              <w:spacing w:before="40" w:after="40"/>
              <w:jc w:val="right"/>
              <w:rPr>
                <w:rFonts w:cs="Arial"/>
                <w:b/>
                <w:spacing w:val="-2"/>
                <w:sz w:val="14"/>
                <w:szCs w:val="18"/>
              </w:rPr>
            </w:pPr>
            <w:r>
              <w:rPr>
                <w:rFonts w:cs="Arial"/>
                <w:b/>
                <w:spacing w:val="-2"/>
                <w:sz w:val="14"/>
                <w:szCs w:val="18"/>
              </w:rPr>
              <w:t>Exercício 2021</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43BA8B60" w14:textId="77777777" w:rsidR="00375569" w:rsidRPr="00A47279" w:rsidRDefault="00375569" w:rsidP="00890AEB">
            <w:pPr>
              <w:keepNext/>
              <w:keepLines/>
              <w:spacing w:before="40" w:after="40"/>
              <w:jc w:val="right"/>
              <w:rPr>
                <w:rFonts w:cs="Arial"/>
                <w:b/>
                <w:spacing w:val="-2"/>
                <w:sz w:val="14"/>
                <w:szCs w:val="18"/>
              </w:rPr>
            </w:pPr>
            <w:r>
              <w:rPr>
                <w:rFonts w:cs="Arial"/>
                <w:b/>
                <w:spacing w:val="-2"/>
                <w:sz w:val="14"/>
                <w:szCs w:val="18"/>
              </w:rPr>
              <w:t>Exercício 2020</w:t>
            </w:r>
          </w:p>
        </w:tc>
      </w:tr>
      <w:tr w:rsidR="00375569" w:rsidRPr="00A47279" w14:paraId="6C5F2655" w14:textId="77777777" w:rsidTr="006870A6">
        <w:trPr>
          <w:trHeight w:val="238"/>
          <w:jc w:val="center"/>
        </w:trPr>
        <w:tc>
          <w:tcPr>
            <w:tcW w:w="3050" w:type="dxa"/>
            <w:gridSpan w:val="2"/>
            <w:tcBorders>
              <w:top w:val="single" w:sz="2" w:space="0" w:color="1F4E79" w:themeColor="accent1" w:themeShade="80"/>
              <w:bottom w:val="nil"/>
            </w:tcBorders>
            <w:shd w:val="clear" w:color="auto" w:fill="auto"/>
          </w:tcPr>
          <w:p w14:paraId="19F14E52" w14:textId="77777777" w:rsidR="00375569" w:rsidRPr="00A47279" w:rsidRDefault="00375569" w:rsidP="00077CB2">
            <w:pPr>
              <w:pStyle w:val="08-Tabelageral"/>
              <w:jc w:val="left"/>
              <w:rPr>
                <w:rFonts w:cs="Arial"/>
                <w:szCs w:val="14"/>
                <w:vertAlign w:val="superscript"/>
              </w:rPr>
            </w:pPr>
            <w:r w:rsidRPr="00A47279">
              <w:rPr>
                <w:rFonts w:cs="Arial"/>
                <w:szCs w:val="14"/>
              </w:rPr>
              <w:t>C</w:t>
            </w:r>
            <w:r>
              <w:rPr>
                <w:rFonts w:cs="Arial"/>
                <w:szCs w:val="14"/>
              </w:rPr>
              <w:t>usto administrativo de produtos</w:t>
            </w:r>
          </w:p>
        </w:tc>
        <w:tc>
          <w:tcPr>
            <w:tcW w:w="595" w:type="dxa"/>
            <w:tcBorders>
              <w:top w:val="single" w:sz="2" w:space="0" w:color="1F4E79" w:themeColor="accent1" w:themeShade="80"/>
              <w:bottom w:val="nil"/>
            </w:tcBorders>
            <w:shd w:val="clear" w:color="auto" w:fill="auto"/>
          </w:tcPr>
          <w:p w14:paraId="5956518A" w14:textId="77777777" w:rsidR="00375569" w:rsidRPr="00890AEB" w:rsidRDefault="00375569" w:rsidP="00077CB2">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5F830C59" w14:textId="77777777" w:rsidR="00375569" w:rsidRPr="00890AEB" w:rsidRDefault="00375569" w:rsidP="00077CB2">
            <w:pPr>
              <w:pStyle w:val="08-Tabelageral"/>
            </w:pPr>
          </w:p>
        </w:tc>
        <w:tc>
          <w:tcPr>
            <w:tcW w:w="1400" w:type="dxa"/>
            <w:tcBorders>
              <w:top w:val="single" w:sz="2" w:space="0" w:color="1F4E79" w:themeColor="accent1" w:themeShade="80"/>
              <w:bottom w:val="nil"/>
            </w:tcBorders>
            <w:shd w:val="clear" w:color="auto" w:fill="auto"/>
            <w:vAlign w:val="center"/>
          </w:tcPr>
          <w:p w14:paraId="417D9DC8" w14:textId="77777777" w:rsidR="00375569" w:rsidRPr="00890AEB" w:rsidRDefault="00375569" w:rsidP="00077CB2">
            <w:pPr>
              <w:pStyle w:val="08-Tabelageral"/>
            </w:pPr>
          </w:p>
        </w:tc>
        <w:tc>
          <w:tcPr>
            <w:tcW w:w="282" w:type="dxa"/>
            <w:gridSpan w:val="2"/>
            <w:tcBorders>
              <w:top w:val="single" w:sz="2" w:space="0" w:color="1F4E79" w:themeColor="accent1" w:themeShade="80"/>
              <w:bottom w:val="nil"/>
            </w:tcBorders>
            <w:shd w:val="clear" w:color="auto" w:fill="auto"/>
            <w:vAlign w:val="center"/>
          </w:tcPr>
          <w:p w14:paraId="0B1AC745" w14:textId="77777777" w:rsidR="00375569" w:rsidRPr="00A47279" w:rsidRDefault="00375569" w:rsidP="00077CB2">
            <w:pPr>
              <w:pStyle w:val="08-Tabelageral"/>
            </w:pPr>
          </w:p>
        </w:tc>
        <w:tc>
          <w:tcPr>
            <w:tcW w:w="1404" w:type="dxa"/>
            <w:tcBorders>
              <w:top w:val="single" w:sz="2" w:space="0" w:color="1F4E79" w:themeColor="accent1" w:themeShade="80"/>
              <w:bottom w:val="nil"/>
            </w:tcBorders>
            <w:shd w:val="clear" w:color="auto" w:fill="auto"/>
          </w:tcPr>
          <w:p w14:paraId="1D5B4BBB" w14:textId="77777777" w:rsidR="00375569" w:rsidRPr="007F1951" w:rsidRDefault="00375569" w:rsidP="00077CB2">
            <w:pPr>
              <w:pStyle w:val="08-Tabelageral"/>
            </w:pPr>
            <w:r w:rsidRPr="004D5040">
              <w:t>(117.985)</w:t>
            </w:r>
          </w:p>
        </w:tc>
        <w:tc>
          <w:tcPr>
            <w:tcW w:w="1511" w:type="dxa"/>
            <w:tcBorders>
              <w:top w:val="single" w:sz="2" w:space="0" w:color="1F4E79" w:themeColor="accent1" w:themeShade="80"/>
              <w:bottom w:val="nil"/>
            </w:tcBorders>
            <w:shd w:val="clear" w:color="auto" w:fill="auto"/>
          </w:tcPr>
          <w:p w14:paraId="5274F81C" w14:textId="77777777" w:rsidR="00375569" w:rsidRPr="007F1951" w:rsidRDefault="00375569" w:rsidP="00077CB2">
            <w:pPr>
              <w:pStyle w:val="08-Tabelageral"/>
            </w:pPr>
            <w:r w:rsidRPr="004074E5">
              <w:t>(88.852)</w:t>
            </w:r>
          </w:p>
        </w:tc>
      </w:tr>
      <w:tr w:rsidR="00375569" w:rsidRPr="00A47279" w14:paraId="14B7CF79" w14:textId="77777777" w:rsidTr="006870A6">
        <w:trPr>
          <w:trHeight w:val="238"/>
          <w:jc w:val="center"/>
        </w:trPr>
        <w:tc>
          <w:tcPr>
            <w:tcW w:w="3050" w:type="dxa"/>
            <w:gridSpan w:val="2"/>
            <w:tcBorders>
              <w:top w:val="nil"/>
            </w:tcBorders>
            <w:shd w:val="clear" w:color="auto" w:fill="auto"/>
          </w:tcPr>
          <w:p w14:paraId="194E74C1" w14:textId="77777777" w:rsidR="00375569" w:rsidRPr="00A47279" w:rsidRDefault="00375569" w:rsidP="00077CB2">
            <w:pPr>
              <w:pStyle w:val="08-Tabelageral"/>
              <w:jc w:val="left"/>
              <w:rPr>
                <w:rFonts w:cs="Arial"/>
                <w:szCs w:val="14"/>
              </w:rPr>
            </w:pPr>
            <w:r w:rsidRPr="00A47279">
              <w:rPr>
                <w:rFonts w:cs="Arial"/>
                <w:szCs w:val="14"/>
              </w:rPr>
              <w:t>Custo suporte operacional</w:t>
            </w:r>
          </w:p>
        </w:tc>
        <w:tc>
          <w:tcPr>
            <w:tcW w:w="595" w:type="dxa"/>
            <w:tcBorders>
              <w:top w:val="nil"/>
            </w:tcBorders>
            <w:shd w:val="clear" w:color="auto" w:fill="auto"/>
          </w:tcPr>
          <w:p w14:paraId="71E1DCE9" w14:textId="77777777" w:rsidR="00375569" w:rsidRPr="00890AEB" w:rsidRDefault="00375569" w:rsidP="00077CB2">
            <w:pPr>
              <w:pStyle w:val="08-Tabelageral"/>
              <w:rPr>
                <w:rFonts w:cs="Arial"/>
                <w:bCs/>
                <w:szCs w:val="14"/>
              </w:rPr>
            </w:pPr>
          </w:p>
        </w:tc>
        <w:tc>
          <w:tcPr>
            <w:tcW w:w="1397" w:type="dxa"/>
            <w:gridSpan w:val="2"/>
            <w:tcBorders>
              <w:top w:val="nil"/>
            </w:tcBorders>
            <w:shd w:val="clear" w:color="auto" w:fill="auto"/>
            <w:vAlign w:val="center"/>
          </w:tcPr>
          <w:p w14:paraId="00E4DDD2" w14:textId="77777777" w:rsidR="00375569" w:rsidRPr="00890AEB" w:rsidRDefault="00375569" w:rsidP="00077CB2">
            <w:pPr>
              <w:pStyle w:val="08-Tabelageral"/>
            </w:pPr>
          </w:p>
        </w:tc>
        <w:tc>
          <w:tcPr>
            <w:tcW w:w="1400" w:type="dxa"/>
            <w:tcBorders>
              <w:top w:val="nil"/>
            </w:tcBorders>
            <w:shd w:val="clear" w:color="auto" w:fill="auto"/>
            <w:vAlign w:val="center"/>
          </w:tcPr>
          <w:p w14:paraId="671E6879" w14:textId="77777777" w:rsidR="00375569" w:rsidRPr="00890AEB" w:rsidRDefault="00375569" w:rsidP="00077CB2">
            <w:pPr>
              <w:pStyle w:val="08-Tabelageral"/>
            </w:pPr>
          </w:p>
        </w:tc>
        <w:tc>
          <w:tcPr>
            <w:tcW w:w="282" w:type="dxa"/>
            <w:gridSpan w:val="2"/>
            <w:tcBorders>
              <w:top w:val="nil"/>
            </w:tcBorders>
            <w:shd w:val="clear" w:color="auto" w:fill="auto"/>
            <w:vAlign w:val="center"/>
          </w:tcPr>
          <w:p w14:paraId="149AEA17" w14:textId="77777777" w:rsidR="00375569" w:rsidRPr="00A47279" w:rsidRDefault="00375569" w:rsidP="00077CB2">
            <w:pPr>
              <w:pStyle w:val="08-Tabelageral"/>
            </w:pPr>
          </w:p>
        </w:tc>
        <w:tc>
          <w:tcPr>
            <w:tcW w:w="1404" w:type="dxa"/>
            <w:tcBorders>
              <w:top w:val="nil"/>
            </w:tcBorders>
            <w:shd w:val="clear" w:color="auto" w:fill="auto"/>
          </w:tcPr>
          <w:p w14:paraId="1613242A" w14:textId="77777777" w:rsidR="00375569" w:rsidRPr="007F1951" w:rsidRDefault="00375569" w:rsidP="00077CB2">
            <w:pPr>
              <w:pStyle w:val="08-Tabelageral"/>
            </w:pPr>
            <w:r w:rsidRPr="004D5040">
              <w:t>(60.556)</w:t>
            </w:r>
          </w:p>
        </w:tc>
        <w:tc>
          <w:tcPr>
            <w:tcW w:w="1511" w:type="dxa"/>
            <w:tcBorders>
              <w:top w:val="nil"/>
            </w:tcBorders>
            <w:shd w:val="clear" w:color="auto" w:fill="auto"/>
          </w:tcPr>
          <w:p w14:paraId="775F0E62" w14:textId="77777777" w:rsidR="00375569" w:rsidRPr="007F1951" w:rsidRDefault="00375569" w:rsidP="00077CB2">
            <w:pPr>
              <w:pStyle w:val="08-Tabelageral"/>
            </w:pPr>
            <w:r w:rsidRPr="004074E5">
              <w:t>(68.764)</w:t>
            </w:r>
          </w:p>
        </w:tc>
      </w:tr>
      <w:tr w:rsidR="00375569" w:rsidRPr="00A47279" w14:paraId="08929E46" w14:textId="77777777" w:rsidTr="006870A6">
        <w:trPr>
          <w:trHeight w:val="238"/>
          <w:jc w:val="center"/>
        </w:trPr>
        <w:tc>
          <w:tcPr>
            <w:tcW w:w="3050" w:type="dxa"/>
            <w:gridSpan w:val="2"/>
            <w:tcBorders>
              <w:bottom w:val="nil"/>
            </w:tcBorders>
            <w:shd w:val="clear" w:color="auto" w:fill="auto"/>
          </w:tcPr>
          <w:p w14:paraId="6A9F10D3" w14:textId="77777777" w:rsidR="00375569" w:rsidRPr="00A47279" w:rsidRDefault="00375569" w:rsidP="00077CB2">
            <w:pPr>
              <w:pStyle w:val="08-Tabelageral"/>
              <w:jc w:val="left"/>
              <w:rPr>
                <w:rFonts w:cs="Arial"/>
                <w:szCs w:val="14"/>
              </w:rPr>
            </w:pPr>
            <w:r w:rsidRPr="00A47279">
              <w:rPr>
                <w:rFonts w:cs="Arial"/>
                <w:szCs w:val="14"/>
              </w:rPr>
              <w:t>Custo processamento de dados</w:t>
            </w:r>
          </w:p>
        </w:tc>
        <w:tc>
          <w:tcPr>
            <w:tcW w:w="595" w:type="dxa"/>
            <w:tcBorders>
              <w:bottom w:val="nil"/>
            </w:tcBorders>
            <w:shd w:val="clear" w:color="auto" w:fill="auto"/>
          </w:tcPr>
          <w:p w14:paraId="73554D82" w14:textId="77777777" w:rsidR="00375569" w:rsidRPr="00890AEB" w:rsidRDefault="00375569" w:rsidP="00077CB2">
            <w:pPr>
              <w:pStyle w:val="08-Tabelageral"/>
              <w:rPr>
                <w:rFonts w:cs="Arial"/>
                <w:bCs/>
                <w:szCs w:val="14"/>
              </w:rPr>
            </w:pPr>
          </w:p>
        </w:tc>
        <w:tc>
          <w:tcPr>
            <w:tcW w:w="1397" w:type="dxa"/>
            <w:gridSpan w:val="2"/>
            <w:tcBorders>
              <w:bottom w:val="nil"/>
            </w:tcBorders>
            <w:shd w:val="clear" w:color="auto" w:fill="auto"/>
            <w:vAlign w:val="center"/>
          </w:tcPr>
          <w:p w14:paraId="2A8B72C8" w14:textId="77777777" w:rsidR="00375569" w:rsidRPr="00890AEB" w:rsidRDefault="00375569" w:rsidP="00077CB2">
            <w:pPr>
              <w:pStyle w:val="08-Tabelageral"/>
            </w:pPr>
          </w:p>
        </w:tc>
        <w:tc>
          <w:tcPr>
            <w:tcW w:w="1400" w:type="dxa"/>
            <w:tcBorders>
              <w:bottom w:val="nil"/>
            </w:tcBorders>
            <w:shd w:val="clear" w:color="auto" w:fill="auto"/>
            <w:vAlign w:val="center"/>
          </w:tcPr>
          <w:p w14:paraId="42BF348E" w14:textId="77777777" w:rsidR="00375569" w:rsidRPr="00890AEB" w:rsidRDefault="00375569" w:rsidP="00077CB2">
            <w:pPr>
              <w:pStyle w:val="08-Tabelageral"/>
            </w:pPr>
          </w:p>
        </w:tc>
        <w:tc>
          <w:tcPr>
            <w:tcW w:w="282" w:type="dxa"/>
            <w:gridSpan w:val="2"/>
            <w:tcBorders>
              <w:bottom w:val="nil"/>
            </w:tcBorders>
            <w:shd w:val="clear" w:color="auto" w:fill="auto"/>
            <w:vAlign w:val="center"/>
          </w:tcPr>
          <w:p w14:paraId="3C4FF385" w14:textId="77777777" w:rsidR="00375569" w:rsidRPr="00A47279" w:rsidRDefault="00375569" w:rsidP="00077CB2">
            <w:pPr>
              <w:pStyle w:val="08-Tabelageral"/>
            </w:pPr>
          </w:p>
        </w:tc>
        <w:tc>
          <w:tcPr>
            <w:tcW w:w="1404" w:type="dxa"/>
            <w:tcBorders>
              <w:bottom w:val="nil"/>
            </w:tcBorders>
            <w:shd w:val="clear" w:color="auto" w:fill="auto"/>
          </w:tcPr>
          <w:p w14:paraId="623DF72D" w14:textId="77777777" w:rsidR="00375569" w:rsidRPr="007F1951" w:rsidRDefault="00375569" w:rsidP="00077CB2">
            <w:pPr>
              <w:pStyle w:val="08-Tabelageral"/>
            </w:pPr>
            <w:r w:rsidRPr="004D5040">
              <w:t>(15.289)</w:t>
            </w:r>
          </w:p>
        </w:tc>
        <w:tc>
          <w:tcPr>
            <w:tcW w:w="1511" w:type="dxa"/>
            <w:tcBorders>
              <w:bottom w:val="nil"/>
            </w:tcBorders>
            <w:shd w:val="clear" w:color="auto" w:fill="auto"/>
          </w:tcPr>
          <w:p w14:paraId="7E406C95" w14:textId="77777777" w:rsidR="00375569" w:rsidRPr="007F1951" w:rsidRDefault="00375569" w:rsidP="00077CB2">
            <w:pPr>
              <w:pStyle w:val="08-Tabelageral"/>
            </w:pPr>
            <w:r w:rsidRPr="004074E5">
              <w:t>(19.252)</w:t>
            </w:r>
          </w:p>
        </w:tc>
      </w:tr>
      <w:tr w:rsidR="00375569" w:rsidRPr="00077CB2" w14:paraId="731AE533" w14:textId="77777777" w:rsidTr="006870A6">
        <w:trPr>
          <w:trHeight w:val="238"/>
          <w:jc w:val="center"/>
        </w:trPr>
        <w:tc>
          <w:tcPr>
            <w:tcW w:w="3050" w:type="dxa"/>
            <w:gridSpan w:val="2"/>
            <w:tcBorders>
              <w:top w:val="nil"/>
              <w:bottom w:val="single" w:sz="2" w:space="0" w:color="1F4E79" w:themeColor="accent1" w:themeShade="80"/>
            </w:tcBorders>
            <w:shd w:val="clear" w:color="auto" w:fill="auto"/>
          </w:tcPr>
          <w:p w14:paraId="7BCE8691" w14:textId="77777777" w:rsidR="00375569" w:rsidRPr="00077CB2" w:rsidRDefault="00375569" w:rsidP="00077CB2">
            <w:pPr>
              <w:keepNext/>
              <w:keepLines/>
              <w:spacing w:before="40" w:after="40"/>
              <w:rPr>
                <w:rFonts w:cs="Arial"/>
                <w:b/>
                <w:spacing w:val="-2"/>
                <w:sz w:val="14"/>
                <w:szCs w:val="14"/>
              </w:rPr>
            </w:pPr>
            <w:r w:rsidRPr="00077CB2">
              <w:rPr>
                <w:rFonts w:cs="Arial"/>
                <w:b/>
                <w:spacing w:val="-2"/>
                <w:sz w:val="14"/>
                <w:szCs w:val="14"/>
              </w:rPr>
              <w:t>Total</w:t>
            </w:r>
          </w:p>
        </w:tc>
        <w:tc>
          <w:tcPr>
            <w:tcW w:w="595" w:type="dxa"/>
            <w:tcBorders>
              <w:top w:val="nil"/>
              <w:bottom w:val="single" w:sz="2" w:space="0" w:color="1F4E79" w:themeColor="accent1" w:themeShade="80"/>
            </w:tcBorders>
            <w:shd w:val="clear" w:color="auto" w:fill="auto"/>
          </w:tcPr>
          <w:p w14:paraId="3D0D7026" w14:textId="77777777" w:rsidR="00375569" w:rsidRPr="00077CB2" w:rsidRDefault="00375569" w:rsidP="00077CB2">
            <w:pPr>
              <w:keepNext/>
              <w:keepLines/>
              <w:spacing w:before="40" w:after="40"/>
              <w:jc w:val="right"/>
              <w:rPr>
                <w:rFonts w:cs="Arial"/>
                <w:b/>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479424DE" w14:textId="77777777" w:rsidR="00375569" w:rsidRPr="00077CB2" w:rsidRDefault="00375569" w:rsidP="00077CB2">
            <w:pPr>
              <w:pStyle w:val="08-Tabelageral"/>
              <w:rPr>
                <w:b/>
              </w:rPr>
            </w:pPr>
          </w:p>
        </w:tc>
        <w:tc>
          <w:tcPr>
            <w:tcW w:w="1400" w:type="dxa"/>
            <w:tcBorders>
              <w:top w:val="nil"/>
              <w:bottom w:val="single" w:sz="2" w:space="0" w:color="1F4E79" w:themeColor="accent1" w:themeShade="80"/>
            </w:tcBorders>
            <w:shd w:val="clear" w:color="auto" w:fill="auto"/>
            <w:vAlign w:val="center"/>
          </w:tcPr>
          <w:p w14:paraId="195721EE" w14:textId="77777777" w:rsidR="00375569" w:rsidRPr="00077CB2" w:rsidRDefault="00375569" w:rsidP="00077CB2">
            <w:pPr>
              <w:pStyle w:val="08-Tabelageral"/>
              <w:rPr>
                <w:b/>
              </w:rPr>
            </w:pPr>
          </w:p>
        </w:tc>
        <w:tc>
          <w:tcPr>
            <w:tcW w:w="282" w:type="dxa"/>
            <w:gridSpan w:val="2"/>
            <w:tcBorders>
              <w:top w:val="nil"/>
              <w:bottom w:val="single" w:sz="2" w:space="0" w:color="1F4E79" w:themeColor="accent1" w:themeShade="80"/>
            </w:tcBorders>
            <w:shd w:val="clear" w:color="auto" w:fill="auto"/>
            <w:vAlign w:val="center"/>
          </w:tcPr>
          <w:p w14:paraId="3EBD73AA" w14:textId="77777777" w:rsidR="00375569" w:rsidRPr="00077CB2" w:rsidRDefault="00375569" w:rsidP="00077CB2">
            <w:pPr>
              <w:pStyle w:val="08-Tabelageral"/>
              <w:rPr>
                <w:b/>
              </w:rPr>
            </w:pPr>
          </w:p>
        </w:tc>
        <w:tc>
          <w:tcPr>
            <w:tcW w:w="1404" w:type="dxa"/>
            <w:tcBorders>
              <w:top w:val="nil"/>
              <w:bottom w:val="single" w:sz="2" w:space="0" w:color="1F4E79" w:themeColor="accent1" w:themeShade="80"/>
            </w:tcBorders>
            <w:shd w:val="clear" w:color="auto" w:fill="auto"/>
          </w:tcPr>
          <w:p w14:paraId="050B1030" w14:textId="77777777" w:rsidR="00375569" w:rsidRPr="00077CB2" w:rsidRDefault="00375569" w:rsidP="00077CB2">
            <w:pPr>
              <w:pStyle w:val="08-Tabelageral"/>
              <w:rPr>
                <w:b/>
              </w:rPr>
            </w:pPr>
            <w:r w:rsidRPr="00077CB2">
              <w:rPr>
                <w:b/>
              </w:rPr>
              <w:t>(193.830)</w:t>
            </w:r>
          </w:p>
        </w:tc>
        <w:tc>
          <w:tcPr>
            <w:tcW w:w="1511" w:type="dxa"/>
            <w:tcBorders>
              <w:top w:val="nil"/>
              <w:bottom w:val="single" w:sz="2" w:space="0" w:color="1F4E79" w:themeColor="accent1" w:themeShade="80"/>
            </w:tcBorders>
            <w:shd w:val="clear" w:color="auto" w:fill="auto"/>
          </w:tcPr>
          <w:p w14:paraId="1478A33C" w14:textId="77777777" w:rsidR="00375569" w:rsidRPr="00077CB2" w:rsidRDefault="00375569" w:rsidP="00077CB2">
            <w:pPr>
              <w:pStyle w:val="08-Tabelageral"/>
              <w:rPr>
                <w:b/>
              </w:rPr>
            </w:pPr>
            <w:r w:rsidRPr="00077CB2">
              <w:rPr>
                <w:b/>
              </w:rPr>
              <w:t>(176.868)</w:t>
            </w:r>
          </w:p>
        </w:tc>
      </w:tr>
    </w:tbl>
    <w:p w14:paraId="69D7BC67" w14:textId="5C81AE3C" w:rsidR="00375569" w:rsidRDefault="00375569" w:rsidP="00C973AC">
      <w:pPr>
        <w:pStyle w:val="05-Textonormal"/>
      </w:pPr>
      <w:r w:rsidRPr="00D4687F">
        <w:t>Não há custos de serviços prestados no Controlador.</w:t>
      </w:r>
    </w:p>
    <w:p w14:paraId="760614E7" w14:textId="77777777" w:rsidR="00725333" w:rsidRPr="00D4687F" w:rsidRDefault="00725333" w:rsidP="00C973AC">
      <w:pPr>
        <w:pStyle w:val="05-Textonormal"/>
        <w:rPr>
          <w:b/>
        </w:rPr>
      </w:pPr>
    </w:p>
    <w:p w14:paraId="7B8FEA42" w14:textId="7B6EE8F1" w:rsidR="00375569" w:rsidRPr="00725333" w:rsidRDefault="00375569" w:rsidP="00725333">
      <w:pPr>
        <w:pStyle w:val="02-TtulodeNota"/>
        <w:rPr>
          <w:color w:val="1F4E79" w:themeColor="accent1" w:themeShade="80"/>
        </w:rPr>
      </w:pPr>
      <w:bookmarkStart w:id="77" w:name="OLE_LINK22"/>
      <w:bookmarkStart w:id="78" w:name="_Toc94861068"/>
      <w:bookmarkEnd w:id="75"/>
      <w:r w:rsidRPr="00725333">
        <w:rPr>
          <w:color w:val="1F4E79" w:themeColor="accent1" w:themeShade="80"/>
        </w:rPr>
        <w:t>10 – DESPESAS COM PESSOAL</w:t>
      </w:r>
      <w:bookmarkEnd w:id="78"/>
    </w:p>
    <w:p w14:paraId="5B1ADC70" w14:textId="77777777" w:rsidR="00375569" w:rsidRPr="00AE4157" w:rsidRDefault="00375569" w:rsidP="0043555A">
      <w:pPr>
        <w:pStyle w:val="01-TtulodeNota"/>
        <w:spacing w:before="0" w:after="0"/>
        <w:jc w:val="right"/>
        <w:rPr>
          <w:sz w:val="14"/>
          <w:szCs w:val="14"/>
        </w:rPr>
      </w:pPr>
      <w:bookmarkStart w:id="79" w:name="_Hlk75860663"/>
      <w:r w:rsidRPr="00AE4157">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375569" w:rsidRPr="00BA54A5" w14:paraId="723B9190" w14:textId="77777777" w:rsidTr="00E02BFB">
        <w:trPr>
          <w:trHeight w:val="238"/>
          <w:jc w:val="center"/>
        </w:trPr>
        <w:tc>
          <w:tcPr>
            <w:tcW w:w="850" w:type="dxa"/>
            <w:tcBorders>
              <w:top w:val="single" w:sz="2" w:space="0" w:color="1F4E79" w:themeColor="accent1" w:themeShade="80"/>
              <w:bottom w:val="nil"/>
            </w:tcBorders>
            <w:shd w:val="clear" w:color="auto" w:fill="auto"/>
          </w:tcPr>
          <w:p w14:paraId="30879545" w14:textId="77777777" w:rsidR="00375569" w:rsidRPr="00BA54A5" w:rsidRDefault="00375569" w:rsidP="00033601">
            <w:pPr>
              <w:keepNext/>
              <w:keepLines/>
              <w:spacing w:before="40" w:after="40"/>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5C765713" w14:textId="77777777" w:rsidR="00375569" w:rsidRPr="00BA54A5" w:rsidRDefault="00375569" w:rsidP="00033601">
            <w:pPr>
              <w:keepNext/>
              <w:keepLines/>
              <w:spacing w:before="40" w:after="40"/>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2F75A08" w14:textId="77777777" w:rsidR="00375569" w:rsidRPr="00BA54A5" w:rsidRDefault="00375569" w:rsidP="00BA54A5">
            <w:pPr>
              <w:keepNext/>
              <w:keepLines/>
              <w:spacing w:before="40" w:after="40"/>
              <w:jc w:val="center"/>
              <w:rPr>
                <w:rFonts w:cs="Arial"/>
                <w:b/>
                <w:spacing w:val="-2"/>
                <w:sz w:val="14"/>
                <w:szCs w:val="14"/>
              </w:rPr>
            </w:pPr>
            <w:r w:rsidRPr="00BA54A5">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2645AE7D" w14:textId="77777777" w:rsidR="00375569" w:rsidRPr="00BA54A5" w:rsidRDefault="00375569" w:rsidP="00BA54A5">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A43B31F" w14:textId="77777777" w:rsidR="00375569" w:rsidRPr="00BA54A5" w:rsidRDefault="00375569" w:rsidP="00BA54A5">
            <w:pPr>
              <w:keepNext/>
              <w:keepLines/>
              <w:spacing w:before="40" w:after="40"/>
              <w:jc w:val="center"/>
              <w:rPr>
                <w:rFonts w:cs="Arial"/>
                <w:b/>
                <w:spacing w:val="-2"/>
                <w:sz w:val="14"/>
                <w:szCs w:val="14"/>
              </w:rPr>
            </w:pPr>
            <w:r w:rsidRPr="00BA54A5">
              <w:rPr>
                <w:rFonts w:cs="Arial"/>
                <w:b/>
                <w:spacing w:val="-2"/>
                <w:sz w:val="14"/>
                <w:szCs w:val="14"/>
              </w:rPr>
              <w:t>Consolidado</w:t>
            </w:r>
          </w:p>
        </w:tc>
      </w:tr>
      <w:tr w:rsidR="00375569" w:rsidRPr="00BA54A5" w14:paraId="79D8100D" w14:textId="77777777" w:rsidTr="00E02BFB">
        <w:trPr>
          <w:trHeight w:val="238"/>
          <w:jc w:val="center"/>
        </w:trPr>
        <w:tc>
          <w:tcPr>
            <w:tcW w:w="3094" w:type="dxa"/>
            <w:gridSpan w:val="2"/>
            <w:tcBorders>
              <w:top w:val="nil"/>
              <w:bottom w:val="single" w:sz="2" w:space="0" w:color="1F4E79" w:themeColor="accent1" w:themeShade="80"/>
            </w:tcBorders>
            <w:shd w:val="clear" w:color="auto" w:fill="auto"/>
          </w:tcPr>
          <w:p w14:paraId="724C3154" w14:textId="77777777" w:rsidR="00375569" w:rsidRPr="00BA54A5" w:rsidRDefault="00375569" w:rsidP="00412C73">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700D52A2" w14:textId="77777777" w:rsidR="00375569" w:rsidRPr="00BA54A5" w:rsidRDefault="00375569" w:rsidP="00412C73">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A27F914" w14:textId="77777777" w:rsidR="00375569" w:rsidRPr="00BA54A5" w:rsidRDefault="00375569" w:rsidP="00412C73">
            <w:pPr>
              <w:keepNext/>
              <w:keepLines/>
              <w:spacing w:before="40" w:after="40"/>
              <w:jc w:val="right"/>
              <w:rPr>
                <w:rFonts w:cs="Arial"/>
                <w:b/>
                <w:spacing w:val="-2"/>
                <w:sz w:val="14"/>
                <w:szCs w:val="14"/>
              </w:rPr>
            </w:pPr>
            <w:r>
              <w:rPr>
                <w:rFonts w:cs="Arial"/>
                <w:b/>
                <w:spacing w:val="-2"/>
                <w:sz w:val="14"/>
                <w:szCs w:val="14"/>
              </w:rPr>
              <w:t>Exercício 2021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A8B4137" w14:textId="77777777" w:rsidR="00375569" w:rsidRPr="00BA54A5" w:rsidRDefault="00375569" w:rsidP="00412C73">
            <w:pPr>
              <w:keepNext/>
              <w:keepLines/>
              <w:spacing w:before="40" w:after="40"/>
              <w:jc w:val="right"/>
              <w:rPr>
                <w:rFonts w:cs="Arial"/>
                <w:b/>
                <w:spacing w:val="-2"/>
                <w:sz w:val="14"/>
                <w:szCs w:val="14"/>
              </w:rPr>
            </w:pPr>
            <w:r>
              <w:rPr>
                <w:rFonts w:cs="Arial"/>
                <w:b/>
                <w:spacing w:val="-2"/>
                <w:sz w:val="14"/>
                <w:szCs w:val="14"/>
              </w:rPr>
              <w:t>Exercício 2020</w:t>
            </w:r>
          </w:p>
        </w:tc>
        <w:tc>
          <w:tcPr>
            <w:tcW w:w="283" w:type="dxa"/>
            <w:tcBorders>
              <w:top w:val="nil"/>
              <w:bottom w:val="single" w:sz="2" w:space="0" w:color="1F4E79" w:themeColor="accent1" w:themeShade="80"/>
            </w:tcBorders>
            <w:shd w:val="clear" w:color="auto" w:fill="auto"/>
            <w:vAlign w:val="center"/>
          </w:tcPr>
          <w:p w14:paraId="4B51C9B9" w14:textId="77777777" w:rsidR="00375569" w:rsidRPr="00BA54A5" w:rsidRDefault="00375569" w:rsidP="00412C73">
            <w:pPr>
              <w:keepNext/>
              <w:keepLines/>
              <w:spacing w:before="40" w:after="40"/>
              <w:jc w:val="right"/>
              <w:rPr>
                <w:rFonts w:cs="Arial"/>
                <w:b/>
                <w:spacing w:val="-2"/>
                <w:sz w:val="14"/>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BB4AA08" w14:textId="77777777" w:rsidR="00375569" w:rsidRPr="00BA54A5" w:rsidRDefault="00375569" w:rsidP="00412C73">
            <w:pPr>
              <w:keepNext/>
              <w:keepLines/>
              <w:spacing w:before="40" w:after="40"/>
              <w:jc w:val="right"/>
              <w:rPr>
                <w:rFonts w:cs="Arial"/>
                <w:b/>
                <w:spacing w:val="-2"/>
                <w:sz w:val="14"/>
                <w:szCs w:val="14"/>
              </w:rPr>
            </w:pPr>
            <w:r>
              <w:rPr>
                <w:rFonts w:cs="Arial"/>
                <w:b/>
                <w:spacing w:val="-2"/>
                <w:sz w:val="14"/>
                <w:szCs w:val="14"/>
              </w:rPr>
              <w:t>Exercício 2021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CEBB6FD" w14:textId="77777777" w:rsidR="00375569" w:rsidRPr="00BA54A5" w:rsidRDefault="00375569" w:rsidP="00412C73">
            <w:pPr>
              <w:keepNext/>
              <w:keepLines/>
              <w:spacing w:before="40" w:after="40"/>
              <w:jc w:val="right"/>
              <w:rPr>
                <w:rFonts w:cs="Arial"/>
                <w:b/>
                <w:spacing w:val="-2"/>
                <w:sz w:val="14"/>
                <w:szCs w:val="14"/>
              </w:rPr>
            </w:pPr>
            <w:r>
              <w:rPr>
                <w:rFonts w:cs="Arial"/>
                <w:b/>
                <w:spacing w:val="-2"/>
                <w:sz w:val="14"/>
                <w:szCs w:val="14"/>
              </w:rPr>
              <w:t>Exercício 2020</w:t>
            </w:r>
          </w:p>
        </w:tc>
      </w:tr>
      <w:tr w:rsidR="00375569" w:rsidRPr="00BA54A5" w14:paraId="3E1D971C" w14:textId="77777777" w:rsidTr="00082994">
        <w:trPr>
          <w:trHeight w:val="238"/>
          <w:jc w:val="center"/>
        </w:trPr>
        <w:tc>
          <w:tcPr>
            <w:tcW w:w="3094" w:type="dxa"/>
            <w:gridSpan w:val="2"/>
            <w:tcBorders>
              <w:top w:val="single" w:sz="2" w:space="0" w:color="1F4E79" w:themeColor="accent1" w:themeShade="80"/>
              <w:bottom w:val="nil"/>
            </w:tcBorders>
            <w:shd w:val="clear" w:color="auto" w:fill="auto"/>
          </w:tcPr>
          <w:p w14:paraId="70ECC492" w14:textId="77777777" w:rsidR="00375569" w:rsidRPr="00BA54A5" w:rsidRDefault="00375569" w:rsidP="009F0039">
            <w:pPr>
              <w:pStyle w:val="08-Tabelageral"/>
              <w:jc w:val="left"/>
              <w:rPr>
                <w:rFonts w:cs="Arial"/>
                <w:szCs w:val="14"/>
              </w:rPr>
            </w:pPr>
            <w:r w:rsidRPr="00BA54A5">
              <w:rPr>
                <w:rFonts w:cs="Arial"/>
                <w:szCs w:val="14"/>
              </w:rPr>
              <w:t xml:space="preserve">Proventos </w:t>
            </w:r>
          </w:p>
        </w:tc>
        <w:tc>
          <w:tcPr>
            <w:tcW w:w="604" w:type="dxa"/>
            <w:tcBorders>
              <w:top w:val="single" w:sz="2" w:space="0" w:color="1F4E79" w:themeColor="accent1" w:themeShade="80"/>
              <w:bottom w:val="nil"/>
            </w:tcBorders>
            <w:shd w:val="clear" w:color="auto" w:fill="auto"/>
          </w:tcPr>
          <w:p w14:paraId="463E0D00" w14:textId="77777777" w:rsidR="00375569" w:rsidRPr="00BA54A5" w:rsidRDefault="00375569" w:rsidP="009F0039">
            <w:pPr>
              <w:pStyle w:val="08-Tabelageral"/>
              <w:jc w:val="left"/>
              <w:rPr>
                <w:rFonts w:cs="Arial"/>
                <w:szCs w:val="14"/>
              </w:rPr>
            </w:pPr>
          </w:p>
        </w:tc>
        <w:tc>
          <w:tcPr>
            <w:tcW w:w="1411" w:type="dxa"/>
            <w:tcBorders>
              <w:top w:val="single" w:sz="2" w:space="0" w:color="1F4E79" w:themeColor="accent1" w:themeShade="80"/>
              <w:bottom w:val="nil"/>
            </w:tcBorders>
            <w:shd w:val="clear" w:color="auto" w:fill="auto"/>
          </w:tcPr>
          <w:p w14:paraId="55858B7F" w14:textId="77777777" w:rsidR="00375569" w:rsidRPr="0083704A" w:rsidRDefault="00375569" w:rsidP="009F0039">
            <w:pPr>
              <w:pStyle w:val="08-Tabelageral"/>
            </w:pPr>
            <w:r w:rsidRPr="000925DE">
              <w:t>(6.436)</w:t>
            </w:r>
          </w:p>
        </w:tc>
        <w:tc>
          <w:tcPr>
            <w:tcW w:w="1412" w:type="dxa"/>
            <w:tcBorders>
              <w:top w:val="single" w:sz="2" w:space="0" w:color="1F4E79" w:themeColor="accent1" w:themeShade="80"/>
              <w:bottom w:val="nil"/>
            </w:tcBorders>
            <w:shd w:val="clear" w:color="auto" w:fill="auto"/>
          </w:tcPr>
          <w:p w14:paraId="7F456073" w14:textId="77777777" w:rsidR="00375569" w:rsidRPr="0024716F" w:rsidRDefault="00375569" w:rsidP="009F0039">
            <w:pPr>
              <w:pStyle w:val="08-Tabelageral"/>
            </w:pPr>
            <w:r w:rsidRPr="00843930">
              <w:t>(6.128)</w:t>
            </w:r>
          </w:p>
        </w:tc>
        <w:tc>
          <w:tcPr>
            <w:tcW w:w="283" w:type="dxa"/>
            <w:tcBorders>
              <w:top w:val="single" w:sz="2" w:space="0" w:color="1F4E79" w:themeColor="accent1" w:themeShade="80"/>
              <w:bottom w:val="nil"/>
            </w:tcBorders>
            <w:shd w:val="clear" w:color="auto" w:fill="auto"/>
            <w:vAlign w:val="center"/>
          </w:tcPr>
          <w:p w14:paraId="23920966" w14:textId="77777777" w:rsidR="00375569" w:rsidRPr="0024716F" w:rsidRDefault="00375569" w:rsidP="009F0039">
            <w:pPr>
              <w:pStyle w:val="08-Tabelageral"/>
            </w:pPr>
          </w:p>
        </w:tc>
        <w:tc>
          <w:tcPr>
            <w:tcW w:w="1417" w:type="dxa"/>
            <w:tcBorders>
              <w:top w:val="single" w:sz="2" w:space="0" w:color="1F4E79" w:themeColor="accent1" w:themeShade="80"/>
              <w:bottom w:val="nil"/>
            </w:tcBorders>
            <w:shd w:val="clear" w:color="auto" w:fill="auto"/>
          </w:tcPr>
          <w:p w14:paraId="347F5E01" w14:textId="77777777" w:rsidR="00375569" w:rsidRDefault="00375569" w:rsidP="009F0039">
            <w:pPr>
              <w:pStyle w:val="08-Tabelageral"/>
            </w:pPr>
            <w:r w:rsidRPr="00B97E40">
              <w:t>(36.138)</w:t>
            </w:r>
          </w:p>
        </w:tc>
        <w:tc>
          <w:tcPr>
            <w:tcW w:w="1418" w:type="dxa"/>
            <w:tcBorders>
              <w:top w:val="single" w:sz="2" w:space="0" w:color="1F4E79" w:themeColor="accent1" w:themeShade="80"/>
              <w:bottom w:val="nil"/>
            </w:tcBorders>
            <w:shd w:val="clear" w:color="auto" w:fill="auto"/>
          </w:tcPr>
          <w:p w14:paraId="15461EF0" w14:textId="77777777" w:rsidR="00375569" w:rsidRPr="0024716F" w:rsidRDefault="00375569" w:rsidP="009F0039">
            <w:pPr>
              <w:pStyle w:val="08-Tabelageral"/>
            </w:pPr>
            <w:r w:rsidRPr="00D6525A">
              <w:t>(36.328)</w:t>
            </w:r>
          </w:p>
        </w:tc>
      </w:tr>
      <w:tr w:rsidR="00375569" w:rsidRPr="00BA54A5" w14:paraId="044DB229" w14:textId="77777777" w:rsidTr="00082994">
        <w:trPr>
          <w:trHeight w:val="238"/>
          <w:jc w:val="center"/>
        </w:trPr>
        <w:tc>
          <w:tcPr>
            <w:tcW w:w="3094" w:type="dxa"/>
            <w:gridSpan w:val="2"/>
            <w:tcBorders>
              <w:top w:val="nil"/>
            </w:tcBorders>
            <w:shd w:val="clear" w:color="auto" w:fill="auto"/>
          </w:tcPr>
          <w:p w14:paraId="103AD050" w14:textId="77777777" w:rsidR="00375569" w:rsidRPr="00BA54A5" w:rsidRDefault="00375569" w:rsidP="009F0039">
            <w:pPr>
              <w:pStyle w:val="08-Tabelageral"/>
              <w:jc w:val="left"/>
              <w:rPr>
                <w:rFonts w:cs="Arial"/>
                <w:szCs w:val="14"/>
              </w:rPr>
            </w:pPr>
            <w:r w:rsidRPr="00BA54A5">
              <w:rPr>
                <w:rFonts w:cs="Arial"/>
                <w:szCs w:val="14"/>
              </w:rPr>
              <w:t>Encargos sociais</w:t>
            </w:r>
          </w:p>
        </w:tc>
        <w:tc>
          <w:tcPr>
            <w:tcW w:w="604" w:type="dxa"/>
            <w:tcBorders>
              <w:top w:val="nil"/>
            </w:tcBorders>
            <w:shd w:val="clear" w:color="auto" w:fill="auto"/>
          </w:tcPr>
          <w:p w14:paraId="3B5636F3" w14:textId="77777777" w:rsidR="00375569" w:rsidRPr="00BA54A5" w:rsidRDefault="00375569" w:rsidP="009F0039">
            <w:pPr>
              <w:pStyle w:val="08-Tabelageral"/>
              <w:jc w:val="left"/>
              <w:rPr>
                <w:rFonts w:cs="Arial"/>
                <w:szCs w:val="14"/>
              </w:rPr>
            </w:pPr>
          </w:p>
        </w:tc>
        <w:tc>
          <w:tcPr>
            <w:tcW w:w="1411" w:type="dxa"/>
            <w:tcBorders>
              <w:top w:val="nil"/>
            </w:tcBorders>
            <w:shd w:val="clear" w:color="auto" w:fill="auto"/>
          </w:tcPr>
          <w:p w14:paraId="7586D05B" w14:textId="77777777" w:rsidR="00375569" w:rsidRPr="0083704A" w:rsidRDefault="00375569" w:rsidP="009F0039">
            <w:pPr>
              <w:pStyle w:val="08-Tabelageral"/>
            </w:pPr>
            <w:r w:rsidRPr="000925DE">
              <w:t>(3.236)</w:t>
            </w:r>
          </w:p>
        </w:tc>
        <w:tc>
          <w:tcPr>
            <w:tcW w:w="1412" w:type="dxa"/>
            <w:tcBorders>
              <w:top w:val="nil"/>
            </w:tcBorders>
            <w:shd w:val="clear" w:color="auto" w:fill="auto"/>
          </w:tcPr>
          <w:p w14:paraId="4FF42938" w14:textId="77777777" w:rsidR="00375569" w:rsidRPr="0024716F" w:rsidRDefault="00375569" w:rsidP="009F0039">
            <w:pPr>
              <w:pStyle w:val="08-Tabelageral"/>
            </w:pPr>
            <w:r w:rsidRPr="00843930">
              <w:t>(3.109)</w:t>
            </w:r>
          </w:p>
        </w:tc>
        <w:tc>
          <w:tcPr>
            <w:tcW w:w="283" w:type="dxa"/>
            <w:tcBorders>
              <w:top w:val="nil"/>
            </w:tcBorders>
            <w:shd w:val="clear" w:color="auto" w:fill="auto"/>
            <w:vAlign w:val="center"/>
          </w:tcPr>
          <w:p w14:paraId="64DE346A" w14:textId="77777777" w:rsidR="00375569" w:rsidRPr="0024716F" w:rsidRDefault="00375569" w:rsidP="009F0039">
            <w:pPr>
              <w:pStyle w:val="08-Tabelageral"/>
            </w:pPr>
          </w:p>
        </w:tc>
        <w:tc>
          <w:tcPr>
            <w:tcW w:w="1417" w:type="dxa"/>
            <w:tcBorders>
              <w:top w:val="nil"/>
            </w:tcBorders>
            <w:shd w:val="clear" w:color="auto" w:fill="auto"/>
          </w:tcPr>
          <w:p w14:paraId="3B8DB600" w14:textId="77777777" w:rsidR="00375569" w:rsidRDefault="00375569" w:rsidP="009F0039">
            <w:pPr>
              <w:pStyle w:val="08-Tabelageral"/>
            </w:pPr>
            <w:r w:rsidRPr="00B97E40">
              <w:t>(17.133)</w:t>
            </w:r>
          </w:p>
        </w:tc>
        <w:tc>
          <w:tcPr>
            <w:tcW w:w="1418" w:type="dxa"/>
            <w:tcBorders>
              <w:top w:val="nil"/>
            </w:tcBorders>
            <w:shd w:val="clear" w:color="auto" w:fill="auto"/>
          </w:tcPr>
          <w:p w14:paraId="468C02A1" w14:textId="77777777" w:rsidR="00375569" w:rsidRPr="0024716F" w:rsidRDefault="00375569" w:rsidP="009F0039">
            <w:pPr>
              <w:pStyle w:val="08-Tabelageral"/>
            </w:pPr>
            <w:r w:rsidRPr="00D6525A">
              <w:t>(17.325)</w:t>
            </w:r>
          </w:p>
        </w:tc>
      </w:tr>
      <w:tr w:rsidR="00375569" w:rsidRPr="00BA54A5" w14:paraId="4DBE051D" w14:textId="77777777" w:rsidTr="00082994">
        <w:trPr>
          <w:trHeight w:val="238"/>
          <w:jc w:val="center"/>
        </w:trPr>
        <w:tc>
          <w:tcPr>
            <w:tcW w:w="3094" w:type="dxa"/>
            <w:gridSpan w:val="2"/>
            <w:shd w:val="clear" w:color="auto" w:fill="auto"/>
          </w:tcPr>
          <w:p w14:paraId="33B86FF0" w14:textId="77777777" w:rsidR="00375569" w:rsidRPr="00BA54A5" w:rsidRDefault="00375569" w:rsidP="009F0039">
            <w:pPr>
              <w:pStyle w:val="08-Tabelageral"/>
              <w:jc w:val="left"/>
              <w:rPr>
                <w:rFonts w:cs="Arial"/>
                <w:szCs w:val="14"/>
              </w:rPr>
            </w:pPr>
            <w:r w:rsidRPr="00BA54A5">
              <w:rPr>
                <w:rFonts w:cs="Arial"/>
                <w:szCs w:val="14"/>
              </w:rPr>
              <w:t>Honorários</w:t>
            </w:r>
          </w:p>
        </w:tc>
        <w:tc>
          <w:tcPr>
            <w:tcW w:w="604" w:type="dxa"/>
            <w:shd w:val="clear" w:color="auto" w:fill="auto"/>
          </w:tcPr>
          <w:p w14:paraId="45AB27FF" w14:textId="77777777" w:rsidR="00375569" w:rsidRPr="00BA54A5" w:rsidRDefault="00375569" w:rsidP="009F0039">
            <w:pPr>
              <w:pStyle w:val="08-Tabelageral"/>
              <w:jc w:val="left"/>
              <w:rPr>
                <w:rFonts w:cs="Arial"/>
                <w:szCs w:val="14"/>
              </w:rPr>
            </w:pPr>
          </w:p>
        </w:tc>
        <w:tc>
          <w:tcPr>
            <w:tcW w:w="1411" w:type="dxa"/>
            <w:shd w:val="clear" w:color="auto" w:fill="auto"/>
          </w:tcPr>
          <w:p w14:paraId="522A4B5C" w14:textId="77777777" w:rsidR="00375569" w:rsidRPr="000D57AD" w:rsidRDefault="00375569" w:rsidP="009F0039">
            <w:pPr>
              <w:pStyle w:val="08-Tabelageral"/>
              <w:rPr>
                <w:rFonts w:cs="Arial"/>
                <w:szCs w:val="14"/>
              </w:rPr>
            </w:pPr>
            <w:r w:rsidRPr="000925DE">
              <w:t>(1.439)</w:t>
            </w:r>
          </w:p>
        </w:tc>
        <w:tc>
          <w:tcPr>
            <w:tcW w:w="1412" w:type="dxa"/>
            <w:shd w:val="clear" w:color="auto" w:fill="auto"/>
          </w:tcPr>
          <w:p w14:paraId="3B99ED93" w14:textId="77777777" w:rsidR="00375569" w:rsidRPr="000D57AD" w:rsidRDefault="00375569" w:rsidP="009F0039">
            <w:pPr>
              <w:pStyle w:val="08-Tabelageral"/>
              <w:rPr>
                <w:rFonts w:cs="Arial"/>
              </w:rPr>
            </w:pPr>
            <w:r w:rsidRPr="00843930">
              <w:t>(1.300)</w:t>
            </w:r>
          </w:p>
        </w:tc>
        <w:tc>
          <w:tcPr>
            <w:tcW w:w="283" w:type="dxa"/>
            <w:shd w:val="clear" w:color="auto" w:fill="auto"/>
            <w:vAlign w:val="center"/>
          </w:tcPr>
          <w:p w14:paraId="1B3C027C" w14:textId="77777777" w:rsidR="00375569" w:rsidRPr="0024716F" w:rsidRDefault="00375569" w:rsidP="009F0039">
            <w:pPr>
              <w:pStyle w:val="08-Tabelageral"/>
            </w:pPr>
          </w:p>
        </w:tc>
        <w:tc>
          <w:tcPr>
            <w:tcW w:w="1417" w:type="dxa"/>
            <w:shd w:val="clear" w:color="auto" w:fill="auto"/>
          </w:tcPr>
          <w:p w14:paraId="68381FF8" w14:textId="77777777" w:rsidR="00375569" w:rsidRPr="000D57AD" w:rsidRDefault="00375569" w:rsidP="009F0039">
            <w:pPr>
              <w:pStyle w:val="08-Tabelageral"/>
              <w:rPr>
                <w:rFonts w:cs="Arial"/>
                <w:color w:val="000000"/>
                <w:szCs w:val="14"/>
              </w:rPr>
            </w:pPr>
            <w:r w:rsidRPr="00B97E40">
              <w:t>(3.665)</w:t>
            </w:r>
          </w:p>
        </w:tc>
        <w:tc>
          <w:tcPr>
            <w:tcW w:w="1418" w:type="dxa"/>
            <w:shd w:val="clear" w:color="auto" w:fill="auto"/>
          </w:tcPr>
          <w:p w14:paraId="4C2F4D87" w14:textId="77777777" w:rsidR="00375569" w:rsidRPr="000D57AD" w:rsidRDefault="00375569" w:rsidP="009F0039">
            <w:pPr>
              <w:pStyle w:val="08-Tabelageral"/>
              <w:rPr>
                <w:rFonts w:cs="Arial"/>
              </w:rPr>
            </w:pPr>
            <w:r w:rsidRPr="00D6525A">
              <w:t>(3.853)</w:t>
            </w:r>
          </w:p>
        </w:tc>
      </w:tr>
      <w:tr w:rsidR="00375569" w:rsidRPr="00BA54A5" w14:paraId="3D652936" w14:textId="77777777" w:rsidTr="00082994">
        <w:trPr>
          <w:trHeight w:val="238"/>
          <w:jc w:val="center"/>
        </w:trPr>
        <w:tc>
          <w:tcPr>
            <w:tcW w:w="3094" w:type="dxa"/>
            <w:gridSpan w:val="2"/>
            <w:shd w:val="clear" w:color="auto" w:fill="auto"/>
          </w:tcPr>
          <w:p w14:paraId="0DD717E8" w14:textId="77777777" w:rsidR="00375569" w:rsidRPr="00BA54A5" w:rsidRDefault="00375569" w:rsidP="009F0039">
            <w:pPr>
              <w:pStyle w:val="08-Tabelageral"/>
              <w:jc w:val="left"/>
              <w:rPr>
                <w:rFonts w:cs="Arial"/>
                <w:szCs w:val="14"/>
              </w:rPr>
            </w:pPr>
            <w:r w:rsidRPr="00BA54A5">
              <w:rPr>
                <w:rFonts w:cs="Arial"/>
                <w:szCs w:val="14"/>
              </w:rPr>
              <w:t>Benefícios</w:t>
            </w:r>
          </w:p>
        </w:tc>
        <w:tc>
          <w:tcPr>
            <w:tcW w:w="604" w:type="dxa"/>
            <w:shd w:val="clear" w:color="auto" w:fill="auto"/>
          </w:tcPr>
          <w:p w14:paraId="0FBCE81D" w14:textId="77777777" w:rsidR="00375569" w:rsidRPr="00BA54A5" w:rsidRDefault="00375569" w:rsidP="009F0039">
            <w:pPr>
              <w:pStyle w:val="08-Tabelageral"/>
              <w:jc w:val="left"/>
              <w:rPr>
                <w:rFonts w:cs="Arial"/>
                <w:szCs w:val="14"/>
              </w:rPr>
            </w:pPr>
          </w:p>
        </w:tc>
        <w:tc>
          <w:tcPr>
            <w:tcW w:w="1411" w:type="dxa"/>
            <w:shd w:val="clear" w:color="auto" w:fill="auto"/>
          </w:tcPr>
          <w:p w14:paraId="5D21694A" w14:textId="77777777" w:rsidR="00375569" w:rsidRPr="0024716F" w:rsidRDefault="00375569" w:rsidP="009F0039">
            <w:pPr>
              <w:pStyle w:val="08-Tabelageral"/>
            </w:pPr>
            <w:r w:rsidRPr="000925DE">
              <w:t>(929)</w:t>
            </w:r>
          </w:p>
        </w:tc>
        <w:tc>
          <w:tcPr>
            <w:tcW w:w="1412" w:type="dxa"/>
            <w:shd w:val="clear" w:color="auto" w:fill="auto"/>
          </w:tcPr>
          <w:p w14:paraId="65D12408" w14:textId="77777777" w:rsidR="00375569" w:rsidRPr="0024716F" w:rsidRDefault="00375569" w:rsidP="009F0039">
            <w:pPr>
              <w:pStyle w:val="08-Tabelageral"/>
            </w:pPr>
            <w:r w:rsidRPr="00843930">
              <w:t>(930)</w:t>
            </w:r>
          </w:p>
        </w:tc>
        <w:tc>
          <w:tcPr>
            <w:tcW w:w="283" w:type="dxa"/>
            <w:shd w:val="clear" w:color="auto" w:fill="auto"/>
            <w:vAlign w:val="center"/>
          </w:tcPr>
          <w:p w14:paraId="2360332E" w14:textId="77777777" w:rsidR="00375569" w:rsidRPr="0024716F" w:rsidRDefault="00375569" w:rsidP="009F0039">
            <w:pPr>
              <w:pStyle w:val="08-Tabelageral"/>
            </w:pPr>
          </w:p>
        </w:tc>
        <w:tc>
          <w:tcPr>
            <w:tcW w:w="1417" w:type="dxa"/>
            <w:shd w:val="clear" w:color="auto" w:fill="auto"/>
          </w:tcPr>
          <w:p w14:paraId="3C98313F" w14:textId="77777777" w:rsidR="00375569" w:rsidRDefault="00375569" w:rsidP="009F0039">
            <w:pPr>
              <w:pStyle w:val="08-Tabelageral"/>
            </w:pPr>
            <w:r w:rsidRPr="00B97E40">
              <w:t>(5.497)</w:t>
            </w:r>
          </w:p>
        </w:tc>
        <w:tc>
          <w:tcPr>
            <w:tcW w:w="1418" w:type="dxa"/>
            <w:shd w:val="clear" w:color="auto" w:fill="auto"/>
          </w:tcPr>
          <w:p w14:paraId="35A606F1" w14:textId="77777777" w:rsidR="00375569" w:rsidRPr="0024716F" w:rsidRDefault="00375569" w:rsidP="009F0039">
            <w:pPr>
              <w:pStyle w:val="08-Tabelageral"/>
            </w:pPr>
            <w:r w:rsidRPr="00D6525A">
              <w:t>(5.517)</w:t>
            </w:r>
          </w:p>
        </w:tc>
      </w:tr>
      <w:tr w:rsidR="00375569" w:rsidRPr="00BA54A5" w14:paraId="5BEBE873" w14:textId="77777777" w:rsidTr="00082994">
        <w:trPr>
          <w:trHeight w:val="238"/>
          <w:jc w:val="center"/>
        </w:trPr>
        <w:tc>
          <w:tcPr>
            <w:tcW w:w="3094" w:type="dxa"/>
            <w:gridSpan w:val="2"/>
            <w:tcBorders>
              <w:bottom w:val="nil"/>
            </w:tcBorders>
            <w:shd w:val="clear" w:color="auto" w:fill="auto"/>
          </w:tcPr>
          <w:p w14:paraId="6CEAD867" w14:textId="77777777" w:rsidR="00375569" w:rsidRPr="00BA54A5" w:rsidRDefault="00375569" w:rsidP="009F0039">
            <w:pPr>
              <w:pStyle w:val="08-Tabelageral"/>
              <w:jc w:val="left"/>
              <w:rPr>
                <w:rFonts w:cs="Arial"/>
                <w:szCs w:val="14"/>
              </w:rPr>
            </w:pPr>
            <w:r w:rsidRPr="00BA54A5">
              <w:rPr>
                <w:rFonts w:cs="Arial"/>
                <w:szCs w:val="14"/>
              </w:rPr>
              <w:t>Capacitação</w:t>
            </w:r>
          </w:p>
        </w:tc>
        <w:tc>
          <w:tcPr>
            <w:tcW w:w="604" w:type="dxa"/>
            <w:tcBorders>
              <w:bottom w:val="nil"/>
            </w:tcBorders>
            <w:shd w:val="clear" w:color="auto" w:fill="auto"/>
          </w:tcPr>
          <w:p w14:paraId="087CD4D1" w14:textId="77777777" w:rsidR="00375569" w:rsidRPr="00BA54A5" w:rsidRDefault="00375569" w:rsidP="009F0039">
            <w:pPr>
              <w:pStyle w:val="08-Tabelageral"/>
              <w:jc w:val="left"/>
              <w:rPr>
                <w:rFonts w:cs="Arial"/>
                <w:szCs w:val="14"/>
              </w:rPr>
            </w:pPr>
          </w:p>
        </w:tc>
        <w:tc>
          <w:tcPr>
            <w:tcW w:w="1411" w:type="dxa"/>
            <w:tcBorders>
              <w:bottom w:val="nil"/>
            </w:tcBorders>
            <w:shd w:val="clear" w:color="auto" w:fill="auto"/>
          </w:tcPr>
          <w:p w14:paraId="37FD10E5" w14:textId="77777777" w:rsidR="00375569" w:rsidRPr="0024716F" w:rsidRDefault="00375569" w:rsidP="009F0039">
            <w:pPr>
              <w:pStyle w:val="08-Tabelageral"/>
            </w:pPr>
            <w:r w:rsidRPr="000925DE">
              <w:t>(127)</w:t>
            </w:r>
          </w:p>
        </w:tc>
        <w:tc>
          <w:tcPr>
            <w:tcW w:w="1412" w:type="dxa"/>
            <w:tcBorders>
              <w:bottom w:val="nil"/>
            </w:tcBorders>
            <w:shd w:val="clear" w:color="auto" w:fill="auto"/>
          </w:tcPr>
          <w:p w14:paraId="027DF929" w14:textId="77777777" w:rsidR="00375569" w:rsidRPr="0024716F" w:rsidRDefault="00375569" w:rsidP="009F0039">
            <w:pPr>
              <w:pStyle w:val="08-Tabelageral"/>
            </w:pPr>
            <w:r w:rsidRPr="00843930">
              <w:t>(135)</w:t>
            </w:r>
          </w:p>
        </w:tc>
        <w:tc>
          <w:tcPr>
            <w:tcW w:w="283" w:type="dxa"/>
            <w:tcBorders>
              <w:bottom w:val="nil"/>
            </w:tcBorders>
            <w:shd w:val="clear" w:color="auto" w:fill="auto"/>
            <w:vAlign w:val="center"/>
          </w:tcPr>
          <w:p w14:paraId="35CC56D0" w14:textId="77777777" w:rsidR="00375569" w:rsidRPr="0024716F" w:rsidRDefault="00375569" w:rsidP="009F0039">
            <w:pPr>
              <w:pStyle w:val="08-Tabelageral"/>
            </w:pPr>
          </w:p>
        </w:tc>
        <w:tc>
          <w:tcPr>
            <w:tcW w:w="1417" w:type="dxa"/>
            <w:tcBorders>
              <w:bottom w:val="nil"/>
            </w:tcBorders>
            <w:shd w:val="clear" w:color="auto" w:fill="auto"/>
          </w:tcPr>
          <w:p w14:paraId="7B2B36E3" w14:textId="77777777" w:rsidR="00375569" w:rsidRDefault="00375569" w:rsidP="009F0039">
            <w:pPr>
              <w:pStyle w:val="08-Tabelageral"/>
            </w:pPr>
            <w:r w:rsidRPr="00B97E40">
              <w:t>(681)</w:t>
            </w:r>
          </w:p>
        </w:tc>
        <w:tc>
          <w:tcPr>
            <w:tcW w:w="1418" w:type="dxa"/>
            <w:tcBorders>
              <w:bottom w:val="nil"/>
            </w:tcBorders>
            <w:shd w:val="clear" w:color="auto" w:fill="auto"/>
          </w:tcPr>
          <w:p w14:paraId="43E5A4B1" w14:textId="77777777" w:rsidR="00375569" w:rsidRPr="0024716F" w:rsidRDefault="00375569" w:rsidP="009F0039">
            <w:pPr>
              <w:pStyle w:val="08-Tabelageral"/>
            </w:pPr>
            <w:r w:rsidRPr="00D6525A">
              <w:t>(870)</w:t>
            </w:r>
          </w:p>
        </w:tc>
      </w:tr>
      <w:tr w:rsidR="00375569" w:rsidRPr="003765DC" w14:paraId="3755A69B" w14:textId="77777777" w:rsidTr="00082994">
        <w:trPr>
          <w:trHeight w:val="238"/>
          <w:jc w:val="center"/>
        </w:trPr>
        <w:tc>
          <w:tcPr>
            <w:tcW w:w="3094" w:type="dxa"/>
            <w:gridSpan w:val="2"/>
            <w:tcBorders>
              <w:top w:val="nil"/>
              <w:bottom w:val="single" w:sz="2" w:space="0" w:color="1F4E79" w:themeColor="accent1" w:themeShade="80"/>
            </w:tcBorders>
            <w:shd w:val="clear" w:color="auto" w:fill="auto"/>
          </w:tcPr>
          <w:p w14:paraId="04416EEE" w14:textId="77777777" w:rsidR="00375569" w:rsidRPr="003765DC" w:rsidRDefault="00375569" w:rsidP="009F0039">
            <w:pPr>
              <w:keepNext/>
              <w:keepLines/>
              <w:spacing w:before="40" w:after="40" w:line="240" w:lineRule="auto"/>
              <w:rPr>
                <w:rFonts w:cs="Arial"/>
                <w:b/>
                <w:bCs/>
                <w:spacing w:val="-2"/>
                <w:sz w:val="14"/>
                <w:szCs w:val="14"/>
              </w:rPr>
            </w:pPr>
            <w:r w:rsidRPr="007E63B6">
              <w:rPr>
                <w:rFonts w:cs="Arial"/>
                <w:b/>
                <w:spacing w:val="-2"/>
                <w:sz w:val="14"/>
                <w:szCs w:val="14"/>
              </w:rPr>
              <w:t>Total</w:t>
            </w:r>
          </w:p>
        </w:tc>
        <w:tc>
          <w:tcPr>
            <w:tcW w:w="604" w:type="dxa"/>
            <w:tcBorders>
              <w:top w:val="nil"/>
              <w:bottom w:val="single" w:sz="2" w:space="0" w:color="1F4E79" w:themeColor="accent1" w:themeShade="80"/>
            </w:tcBorders>
            <w:shd w:val="clear" w:color="auto" w:fill="auto"/>
          </w:tcPr>
          <w:p w14:paraId="5D494A32" w14:textId="77777777" w:rsidR="00375569" w:rsidRPr="003765DC" w:rsidRDefault="00375569" w:rsidP="009F0039">
            <w:pPr>
              <w:pStyle w:val="08-Tabelageral"/>
              <w:jc w:val="left"/>
              <w:rPr>
                <w:rFonts w:cs="Arial"/>
                <w:b/>
                <w:szCs w:val="14"/>
              </w:rPr>
            </w:pPr>
          </w:p>
        </w:tc>
        <w:tc>
          <w:tcPr>
            <w:tcW w:w="1411" w:type="dxa"/>
            <w:tcBorders>
              <w:top w:val="nil"/>
              <w:bottom w:val="single" w:sz="2" w:space="0" w:color="1F4E79" w:themeColor="accent1" w:themeShade="80"/>
            </w:tcBorders>
            <w:shd w:val="clear" w:color="auto" w:fill="auto"/>
          </w:tcPr>
          <w:p w14:paraId="5FB040AC" w14:textId="77777777" w:rsidR="00375569" w:rsidRPr="003765DC" w:rsidRDefault="00375569" w:rsidP="009F0039">
            <w:pPr>
              <w:pStyle w:val="08-Tabelageral"/>
              <w:rPr>
                <w:b/>
              </w:rPr>
            </w:pPr>
            <w:r w:rsidRPr="000925DE">
              <w:t>(12.167)</w:t>
            </w:r>
          </w:p>
        </w:tc>
        <w:tc>
          <w:tcPr>
            <w:tcW w:w="1412" w:type="dxa"/>
            <w:tcBorders>
              <w:top w:val="nil"/>
              <w:bottom w:val="single" w:sz="2" w:space="0" w:color="1F4E79" w:themeColor="accent1" w:themeShade="80"/>
            </w:tcBorders>
            <w:shd w:val="clear" w:color="auto" w:fill="auto"/>
          </w:tcPr>
          <w:p w14:paraId="07ADDE87" w14:textId="77777777" w:rsidR="00375569" w:rsidRPr="003765DC" w:rsidRDefault="00375569" w:rsidP="009F0039">
            <w:pPr>
              <w:pStyle w:val="08-Tabelageral"/>
              <w:rPr>
                <w:b/>
                <w:bCs/>
              </w:rPr>
            </w:pPr>
            <w:r w:rsidRPr="00843930">
              <w:t>(</w:t>
            </w:r>
            <w:r>
              <w:t>11.602</w:t>
            </w:r>
            <w:r w:rsidRPr="00843930">
              <w:t>)</w:t>
            </w:r>
          </w:p>
        </w:tc>
        <w:tc>
          <w:tcPr>
            <w:tcW w:w="283" w:type="dxa"/>
            <w:tcBorders>
              <w:top w:val="nil"/>
              <w:bottom w:val="single" w:sz="2" w:space="0" w:color="1F4E79" w:themeColor="accent1" w:themeShade="80"/>
            </w:tcBorders>
            <w:shd w:val="clear" w:color="auto" w:fill="auto"/>
            <w:vAlign w:val="center"/>
          </w:tcPr>
          <w:p w14:paraId="343EA4EE" w14:textId="77777777" w:rsidR="00375569" w:rsidRPr="003765DC" w:rsidRDefault="00375569" w:rsidP="009F0039">
            <w:pPr>
              <w:pStyle w:val="08-Tabelageral"/>
              <w:rPr>
                <w:b/>
                <w:bCs/>
              </w:rPr>
            </w:pPr>
          </w:p>
        </w:tc>
        <w:tc>
          <w:tcPr>
            <w:tcW w:w="1417" w:type="dxa"/>
            <w:tcBorders>
              <w:top w:val="nil"/>
              <w:bottom w:val="single" w:sz="2" w:space="0" w:color="1F4E79" w:themeColor="accent1" w:themeShade="80"/>
            </w:tcBorders>
            <w:shd w:val="clear" w:color="auto" w:fill="auto"/>
          </w:tcPr>
          <w:p w14:paraId="624A07AA" w14:textId="77777777" w:rsidR="00375569" w:rsidRPr="003765DC" w:rsidRDefault="00375569" w:rsidP="009F0039">
            <w:pPr>
              <w:pStyle w:val="08-Tabelageral"/>
              <w:rPr>
                <w:b/>
                <w:bCs/>
              </w:rPr>
            </w:pPr>
            <w:r w:rsidRPr="00B97E40">
              <w:t>(63.114)</w:t>
            </w:r>
          </w:p>
        </w:tc>
        <w:tc>
          <w:tcPr>
            <w:tcW w:w="1418" w:type="dxa"/>
            <w:tcBorders>
              <w:top w:val="nil"/>
              <w:bottom w:val="single" w:sz="2" w:space="0" w:color="1F4E79" w:themeColor="accent1" w:themeShade="80"/>
            </w:tcBorders>
            <w:shd w:val="clear" w:color="auto" w:fill="auto"/>
          </w:tcPr>
          <w:p w14:paraId="4D14F05B" w14:textId="77777777" w:rsidR="00375569" w:rsidRPr="003765DC" w:rsidRDefault="00375569" w:rsidP="009F0039">
            <w:pPr>
              <w:pStyle w:val="08-Tabelageral"/>
              <w:rPr>
                <w:b/>
                <w:bCs/>
              </w:rPr>
            </w:pPr>
            <w:r w:rsidRPr="00D6525A">
              <w:t>(63.893)</w:t>
            </w:r>
          </w:p>
        </w:tc>
      </w:tr>
      <w:bookmarkEnd w:id="79"/>
      <w:bookmarkEnd w:id="77"/>
    </w:tbl>
    <w:p w14:paraId="6BE55016" w14:textId="2332A284" w:rsidR="00375569" w:rsidRDefault="00375569" w:rsidP="00EA3D55">
      <w:pPr>
        <w:pStyle w:val="01-TtulodeNota"/>
        <w:spacing w:before="0" w:after="0"/>
        <w:jc w:val="right"/>
        <w:rPr>
          <w:sz w:val="12"/>
          <w:szCs w:val="12"/>
        </w:rPr>
      </w:pPr>
    </w:p>
    <w:p w14:paraId="689155BA" w14:textId="77777777" w:rsidR="00725333" w:rsidRPr="00725333" w:rsidRDefault="00725333" w:rsidP="00725333">
      <w:pPr>
        <w:rPr>
          <w:lang w:eastAsia="pt-BR"/>
        </w:rPr>
      </w:pPr>
    </w:p>
    <w:p w14:paraId="12EE1693" w14:textId="29625681" w:rsidR="00375569" w:rsidRPr="00725333" w:rsidRDefault="00375569" w:rsidP="00725333">
      <w:pPr>
        <w:pStyle w:val="02-TtulodeNota"/>
        <w:rPr>
          <w:color w:val="1F4E79" w:themeColor="accent1" w:themeShade="80"/>
        </w:rPr>
      </w:pPr>
      <w:bookmarkStart w:id="80" w:name="_Toc94861069"/>
      <w:r w:rsidRPr="00725333">
        <w:rPr>
          <w:color w:val="1F4E79" w:themeColor="accent1" w:themeShade="80"/>
        </w:rPr>
        <w:t>11 – DESPESAS ADMINISTRATIVAS E COM VENDAS</w:t>
      </w:r>
      <w:bookmarkEnd w:id="80"/>
    </w:p>
    <w:p w14:paraId="52E4D1E7" w14:textId="77777777" w:rsidR="00375569" w:rsidRPr="00901BC6" w:rsidRDefault="00375569" w:rsidP="006D5C76">
      <w:pPr>
        <w:pStyle w:val="06-Rmil"/>
        <w:rPr>
          <w:rFonts w:cs="Arial"/>
          <w:szCs w:val="14"/>
        </w:rPr>
      </w:pPr>
      <w:bookmarkStart w:id="81" w:name="_Hlk75863166"/>
      <w:r w:rsidRPr="00901BC6">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375569" w:rsidRPr="004078D0" w14:paraId="64E46D96" w14:textId="77777777" w:rsidTr="00E5011E">
        <w:trPr>
          <w:trHeight w:val="238"/>
          <w:jc w:val="center"/>
        </w:trPr>
        <w:tc>
          <w:tcPr>
            <w:tcW w:w="742" w:type="dxa"/>
            <w:tcBorders>
              <w:top w:val="single" w:sz="2" w:space="0" w:color="1F4E79" w:themeColor="accent1" w:themeShade="80"/>
              <w:bottom w:val="nil"/>
            </w:tcBorders>
            <w:shd w:val="clear" w:color="auto" w:fill="auto"/>
          </w:tcPr>
          <w:p w14:paraId="2F557637" w14:textId="77777777" w:rsidR="00375569" w:rsidRPr="004078D0" w:rsidRDefault="00375569" w:rsidP="004362EB">
            <w:pPr>
              <w:keepNext/>
              <w:keepLines/>
              <w:spacing w:before="40" w:after="40"/>
              <w:jc w:val="center"/>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7CA4FA03" w14:textId="77777777" w:rsidR="00375569" w:rsidRPr="004078D0" w:rsidRDefault="00375569" w:rsidP="004362EB">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601843B8" w14:textId="77777777" w:rsidR="00375569" w:rsidRPr="004078D0" w:rsidRDefault="00375569" w:rsidP="004362EB">
            <w:pPr>
              <w:keepNext/>
              <w:keepLines/>
              <w:spacing w:before="40" w:after="40"/>
              <w:jc w:val="center"/>
              <w:rPr>
                <w:rFonts w:cs="Arial"/>
                <w:b/>
                <w:spacing w:val="-2"/>
                <w:sz w:val="14"/>
                <w:szCs w:val="14"/>
              </w:rPr>
            </w:pPr>
            <w:r w:rsidRPr="004078D0">
              <w:rPr>
                <w:rFonts w:cs="Arial"/>
                <w:b/>
                <w:spacing w:val="-2"/>
                <w:sz w:val="14"/>
                <w:szCs w:val="14"/>
              </w:rPr>
              <w:t>Controlador</w:t>
            </w:r>
          </w:p>
        </w:tc>
        <w:tc>
          <w:tcPr>
            <w:tcW w:w="283" w:type="dxa"/>
            <w:tcBorders>
              <w:top w:val="single" w:sz="2" w:space="0" w:color="1F4E79" w:themeColor="accent1" w:themeShade="80"/>
              <w:bottom w:val="nil"/>
            </w:tcBorders>
            <w:shd w:val="clear" w:color="auto" w:fill="auto"/>
          </w:tcPr>
          <w:p w14:paraId="1DEAC2C9" w14:textId="77777777" w:rsidR="00375569" w:rsidRPr="004078D0" w:rsidRDefault="00375569" w:rsidP="004362EB">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2" w:space="0" w:color="1F4E79" w:themeColor="accent1" w:themeShade="80"/>
            </w:tcBorders>
            <w:shd w:val="clear" w:color="auto" w:fill="auto"/>
          </w:tcPr>
          <w:p w14:paraId="523F63CC" w14:textId="77777777" w:rsidR="00375569" w:rsidRPr="004078D0" w:rsidRDefault="00375569" w:rsidP="004362EB">
            <w:pPr>
              <w:keepNext/>
              <w:keepLines/>
              <w:spacing w:before="40" w:after="40"/>
              <w:jc w:val="center"/>
              <w:rPr>
                <w:rFonts w:cs="Arial"/>
                <w:b/>
                <w:spacing w:val="-2"/>
                <w:sz w:val="14"/>
                <w:szCs w:val="14"/>
              </w:rPr>
            </w:pPr>
            <w:r w:rsidRPr="004078D0">
              <w:rPr>
                <w:rFonts w:cs="Arial"/>
                <w:b/>
                <w:spacing w:val="-2"/>
                <w:sz w:val="14"/>
                <w:szCs w:val="14"/>
              </w:rPr>
              <w:t>Consolidado</w:t>
            </w:r>
          </w:p>
        </w:tc>
      </w:tr>
      <w:tr w:rsidR="00375569" w:rsidRPr="004078D0" w14:paraId="2A9D7AFA" w14:textId="77777777" w:rsidTr="00E5011E">
        <w:trPr>
          <w:trHeight w:val="238"/>
          <w:jc w:val="center"/>
        </w:trPr>
        <w:tc>
          <w:tcPr>
            <w:tcW w:w="2986" w:type="dxa"/>
            <w:gridSpan w:val="2"/>
            <w:tcBorders>
              <w:top w:val="nil"/>
              <w:bottom w:val="single" w:sz="2" w:space="0" w:color="1F4E79" w:themeColor="accent1" w:themeShade="80"/>
            </w:tcBorders>
            <w:shd w:val="clear" w:color="auto" w:fill="auto"/>
          </w:tcPr>
          <w:p w14:paraId="2A4D0396" w14:textId="77777777" w:rsidR="00375569" w:rsidRPr="004078D0" w:rsidRDefault="00375569" w:rsidP="00342208">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678F6124" w14:textId="77777777" w:rsidR="00375569" w:rsidRPr="004078D0" w:rsidRDefault="00375569" w:rsidP="00342208">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28E7F25" w14:textId="77777777" w:rsidR="00375569" w:rsidRPr="004078D0" w:rsidRDefault="00375569" w:rsidP="00342208">
            <w:pPr>
              <w:keepNext/>
              <w:keepLines/>
              <w:spacing w:before="40" w:after="40"/>
              <w:jc w:val="right"/>
              <w:rPr>
                <w:rFonts w:cs="Arial"/>
                <w:b/>
                <w:spacing w:val="-2"/>
                <w:sz w:val="14"/>
                <w:szCs w:val="18"/>
              </w:rPr>
            </w:pPr>
            <w:r>
              <w:rPr>
                <w:rFonts w:cs="Arial"/>
                <w:b/>
                <w:spacing w:val="-2"/>
                <w:sz w:val="14"/>
                <w:szCs w:val="18"/>
              </w:rPr>
              <w:t>Exercício 2021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FB0527C" w14:textId="77777777" w:rsidR="00375569" w:rsidRPr="004078D0" w:rsidRDefault="00375569" w:rsidP="00342208">
            <w:pPr>
              <w:keepNext/>
              <w:keepLines/>
              <w:spacing w:before="40" w:after="40"/>
              <w:jc w:val="right"/>
              <w:rPr>
                <w:rFonts w:cs="Arial"/>
                <w:b/>
                <w:spacing w:val="-2"/>
                <w:sz w:val="14"/>
                <w:szCs w:val="18"/>
              </w:rPr>
            </w:pPr>
            <w:r>
              <w:rPr>
                <w:rFonts w:cs="Arial"/>
                <w:b/>
                <w:spacing w:val="-2"/>
                <w:sz w:val="14"/>
                <w:szCs w:val="18"/>
              </w:rPr>
              <w:t>Exercício 2020</w:t>
            </w:r>
          </w:p>
        </w:tc>
        <w:tc>
          <w:tcPr>
            <w:tcW w:w="283" w:type="dxa"/>
            <w:tcBorders>
              <w:top w:val="nil"/>
              <w:bottom w:val="single" w:sz="2" w:space="0" w:color="1F4E79" w:themeColor="accent1" w:themeShade="80"/>
            </w:tcBorders>
            <w:shd w:val="clear" w:color="auto" w:fill="auto"/>
            <w:vAlign w:val="center"/>
          </w:tcPr>
          <w:p w14:paraId="1A5920B0" w14:textId="77777777" w:rsidR="00375569" w:rsidRPr="004078D0" w:rsidRDefault="00375569" w:rsidP="00342208">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847CEE9" w14:textId="77777777" w:rsidR="00375569" w:rsidRPr="004078D0" w:rsidRDefault="00375569" w:rsidP="00342208">
            <w:pPr>
              <w:keepNext/>
              <w:keepLines/>
              <w:spacing w:before="40" w:after="40"/>
              <w:jc w:val="right"/>
              <w:rPr>
                <w:rFonts w:cs="Arial"/>
                <w:b/>
                <w:spacing w:val="-2"/>
                <w:sz w:val="14"/>
                <w:szCs w:val="18"/>
              </w:rPr>
            </w:pPr>
            <w:r>
              <w:rPr>
                <w:rFonts w:cs="Arial"/>
                <w:b/>
                <w:spacing w:val="-2"/>
                <w:sz w:val="14"/>
                <w:szCs w:val="18"/>
              </w:rPr>
              <w:t>Exercício 2021</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25D9ABB8" w14:textId="77777777" w:rsidR="00375569" w:rsidRPr="004078D0" w:rsidRDefault="00375569" w:rsidP="00342208">
            <w:pPr>
              <w:keepNext/>
              <w:keepLines/>
              <w:spacing w:before="40" w:after="40"/>
              <w:jc w:val="right"/>
              <w:rPr>
                <w:rFonts w:cs="Arial"/>
                <w:b/>
                <w:spacing w:val="-2"/>
                <w:sz w:val="14"/>
                <w:szCs w:val="18"/>
              </w:rPr>
            </w:pPr>
            <w:r>
              <w:rPr>
                <w:rFonts w:cs="Arial"/>
                <w:b/>
                <w:spacing w:val="-2"/>
                <w:sz w:val="14"/>
                <w:szCs w:val="18"/>
              </w:rPr>
              <w:t>Exercício 2020</w:t>
            </w:r>
          </w:p>
        </w:tc>
      </w:tr>
      <w:tr w:rsidR="00375569" w:rsidRPr="004078D0" w14:paraId="41B29E61" w14:textId="77777777" w:rsidTr="00303FA1">
        <w:trPr>
          <w:trHeight w:val="238"/>
          <w:jc w:val="center"/>
        </w:trPr>
        <w:tc>
          <w:tcPr>
            <w:tcW w:w="2986" w:type="dxa"/>
            <w:gridSpan w:val="2"/>
            <w:tcBorders>
              <w:top w:val="nil"/>
              <w:left w:val="nil"/>
              <w:bottom w:val="nil"/>
              <w:right w:val="nil"/>
            </w:tcBorders>
            <w:shd w:val="clear" w:color="auto" w:fill="auto"/>
            <w:vAlign w:val="bottom"/>
          </w:tcPr>
          <w:p w14:paraId="76838715" w14:textId="77777777" w:rsidR="00375569" w:rsidRPr="006468C2" w:rsidRDefault="00375569" w:rsidP="003F43F8">
            <w:pPr>
              <w:pStyle w:val="08-Tabelageral"/>
              <w:jc w:val="left"/>
            </w:pPr>
            <w:r>
              <w:rPr>
                <w:rFonts w:cs="Arial"/>
                <w:color w:val="000000"/>
                <w:szCs w:val="14"/>
              </w:rPr>
              <w:t xml:space="preserve">Doação e Patrocínio </w:t>
            </w:r>
            <w:r w:rsidRPr="00B6340B">
              <w:rPr>
                <w:rFonts w:cs="Arial"/>
                <w:color w:val="000000"/>
                <w:szCs w:val="14"/>
                <w:vertAlign w:val="superscript"/>
              </w:rPr>
              <w:t>(1)</w:t>
            </w:r>
          </w:p>
        </w:tc>
        <w:tc>
          <w:tcPr>
            <w:tcW w:w="604" w:type="dxa"/>
            <w:tcBorders>
              <w:top w:val="nil"/>
            </w:tcBorders>
            <w:shd w:val="clear" w:color="auto" w:fill="auto"/>
            <w:vAlign w:val="center"/>
          </w:tcPr>
          <w:p w14:paraId="2EE22EA9" w14:textId="77777777" w:rsidR="00375569" w:rsidRPr="006468C2" w:rsidRDefault="00375569" w:rsidP="003F43F8">
            <w:pPr>
              <w:pStyle w:val="08-Tabelageral"/>
              <w:rPr>
                <w:rFonts w:cs="Arial"/>
                <w:szCs w:val="14"/>
              </w:rPr>
            </w:pPr>
          </w:p>
        </w:tc>
        <w:tc>
          <w:tcPr>
            <w:tcW w:w="1411" w:type="dxa"/>
            <w:tcBorders>
              <w:top w:val="nil"/>
            </w:tcBorders>
            <w:shd w:val="clear" w:color="auto" w:fill="auto"/>
          </w:tcPr>
          <w:p w14:paraId="3624D0F4" w14:textId="77777777" w:rsidR="00375569" w:rsidRPr="006468C2" w:rsidRDefault="00375569" w:rsidP="003F43F8">
            <w:pPr>
              <w:pStyle w:val="08-Tabelageral"/>
              <w:rPr>
                <w:rFonts w:cs="Arial"/>
                <w:szCs w:val="14"/>
              </w:rPr>
            </w:pPr>
            <w:r w:rsidRPr="000547D5">
              <w:t>--</w:t>
            </w:r>
          </w:p>
        </w:tc>
        <w:tc>
          <w:tcPr>
            <w:tcW w:w="1412" w:type="dxa"/>
            <w:tcBorders>
              <w:top w:val="nil"/>
            </w:tcBorders>
            <w:shd w:val="clear" w:color="auto" w:fill="auto"/>
          </w:tcPr>
          <w:p w14:paraId="3D70E606" w14:textId="77777777" w:rsidR="00375569" w:rsidRPr="006468C2" w:rsidRDefault="00375569" w:rsidP="003F43F8">
            <w:pPr>
              <w:pStyle w:val="08-Tabelageral"/>
            </w:pPr>
            <w:r w:rsidRPr="004A551E">
              <w:t>--</w:t>
            </w:r>
          </w:p>
        </w:tc>
        <w:tc>
          <w:tcPr>
            <w:tcW w:w="283" w:type="dxa"/>
            <w:tcBorders>
              <w:top w:val="nil"/>
            </w:tcBorders>
            <w:shd w:val="clear" w:color="auto" w:fill="auto"/>
            <w:vAlign w:val="center"/>
          </w:tcPr>
          <w:p w14:paraId="2F3555AA" w14:textId="77777777" w:rsidR="00375569" w:rsidRPr="006468C2" w:rsidRDefault="00375569" w:rsidP="003F43F8">
            <w:pPr>
              <w:pStyle w:val="08-Tabelageral"/>
              <w:rPr>
                <w:rFonts w:cs="Arial"/>
                <w:szCs w:val="14"/>
              </w:rPr>
            </w:pPr>
          </w:p>
        </w:tc>
        <w:tc>
          <w:tcPr>
            <w:tcW w:w="1417" w:type="dxa"/>
            <w:tcBorders>
              <w:top w:val="nil"/>
            </w:tcBorders>
            <w:shd w:val="clear" w:color="auto" w:fill="auto"/>
          </w:tcPr>
          <w:p w14:paraId="2C241A4C" w14:textId="77777777" w:rsidR="00375569" w:rsidRPr="006468C2" w:rsidRDefault="00375569" w:rsidP="003F43F8">
            <w:pPr>
              <w:pStyle w:val="08-Tabelageral"/>
              <w:rPr>
                <w:rFonts w:cs="Arial"/>
                <w:szCs w:val="14"/>
              </w:rPr>
            </w:pPr>
            <w:r w:rsidRPr="004C3084">
              <w:t>(18.756)</w:t>
            </w:r>
          </w:p>
        </w:tc>
        <w:tc>
          <w:tcPr>
            <w:tcW w:w="1526" w:type="dxa"/>
            <w:tcBorders>
              <w:top w:val="nil"/>
            </w:tcBorders>
            <w:shd w:val="clear" w:color="auto" w:fill="auto"/>
          </w:tcPr>
          <w:p w14:paraId="0011B0A7" w14:textId="77777777" w:rsidR="00375569" w:rsidRPr="004078D0" w:rsidRDefault="00375569" w:rsidP="003F43F8">
            <w:pPr>
              <w:pStyle w:val="08-Tabelageral"/>
              <w:rPr>
                <w:rFonts w:cs="Arial"/>
                <w:szCs w:val="14"/>
              </w:rPr>
            </w:pPr>
            <w:r w:rsidRPr="00837803">
              <w:t>(40.400)</w:t>
            </w:r>
          </w:p>
        </w:tc>
      </w:tr>
      <w:tr w:rsidR="00375569" w:rsidRPr="004078D0" w14:paraId="4168315C" w14:textId="77777777" w:rsidTr="00303FA1">
        <w:trPr>
          <w:trHeight w:val="238"/>
          <w:jc w:val="center"/>
        </w:trPr>
        <w:tc>
          <w:tcPr>
            <w:tcW w:w="2986" w:type="dxa"/>
            <w:gridSpan w:val="2"/>
            <w:tcBorders>
              <w:top w:val="nil"/>
              <w:left w:val="nil"/>
              <w:bottom w:val="nil"/>
              <w:right w:val="nil"/>
            </w:tcBorders>
            <w:shd w:val="clear" w:color="auto" w:fill="auto"/>
            <w:vAlign w:val="center"/>
          </w:tcPr>
          <w:p w14:paraId="7C72D36A" w14:textId="77777777" w:rsidR="00375569" w:rsidRPr="004078D0" w:rsidRDefault="00375569" w:rsidP="003F43F8">
            <w:pPr>
              <w:pStyle w:val="08-Tabelageral"/>
              <w:jc w:val="left"/>
            </w:pPr>
            <w:r>
              <w:rPr>
                <w:rFonts w:cs="Arial"/>
                <w:color w:val="000000"/>
                <w:szCs w:val="14"/>
              </w:rPr>
              <w:t>Processamento de dados</w:t>
            </w:r>
          </w:p>
        </w:tc>
        <w:tc>
          <w:tcPr>
            <w:tcW w:w="604" w:type="dxa"/>
            <w:shd w:val="clear" w:color="auto" w:fill="auto"/>
            <w:vAlign w:val="center"/>
          </w:tcPr>
          <w:p w14:paraId="5C2591BA" w14:textId="77777777" w:rsidR="00375569" w:rsidRPr="004078D0" w:rsidRDefault="00375569" w:rsidP="003F43F8">
            <w:pPr>
              <w:pStyle w:val="08-Tabelageral"/>
              <w:rPr>
                <w:rFonts w:cs="Arial"/>
                <w:szCs w:val="14"/>
              </w:rPr>
            </w:pPr>
          </w:p>
        </w:tc>
        <w:tc>
          <w:tcPr>
            <w:tcW w:w="1411" w:type="dxa"/>
            <w:shd w:val="clear" w:color="auto" w:fill="auto"/>
          </w:tcPr>
          <w:p w14:paraId="28546F1A" w14:textId="77777777" w:rsidR="00375569" w:rsidRPr="00217CF4" w:rsidRDefault="00375569" w:rsidP="003F43F8">
            <w:pPr>
              <w:pStyle w:val="08-Tabelageral"/>
              <w:rPr>
                <w:rFonts w:cs="Arial"/>
                <w:szCs w:val="14"/>
              </w:rPr>
            </w:pPr>
            <w:r w:rsidRPr="000547D5">
              <w:t>(1.006)</w:t>
            </w:r>
          </w:p>
        </w:tc>
        <w:tc>
          <w:tcPr>
            <w:tcW w:w="1412" w:type="dxa"/>
            <w:shd w:val="clear" w:color="auto" w:fill="auto"/>
          </w:tcPr>
          <w:p w14:paraId="4A370CD0" w14:textId="77777777" w:rsidR="00375569" w:rsidRPr="004078D0" w:rsidRDefault="00375569" w:rsidP="003F43F8">
            <w:pPr>
              <w:pStyle w:val="08-Tabelageral"/>
            </w:pPr>
            <w:r w:rsidRPr="004A551E">
              <w:t>(1.061)</w:t>
            </w:r>
          </w:p>
        </w:tc>
        <w:tc>
          <w:tcPr>
            <w:tcW w:w="283" w:type="dxa"/>
            <w:shd w:val="clear" w:color="auto" w:fill="auto"/>
            <w:vAlign w:val="center"/>
          </w:tcPr>
          <w:p w14:paraId="3CF375A2" w14:textId="77777777" w:rsidR="00375569" w:rsidRPr="004078D0" w:rsidRDefault="00375569" w:rsidP="003F43F8">
            <w:pPr>
              <w:pStyle w:val="08-Tabelageral"/>
              <w:rPr>
                <w:rFonts w:cs="Arial"/>
                <w:szCs w:val="14"/>
              </w:rPr>
            </w:pPr>
          </w:p>
        </w:tc>
        <w:tc>
          <w:tcPr>
            <w:tcW w:w="1417" w:type="dxa"/>
            <w:shd w:val="clear" w:color="auto" w:fill="auto"/>
          </w:tcPr>
          <w:p w14:paraId="62F49B2C" w14:textId="77777777" w:rsidR="00375569" w:rsidRPr="00217CF4" w:rsidRDefault="00375569" w:rsidP="003F43F8">
            <w:pPr>
              <w:pStyle w:val="08-Tabelageral"/>
              <w:rPr>
                <w:rFonts w:cs="Arial"/>
                <w:szCs w:val="14"/>
              </w:rPr>
            </w:pPr>
            <w:r w:rsidRPr="004C3084">
              <w:t>(7.115)</w:t>
            </w:r>
          </w:p>
        </w:tc>
        <w:tc>
          <w:tcPr>
            <w:tcW w:w="1526" w:type="dxa"/>
            <w:shd w:val="clear" w:color="auto" w:fill="auto"/>
          </w:tcPr>
          <w:p w14:paraId="5CF1C039" w14:textId="77777777" w:rsidR="00375569" w:rsidRPr="004078D0" w:rsidRDefault="00375569" w:rsidP="003F43F8">
            <w:pPr>
              <w:pStyle w:val="08-Tabelageral"/>
              <w:rPr>
                <w:rFonts w:cs="Arial"/>
                <w:szCs w:val="14"/>
              </w:rPr>
            </w:pPr>
            <w:r w:rsidRPr="00837803">
              <w:t>(6.700)</w:t>
            </w:r>
          </w:p>
        </w:tc>
      </w:tr>
      <w:tr w:rsidR="00375569" w:rsidRPr="004078D0" w14:paraId="5E195FF9" w14:textId="77777777" w:rsidTr="00303FA1">
        <w:trPr>
          <w:trHeight w:val="238"/>
          <w:jc w:val="center"/>
        </w:trPr>
        <w:tc>
          <w:tcPr>
            <w:tcW w:w="2986" w:type="dxa"/>
            <w:gridSpan w:val="2"/>
            <w:tcBorders>
              <w:top w:val="nil"/>
              <w:left w:val="nil"/>
              <w:bottom w:val="nil"/>
              <w:right w:val="nil"/>
            </w:tcBorders>
            <w:shd w:val="clear" w:color="auto" w:fill="auto"/>
            <w:vAlign w:val="center"/>
          </w:tcPr>
          <w:p w14:paraId="553A6A6A" w14:textId="77777777" w:rsidR="00375569" w:rsidRPr="005B368B" w:rsidRDefault="00375569" w:rsidP="003F43F8">
            <w:pPr>
              <w:pStyle w:val="08-Tabelageral"/>
              <w:jc w:val="left"/>
              <w:rPr>
                <w:vertAlign w:val="superscript"/>
              </w:rPr>
            </w:pPr>
            <w:r>
              <w:rPr>
                <w:rFonts w:cs="Arial"/>
                <w:color w:val="000000"/>
                <w:szCs w:val="14"/>
              </w:rPr>
              <w:t>Aluguéis e taxa condominial</w:t>
            </w:r>
          </w:p>
        </w:tc>
        <w:tc>
          <w:tcPr>
            <w:tcW w:w="604" w:type="dxa"/>
            <w:shd w:val="clear" w:color="auto" w:fill="auto"/>
            <w:vAlign w:val="center"/>
          </w:tcPr>
          <w:p w14:paraId="3D115619" w14:textId="77777777" w:rsidR="00375569" w:rsidRPr="004078D0" w:rsidRDefault="00375569" w:rsidP="003F43F8">
            <w:pPr>
              <w:pStyle w:val="08-Tabelageral"/>
              <w:rPr>
                <w:rFonts w:cs="Arial"/>
                <w:szCs w:val="14"/>
              </w:rPr>
            </w:pPr>
          </w:p>
        </w:tc>
        <w:tc>
          <w:tcPr>
            <w:tcW w:w="1411" w:type="dxa"/>
            <w:shd w:val="clear" w:color="auto" w:fill="auto"/>
          </w:tcPr>
          <w:p w14:paraId="5D20E502" w14:textId="77777777" w:rsidR="00375569" w:rsidRPr="004078D0" w:rsidRDefault="00375569" w:rsidP="003F43F8">
            <w:pPr>
              <w:pStyle w:val="08-Tabelageral"/>
              <w:rPr>
                <w:rFonts w:cs="Arial"/>
                <w:szCs w:val="14"/>
              </w:rPr>
            </w:pPr>
            <w:r w:rsidRPr="000547D5">
              <w:t>(932)</w:t>
            </w:r>
          </w:p>
        </w:tc>
        <w:tc>
          <w:tcPr>
            <w:tcW w:w="1412" w:type="dxa"/>
            <w:shd w:val="clear" w:color="auto" w:fill="auto"/>
          </w:tcPr>
          <w:p w14:paraId="51FE5518" w14:textId="77777777" w:rsidR="00375569" w:rsidRPr="004078D0" w:rsidRDefault="00375569" w:rsidP="003F43F8">
            <w:pPr>
              <w:pStyle w:val="08-Tabelageral"/>
            </w:pPr>
            <w:r w:rsidRPr="004A551E">
              <w:t>(925)</w:t>
            </w:r>
          </w:p>
        </w:tc>
        <w:tc>
          <w:tcPr>
            <w:tcW w:w="283" w:type="dxa"/>
            <w:shd w:val="clear" w:color="auto" w:fill="auto"/>
            <w:vAlign w:val="center"/>
          </w:tcPr>
          <w:p w14:paraId="25134B9E" w14:textId="77777777" w:rsidR="00375569" w:rsidRPr="004078D0" w:rsidRDefault="00375569" w:rsidP="003F43F8">
            <w:pPr>
              <w:pStyle w:val="08-Tabelageral"/>
              <w:rPr>
                <w:rFonts w:cs="Arial"/>
                <w:szCs w:val="14"/>
              </w:rPr>
            </w:pPr>
          </w:p>
        </w:tc>
        <w:tc>
          <w:tcPr>
            <w:tcW w:w="1417" w:type="dxa"/>
            <w:shd w:val="clear" w:color="auto" w:fill="auto"/>
          </w:tcPr>
          <w:p w14:paraId="7048B454" w14:textId="77777777" w:rsidR="00375569" w:rsidRPr="004078D0" w:rsidRDefault="00375569" w:rsidP="003F43F8">
            <w:pPr>
              <w:pStyle w:val="08-Tabelageral"/>
              <w:rPr>
                <w:rFonts w:cs="Arial"/>
                <w:szCs w:val="14"/>
              </w:rPr>
            </w:pPr>
            <w:r w:rsidRPr="004C3084">
              <w:t>(4.288)</w:t>
            </w:r>
          </w:p>
        </w:tc>
        <w:tc>
          <w:tcPr>
            <w:tcW w:w="1526" w:type="dxa"/>
            <w:shd w:val="clear" w:color="auto" w:fill="auto"/>
          </w:tcPr>
          <w:p w14:paraId="303AE2BE" w14:textId="77777777" w:rsidR="00375569" w:rsidRPr="004078D0" w:rsidRDefault="00375569" w:rsidP="003F43F8">
            <w:pPr>
              <w:pStyle w:val="08-Tabelageral"/>
              <w:rPr>
                <w:rFonts w:cs="Arial"/>
                <w:szCs w:val="14"/>
              </w:rPr>
            </w:pPr>
            <w:r w:rsidRPr="00837803">
              <w:t>(4.459)</w:t>
            </w:r>
          </w:p>
        </w:tc>
      </w:tr>
      <w:tr w:rsidR="00375569" w:rsidRPr="004078D0" w14:paraId="29DA221E" w14:textId="77777777" w:rsidTr="00303FA1">
        <w:trPr>
          <w:trHeight w:val="238"/>
          <w:jc w:val="center"/>
        </w:trPr>
        <w:tc>
          <w:tcPr>
            <w:tcW w:w="2986" w:type="dxa"/>
            <w:gridSpan w:val="2"/>
            <w:tcBorders>
              <w:top w:val="nil"/>
              <w:left w:val="nil"/>
              <w:bottom w:val="nil"/>
              <w:right w:val="nil"/>
            </w:tcBorders>
            <w:shd w:val="clear" w:color="auto" w:fill="auto"/>
            <w:vAlign w:val="center"/>
          </w:tcPr>
          <w:p w14:paraId="0E83C234" w14:textId="77777777" w:rsidR="00375569" w:rsidRPr="00531062" w:rsidRDefault="00375569" w:rsidP="003F43F8">
            <w:pPr>
              <w:pStyle w:val="08-Tabelageral"/>
              <w:jc w:val="left"/>
            </w:pPr>
            <w:r>
              <w:rPr>
                <w:rFonts w:cs="Arial"/>
                <w:color w:val="000000"/>
                <w:szCs w:val="14"/>
              </w:rPr>
              <w:t>Serviços técnicos especializados</w:t>
            </w:r>
          </w:p>
        </w:tc>
        <w:tc>
          <w:tcPr>
            <w:tcW w:w="604" w:type="dxa"/>
            <w:shd w:val="clear" w:color="auto" w:fill="auto"/>
            <w:vAlign w:val="center"/>
          </w:tcPr>
          <w:p w14:paraId="6FBE0A32" w14:textId="77777777" w:rsidR="00375569" w:rsidRPr="00B636F4" w:rsidRDefault="00375569" w:rsidP="003F43F8">
            <w:pPr>
              <w:pStyle w:val="08-Tabelageral"/>
              <w:rPr>
                <w:rFonts w:cs="Arial"/>
                <w:szCs w:val="14"/>
              </w:rPr>
            </w:pPr>
          </w:p>
        </w:tc>
        <w:tc>
          <w:tcPr>
            <w:tcW w:w="1411" w:type="dxa"/>
            <w:shd w:val="clear" w:color="auto" w:fill="auto"/>
          </w:tcPr>
          <w:p w14:paraId="689A210A" w14:textId="77777777" w:rsidR="00375569" w:rsidRDefault="00375569" w:rsidP="003F43F8">
            <w:pPr>
              <w:pStyle w:val="08-Tabelageral"/>
              <w:rPr>
                <w:rFonts w:cs="Arial"/>
                <w:szCs w:val="14"/>
              </w:rPr>
            </w:pPr>
            <w:r w:rsidRPr="000547D5">
              <w:t>(413)</w:t>
            </w:r>
          </w:p>
        </w:tc>
        <w:tc>
          <w:tcPr>
            <w:tcW w:w="1412" w:type="dxa"/>
            <w:shd w:val="clear" w:color="auto" w:fill="auto"/>
          </w:tcPr>
          <w:p w14:paraId="7BF266A7" w14:textId="77777777" w:rsidR="00375569" w:rsidRPr="009D6773" w:rsidRDefault="00375569" w:rsidP="003F43F8">
            <w:pPr>
              <w:pStyle w:val="08-Tabelageral"/>
              <w:rPr>
                <w:rFonts w:cs="Arial"/>
                <w:szCs w:val="14"/>
              </w:rPr>
            </w:pPr>
            <w:r w:rsidRPr="004A551E">
              <w:t>(311)</w:t>
            </w:r>
          </w:p>
        </w:tc>
        <w:tc>
          <w:tcPr>
            <w:tcW w:w="283" w:type="dxa"/>
            <w:shd w:val="clear" w:color="auto" w:fill="auto"/>
            <w:vAlign w:val="center"/>
          </w:tcPr>
          <w:p w14:paraId="1D5915B2" w14:textId="77777777" w:rsidR="00375569" w:rsidRPr="00B636F4" w:rsidRDefault="00375569" w:rsidP="003F43F8">
            <w:pPr>
              <w:pStyle w:val="08-Tabelageral"/>
              <w:rPr>
                <w:rFonts w:cs="Arial"/>
                <w:szCs w:val="14"/>
              </w:rPr>
            </w:pPr>
          </w:p>
        </w:tc>
        <w:tc>
          <w:tcPr>
            <w:tcW w:w="1417" w:type="dxa"/>
            <w:shd w:val="clear" w:color="auto" w:fill="auto"/>
          </w:tcPr>
          <w:p w14:paraId="7DA21F68" w14:textId="77777777" w:rsidR="00375569" w:rsidRDefault="00375569" w:rsidP="003F43F8">
            <w:pPr>
              <w:pStyle w:val="08-Tabelageral"/>
              <w:rPr>
                <w:rFonts w:cs="Arial"/>
                <w:szCs w:val="14"/>
              </w:rPr>
            </w:pPr>
            <w:r w:rsidRPr="004C3084">
              <w:t>(2.921)</w:t>
            </w:r>
          </w:p>
        </w:tc>
        <w:tc>
          <w:tcPr>
            <w:tcW w:w="1526" w:type="dxa"/>
            <w:shd w:val="clear" w:color="auto" w:fill="auto"/>
          </w:tcPr>
          <w:p w14:paraId="4F9BDF80" w14:textId="77777777" w:rsidR="00375569" w:rsidRPr="00410E8D" w:rsidRDefault="00375569" w:rsidP="003F43F8">
            <w:pPr>
              <w:pStyle w:val="08-Tabelageral"/>
              <w:rPr>
                <w:rFonts w:cs="Arial"/>
                <w:szCs w:val="14"/>
              </w:rPr>
            </w:pPr>
            <w:r w:rsidRPr="00837803">
              <w:t>(2.665)</w:t>
            </w:r>
          </w:p>
        </w:tc>
      </w:tr>
      <w:tr w:rsidR="00375569" w:rsidRPr="004078D0" w14:paraId="224D47AF" w14:textId="77777777" w:rsidTr="00303FA1">
        <w:trPr>
          <w:trHeight w:val="238"/>
          <w:jc w:val="center"/>
        </w:trPr>
        <w:tc>
          <w:tcPr>
            <w:tcW w:w="2986" w:type="dxa"/>
            <w:gridSpan w:val="2"/>
            <w:tcBorders>
              <w:top w:val="nil"/>
              <w:left w:val="nil"/>
              <w:bottom w:val="nil"/>
              <w:right w:val="nil"/>
            </w:tcBorders>
            <w:shd w:val="clear" w:color="auto" w:fill="auto"/>
            <w:vAlign w:val="center"/>
          </w:tcPr>
          <w:p w14:paraId="305BB2F7" w14:textId="77777777" w:rsidR="00375569" w:rsidRPr="00531062" w:rsidRDefault="00375569" w:rsidP="003F43F8">
            <w:pPr>
              <w:pStyle w:val="08-Tabelageral"/>
              <w:jc w:val="left"/>
            </w:pPr>
            <w:r>
              <w:rPr>
                <w:rFonts w:cs="Arial"/>
                <w:color w:val="000000"/>
                <w:szCs w:val="14"/>
              </w:rPr>
              <w:t>Promoções e relações públicas</w:t>
            </w:r>
          </w:p>
        </w:tc>
        <w:tc>
          <w:tcPr>
            <w:tcW w:w="604" w:type="dxa"/>
            <w:shd w:val="clear" w:color="auto" w:fill="auto"/>
            <w:vAlign w:val="center"/>
          </w:tcPr>
          <w:p w14:paraId="48ED6DF2" w14:textId="77777777" w:rsidR="00375569" w:rsidRPr="00B636F4" w:rsidRDefault="00375569" w:rsidP="003F43F8">
            <w:pPr>
              <w:pStyle w:val="08-Tabelageral"/>
              <w:rPr>
                <w:rFonts w:cs="Arial"/>
                <w:szCs w:val="14"/>
              </w:rPr>
            </w:pPr>
          </w:p>
        </w:tc>
        <w:tc>
          <w:tcPr>
            <w:tcW w:w="1411" w:type="dxa"/>
            <w:shd w:val="clear" w:color="auto" w:fill="auto"/>
          </w:tcPr>
          <w:p w14:paraId="579FA9F0" w14:textId="77777777" w:rsidR="00375569" w:rsidRDefault="00375569" w:rsidP="003F43F8">
            <w:pPr>
              <w:pStyle w:val="08-Tabelageral"/>
              <w:rPr>
                <w:rFonts w:cs="Arial"/>
                <w:szCs w:val="14"/>
              </w:rPr>
            </w:pPr>
            <w:r w:rsidRPr="000547D5">
              <w:t>(41)</w:t>
            </w:r>
          </w:p>
        </w:tc>
        <w:tc>
          <w:tcPr>
            <w:tcW w:w="1412" w:type="dxa"/>
            <w:shd w:val="clear" w:color="auto" w:fill="auto"/>
          </w:tcPr>
          <w:p w14:paraId="234751E7" w14:textId="77777777" w:rsidR="00375569" w:rsidRPr="009D6773" w:rsidRDefault="00375569" w:rsidP="003F43F8">
            <w:pPr>
              <w:pStyle w:val="08-Tabelageral"/>
              <w:rPr>
                <w:rFonts w:cs="Arial"/>
                <w:szCs w:val="14"/>
              </w:rPr>
            </w:pPr>
            <w:r w:rsidRPr="004A551E">
              <w:t>(29)</w:t>
            </w:r>
          </w:p>
        </w:tc>
        <w:tc>
          <w:tcPr>
            <w:tcW w:w="283" w:type="dxa"/>
            <w:shd w:val="clear" w:color="auto" w:fill="auto"/>
            <w:vAlign w:val="center"/>
          </w:tcPr>
          <w:p w14:paraId="021DCC1C" w14:textId="77777777" w:rsidR="00375569" w:rsidRPr="00B636F4" w:rsidRDefault="00375569" w:rsidP="003F43F8">
            <w:pPr>
              <w:pStyle w:val="08-Tabelageral"/>
              <w:rPr>
                <w:rFonts w:cs="Arial"/>
                <w:szCs w:val="14"/>
              </w:rPr>
            </w:pPr>
          </w:p>
        </w:tc>
        <w:tc>
          <w:tcPr>
            <w:tcW w:w="1417" w:type="dxa"/>
            <w:shd w:val="clear" w:color="auto" w:fill="auto"/>
          </w:tcPr>
          <w:p w14:paraId="4C2C02B2" w14:textId="77777777" w:rsidR="00375569" w:rsidRDefault="00375569" w:rsidP="003F43F8">
            <w:pPr>
              <w:pStyle w:val="08-Tabelageral"/>
              <w:rPr>
                <w:rFonts w:cs="Arial"/>
                <w:szCs w:val="14"/>
              </w:rPr>
            </w:pPr>
            <w:r w:rsidRPr="004C3084">
              <w:t>(733)</w:t>
            </w:r>
          </w:p>
        </w:tc>
        <w:tc>
          <w:tcPr>
            <w:tcW w:w="1526" w:type="dxa"/>
            <w:shd w:val="clear" w:color="auto" w:fill="auto"/>
          </w:tcPr>
          <w:p w14:paraId="4F704D2B" w14:textId="77777777" w:rsidR="00375569" w:rsidRPr="00410E8D" w:rsidRDefault="00375569" w:rsidP="003F43F8">
            <w:pPr>
              <w:pStyle w:val="08-Tabelageral"/>
              <w:rPr>
                <w:rFonts w:cs="Arial"/>
                <w:szCs w:val="14"/>
              </w:rPr>
            </w:pPr>
            <w:r w:rsidRPr="00837803">
              <w:t>(148)</w:t>
            </w:r>
          </w:p>
        </w:tc>
      </w:tr>
      <w:tr w:rsidR="00375569" w:rsidRPr="004078D0" w14:paraId="6106FBF1" w14:textId="77777777" w:rsidTr="00303FA1">
        <w:trPr>
          <w:trHeight w:val="238"/>
          <w:jc w:val="center"/>
        </w:trPr>
        <w:tc>
          <w:tcPr>
            <w:tcW w:w="2986" w:type="dxa"/>
            <w:gridSpan w:val="2"/>
            <w:tcBorders>
              <w:top w:val="nil"/>
              <w:left w:val="nil"/>
              <w:bottom w:val="nil"/>
              <w:right w:val="nil"/>
            </w:tcBorders>
            <w:shd w:val="clear" w:color="auto" w:fill="auto"/>
            <w:vAlign w:val="bottom"/>
          </w:tcPr>
          <w:p w14:paraId="09C3CEFB" w14:textId="77777777" w:rsidR="00375569" w:rsidRPr="00B636F4" w:rsidRDefault="00375569" w:rsidP="003F43F8">
            <w:pPr>
              <w:pStyle w:val="08-Tabelageral"/>
              <w:jc w:val="left"/>
            </w:pPr>
            <w:r>
              <w:rPr>
                <w:rFonts w:cs="Arial"/>
                <w:color w:val="000000"/>
                <w:szCs w:val="14"/>
              </w:rPr>
              <w:t>Gastos com comunicação</w:t>
            </w:r>
          </w:p>
        </w:tc>
        <w:tc>
          <w:tcPr>
            <w:tcW w:w="604" w:type="dxa"/>
            <w:shd w:val="clear" w:color="auto" w:fill="auto"/>
            <w:vAlign w:val="center"/>
          </w:tcPr>
          <w:p w14:paraId="37E834D2" w14:textId="77777777" w:rsidR="00375569" w:rsidRPr="00B636F4" w:rsidRDefault="00375569" w:rsidP="003F43F8">
            <w:pPr>
              <w:pStyle w:val="08-Tabelageral"/>
              <w:rPr>
                <w:rFonts w:cs="Arial"/>
                <w:szCs w:val="14"/>
              </w:rPr>
            </w:pPr>
          </w:p>
        </w:tc>
        <w:tc>
          <w:tcPr>
            <w:tcW w:w="1411" w:type="dxa"/>
            <w:shd w:val="clear" w:color="auto" w:fill="auto"/>
          </w:tcPr>
          <w:p w14:paraId="623F3A9F" w14:textId="77777777" w:rsidR="00375569" w:rsidRPr="00B636F4" w:rsidRDefault="00375569" w:rsidP="003F43F8">
            <w:pPr>
              <w:pStyle w:val="08-Tabelageral"/>
              <w:rPr>
                <w:rFonts w:cs="Arial"/>
                <w:szCs w:val="14"/>
              </w:rPr>
            </w:pPr>
            <w:r w:rsidRPr="000547D5">
              <w:t>(325)</w:t>
            </w:r>
          </w:p>
        </w:tc>
        <w:tc>
          <w:tcPr>
            <w:tcW w:w="1412" w:type="dxa"/>
            <w:shd w:val="clear" w:color="auto" w:fill="auto"/>
          </w:tcPr>
          <w:p w14:paraId="2EB8D9E7" w14:textId="77777777" w:rsidR="00375569" w:rsidRPr="00B636F4" w:rsidRDefault="00375569" w:rsidP="003F43F8">
            <w:pPr>
              <w:pStyle w:val="08-Tabelageral"/>
            </w:pPr>
            <w:r w:rsidRPr="004A551E">
              <w:t>(127)</w:t>
            </w:r>
          </w:p>
        </w:tc>
        <w:tc>
          <w:tcPr>
            <w:tcW w:w="283" w:type="dxa"/>
            <w:shd w:val="clear" w:color="auto" w:fill="auto"/>
            <w:vAlign w:val="center"/>
          </w:tcPr>
          <w:p w14:paraId="048C3B3A" w14:textId="77777777" w:rsidR="00375569" w:rsidRPr="00B636F4" w:rsidRDefault="00375569" w:rsidP="003F43F8">
            <w:pPr>
              <w:pStyle w:val="08-Tabelageral"/>
              <w:rPr>
                <w:rFonts w:cs="Arial"/>
                <w:szCs w:val="14"/>
              </w:rPr>
            </w:pPr>
          </w:p>
        </w:tc>
        <w:tc>
          <w:tcPr>
            <w:tcW w:w="1417" w:type="dxa"/>
            <w:shd w:val="clear" w:color="auto" w:fill="auto"/>
          </w:tcPr>
          <w:p w14:paraId="12C8DE6A" w14:textId="77777777" w:rsidR="00375569" w:rsidRPr="00B636F4" w:rsidRDefault="00375569" w:rsidP="003F43F8">
            <w:pPr>
              <w:pStyle w:val="08-Tabelageral"/>
              <w:rPr>
                <w:rFonts w:cs="Arial"/>
                <w:szCs w:val="14"/>
              </w:rPr>
            </w:pPr>
            <w:r w:rsidRPr="004C3084">
              <w:t>(727)</w:t>
            </w:r>
          </w:p>
        </w:tc>
        <w:tc>
          <w:tcPr>
            <w:tcW w:w="1526" w:type="dxa"/>
            <w:shd w:val="clear" w:color="auto" w:fill="auto"/>
          </w:tcPr>
          <w:p w14:paraId="3F0940C8" w14:textId="77777777" w:rsidR="00375569" w:rsidRPr="00714C80" w:rsidRDefault="00375569" w:rsidP="003F43F8">
            <w:pPr>
              <w:pStyle w:val="08-Tabelageral"/>
              <w:rPr>
                <w:rFonts w:cs="Arial"/>
                <w:szCs w:val="14"/>
              </w:rPr>
            </w:pPr>
            <w:r w:rsidRPr="00837803">
              <w:t>(778)</w:t>
            </w:r>
          </w:p>
        </w:tc>
      </w:tr>
      <w:tr w:rsidR="00375569" w:rsidRPr="004078D0" w14:paraId="15055D3A" w14:textId="77777777" w:rsidTr="00303FA1">
        <w:trPr>
          <w:trHeight w:val="238"/>
          <w:jc w:val="center"/>
        </w:trPr>
        <w:tc>
          <w:tcPr>
            <w:tcW w:w="2986" w:type="dxa"/>
            <w:gridSpan w:val="2"/>
            <w:tcBorders>
              <w:top w:val="nil"/>
              <w:left w:val="nil"/>
              <w:bottom w:val="nil"/>
              <w:right w:val="nil"/>
            </w:tcBorders>
            <w:shd w:val="clear" w:color="auto" w:fill="auto"/>
            <w:vAlign w:val="bottom"/>
          </w:tcPr>
          <w:p w14:paraId="63FC2ABC" w14:textId="77777777" w:rsidR="00375569" w:rsidRPr="00714C80" w:rsidRDefault="00375569" w:rsidP="003F43F8">
            <w:pPr>
              <w:pStyle w:val="08-Tabelageral"/>
              <w:jc w:val="left"/>
            </w:pPr>
            <w:r>
              <w:rPr>
                <w:rFonts w:cs="Arial"/>
                <w:color w:val="000000"/>
                <w:szCs w:val="14"/>
              </w:rPr>
              <w:t>Publicações</w:t>
            </w:r>
          </w:p>
        </w:tc>
        <w:tc>
          <w:tcPr>
            <w:tcW w:w="604" w:type="dxa"/>
            <w:tcBorders>
              <w:bottom w:val="nil"/>
            </w:tcBorders>
            <w:shd w:val="clear" w:color="auto" w:fill="auto"/>
            <w:vAlign w:val="center"/>
          </w:tcPr>
          <w:p w14:paraId="5C00547F" w14:textId="77777777" w:rsidR="00375569" w:rsidRPr="00714C80" w:rsidRDefault="00375569" w:rsidP="003F43F8">
            <w:pPr>
              <w:pStyle w:val="08-Tabelageral"/>
              <w:rPr>
                <w:rFonts w:cs="Arial"/>
                <w:szCs w:val="14"/>
              </w:rPr>
            </w:pPr>
          </w:p>
        </w:tc>
        <w:tc>
          <w:tcPr>
            <w:tcW w:w="1411" w:type="dxa"/>
            <w:tcBorders>
              <w:bottom w:val="nil"/>
            </w:tcBorders>
            <w:shd w:val="clear" w:color="auto" w:fill="auto"/>
          </w:tcPr>
          <w:p w14:paraId="13B6830D" w14:textId="77777777" w:rsidR="00375569" w:rsidRPr="00714C80" w:rsidRDefault="00375569" w:rsidP="003F43F8">
            <w:pPr>
              <w:pStyle w:val="08-Tabelageral"/>
              <w:rPr>
                <w:rFonts w:cs="Arial"/>
                <w:szCs w:val="14"/>
              </w:rPr>
            </w:pPr>
            <w:r w:rsidRPr="000547D5">
              <w:t>(150)</w:t>
            </w:r>
          </w:p>
        </w:tc>
        <w:tc>
          <w:tcPr>
            <w:tcW w:w="1412" w:type="dxa"/>
            <w:tcBorders>
              <w:bottom w:val="nil"/>
            </w:tcBorders>
            <w:shd w:val="clear" w:color="auto" w:fill="auto"/>
          </w:tcPr>
          <w:p w14:paraId="5BCE4750" w14:textId="77777777" w:rsidR="00375569" w:rsidRPr="00714C80" w:rsidRDefault="00375569" w:rsidP="003F43F8">
            <w:pPr>
              <w:pStyle w:val="08-Tabelageral"/>
            </w:pPr>
            <w:r w:rsidRPr="004A551E">
              <w:t>(51)</w:t>
            </w:r>
          </w:p>
        </w:tc>
        <w:tc>
          <w:tcPr>
            <w:tcW w:w="283" w:type="dxa"/>
            <w:tcBorders>
              <w:bottom w:val="nil"/>
            </w:tcBorders>
            <w:shd w:val="clear" w:color="auto" w:fill="auto"/>
            <w:vAlign w:val="center"/>
          </w:tcPr>
          <w:p w14:paraId="1392ADBE" w14:textId="77777777" w:rsidR="00375569" w:rsidRPr="00714C80" w:rsidRDefault="00375569" w:rsidP="003F43F8">
            <w:pPr>
              <w:pStyle w:val="08-Tabelageral"/>
              <w:rPr>
                <w:rFonts w:cs="Arial"/>
                <w:szCs w:val="14"/>
              </w:rPr>
            </w:pPr>
          </w:p>
        </w:tc>
        <w:tc>
          <w:tcPr>
            <w:tcW w:w="1417" w:type="dxa"/>
            <w:tcBorders>
              <w:bottom w:val="nil"/>
            </w:tcBorders>
            <w:shd w:val="clear" w:color="auto" w:fill="auto"/>
          </w:tcPr>
          <w:p w14:paraId="7D201827" w14:textId="77777777" w:rsidR="00375569" w:rsidRPr="00714C80" w:rsidRDefault="00375569" w:rsidP="003F43F8">
            <w:pPr>
              <w:pStyle w:val="08-Tabelageral"/>
              <w:rPr>
                <w:rFonts w:cs="Arial"/>
                <w:szCs w:val="14"/>
              </w:rPr>
            </w:pPr>
            <w:r w:rsidRPr="004C3084">
              <w:t>(645)</w:t>
            </w:r>
          </w:p>
        </w:tc>
        <w:tc>
          <w:tcPr>
            <w:tcW w:w="1526" w:type="dxa"/>
            <w:tcBorders>
              <w:bottom w:val="nil"/>
            </w:tcBorders>
            <w:shd w:val="clear" w:color="auto" w:fill="auto"/>
          </w:tcPr>
          <w:p w14:paraId="534B90F8" w14:textId="77777777" w:rsidR="00375569" w:rsidRPr="00714C80" w:rsidRDefault="00375569" w:rsidP="003F43F8">
            <w:pPr>
              <w:pStyle w:val="08-Tabelageral"/>
              <w:rPr>
                <w:rFonts w:cs="Arial"/>
                <w:szCs w:val="14"/>
              </w:rPr>
            </w:pPr>
            <w:r w:rsidRPr="00837803">
              <w:t>(415)</w:t>
            </w:r>
          </w:p>
        </w:tc>
      </w:tr>
      <w:tr w:rsidR="00375569" w:rsidRPr="004078D0" w14:paraId="14BEA0F4" w14:textId="77777777" w:rsidTr="00303FA1">
        <w:trPr>
          <w:trHeight w:val="238"/>
          <w:jc w:val="center"/>
        </w:trPr>
        <w:tc>
          <w:tcPr>
            <w:tcW w:w="2986" w:type="dxa"/>
            <w:gridSpan w:val="2"/>
            <w:tcBorders>
              <w:top w:val="nil"/>
              <w:left w:val="nil"/>
              <w:bottom w:val="nil"/>
              <w:right w:val="nil"/>
            </w:tcBorders>
            <w:shd w:val="clear" w:color="auto" w:fill="auto"/>
            <w:vAlign w:val="bottom"/>
          </w:tcPr>
          <w:p w14:paraId="09D63977" w14:textId="77777777" w:rsidR="00375569" w:rsidRPr="00714C80" w:rsidRDefault="00375569" w:rsidP="003F43F8">
            <w:pPr>
              <w:pStyle w:val="08-Tabelageral"/>
              <w:jc w:val="left"/>
            </w:pPr>
            <w:r>
              <w:rPr>
                <w:rFonts w:cs="Arial"/>
                <w:color w:val="000000"/>
                <w:szCs w:val="14"/>
              </w:rPr>
              <w:t>Viagens a serviço</w:t>
            </w:r>
          </w:p>
        </w:tc>
        <w:tc>
          <w:tcPr>
            <w:tcW w:w="604" w:type="dxa"/>
            <w:tcBorders>
              <w:top w:val="nil"/>
              <w:bottom w:val="nil"/>
            </w:tcBorders>
            <w:shd w:val="clear" w:color="auto" w:fill="auto"/>
            <w:vAlign w:val="center"/>
          </w:tcPr>
          <w:p w14:paraId="7A6730F7" w14:textId="77777777" w:rsidR="00375569" w:rsidRPr="00714C80" w:rsidRDefault="00375569" w:rsidP="003F43F8">
            <w:pPr>
              <w:pStyle w:val="08-Tabelageral"/>
              <w:rPr>
                <w:rFonts w:cs="Arial"/>
                <w:szCs w:val="14"/>
              </w:rPr>
            </w:pPr>
          </w:p>
        </w:tc>
        <w:tc>
          <w:tcPr>
            <w:tcW w:w="1411" w:type="dxa"/>
            <w:tcBorders>
              <w:top w:val="nil"/>
              <w:bottom w:val="nil"/>
            </w:tcBorders>
            <w:shd w:val="clear" w:color="auto" w:fill="auto"/>
          </w:tcPr>
          <w:p w14:paraId="63CE7069" w14:textId="77777777" w:rsidR="00375569" w:rsidRPr="00714C80" w:rsidRDefault="00375569" w:rsidP="003F43F8">
            <w:pPr>
              <w:pStyle w:val="08-Tabelageral"/>
              <w:rPr>
                <w:rFonts w:cs="Arial"/>
                <w:szCs w:val="14"/>
              </w:rPr>
            </w:pPr>
            <w:r w:rsidRPr="000547D5">
              <w:t>(83)</w:t>
            </w:r>
          </w:p>
        </w:tc>
        <w:tc>
          <w:tcPr>
            <w:tcW w:w="1412" w:type="dxa"/>
            <w:tcBorders>
              <w:top w:val="nil"/>
              <w:bottom w:val="nil"/>
            </w:tcBorders>
            <w:shd w:val="clear" w:color="auto" w:fill="auto"/>
          </w:tcPr>
          <w:p w14:paraId="01BB4F94" w14:textId="77777777" w:rsidR="00375569" w:rsidRPr="00714C80" w:rsidRDefault="00375569" w:rsidP="003F43F8">
            <w:pPr>
              <w:pStyle w:val="08-Tabelageral"/>
            </w:pPr>
            <w:r w:rsidRPr="004A551E">
              <w:t>(273)</w:t>
            </w:r>
          </w:p>
        </w:tc>
        <w:tc>
          <w:tcPr>
            <w:tcW w:w="283" w:type="dxa"/>
            <w:tcBorders>
              <w:top w:val="nil"/>
              <w:bottom w:val="nil"/>
            </w:tcBorders>
            <w:shd w:val="clear" w:color="auto" w:fill="auto"/>
            <w:vAlign w:val="center"/>
          </w:tcPr>
          <w:p w14:paraId="09E895AB" w14:textId="77777777" w:rsidR="00375569" w:rsidRPr="00714C80" w:rsidRDefault="00375569" w:rsidP="003F43F8">
            <w:pPr>
              <w:pStyle w:val="08-Tabelageral"/>
              <w:rPr>
                <w:rFonts w:cs="Arial"/>
                <w:szCs w:val="14"/>
              </w:rPr>
            </w:pPr>
          </w:p>
        </w:tc>
        <w:tc>
          <w:tcPr>
            <w:tcW w:w="1417" w:type="dxa"/>
            <w:tcBorders>
              <w:top w:val="nil"/>
              <w:bottom w:val="nil"/>
            </w:tcBorders>
            <w:shd w:val="clear" w:color="auto" w:fill="auto"/>
          </w:tcPr>
          <w:p w14:paraId="3AC27DBE" w14:textId="77777777" w:rsidR="00375569" w:rsidRPr="00714C80" w:rsidRDefault="00375569" w:rsidP="003F43F8">
            <w:pPr>
              <w:pStyle w:val="08-Tabelageral"/>
              <w:rPr>
                <w:rFonts w:cs="Arial"/>
                <w:szCs w:val="14"/>
              </w:rPr>
            </w:pPr>
            <w:r w:rsidRPr="004C3084">
              <w:t>(410)</w:t>
            </w:r>
          </w:p>
        </w:tc>
        <w:tc>
          <w:tcPr>
            <w:tcW w:w="1526" w:type="dxa"/>
            <w:tcBorders>
              <w:top w:val="nil"/>
              <w:bottom w:val="nil"/>
            </w:tcBorders>
            <w:shd w:val="clear" w:color="auto" w:fill="auto"/>
          </w:tcPr>
          <w:p w14:paraId="525EAA78" w14:textId="77777777" w:rsidR="00375569" w:rsidRPr="00714C80" w:rsidRDefault="00375569" w:rsidP="003F43F8">
            <w:pPr>
              <w:pStyle w:val="08-Tabelageral"/>
              <w:rPr>
                <w:rFonts w:cs="Arial"/>
                <w:szCs w:val="14"/>
              </w:rPr>
            </w:pPr>
            <w:r w:rsidRPr="00837803">
              <w:t>(1.521)</w:t>
            </w:r>
          </w:p>
        </w:tc>
      </w:tr>
      <w:tr w:rsidR="00375569" w:rsidRPr="004078D0" w14:paraId="765AA98E" w14:textId="77777777" w:rsidTr="00303FA1">
        <w:trPr>
          <w:trHeight w:val="238"/>
          <w:jc w:val="center"/>
        </w:trPr>
        <w:tc>
          <w:tcPr>
            <w:tcW w:w="2986" w:type="dxa"/>
            <w:gridSpan w:val="2"/>
            <w:tcBorders>
              <w:top w:val="nil"/>
              <w:left w:val="nil"/>
              <w:bottom w:val="nil"/>
              <w:right w:val="nil"/>
            </w:tcBorders>
            <w:shd w:val="clear" w:color="auto" w:fill="auto"/>
            <w:vAlign w:val="center"/>
          </w:tcPr>
          <w:p w14:paraId="70315E92" w14:textId="77777777" w:rsidR="00375569" w:rsidRDefault="00375569" w:rsidP="003F43F8">
            <w:pPr>
              <w:pStyle w:val="08-Tabelageral"/>
              <w:jc w:val="left"/>
            </w:pPr>
            <w:r>
              <w:rPr>
                <w:rFonts w:cs="Arial"/>
                <w:color w:val="000000"/>
                <w:szCs w:val="14"/>
              </w:rPr>
              <w:t>Promoções de vendas</w:t>
            </w:r>
          </w:p>
        </w:tc>
        <w:tc>
          <w:tcPr>
            <w:tcW w:w="604" w:type="dxa"/>
            <w:tcBorders>
              <w:top w:val="nil"/>
              <w:bottom w:val="nil"/>
            </w:tcBorders>
            <w:shd w:val="clear" w:color="auto" w:fill="auto"/>
            <w:vAlign w:val="center"/>
          </w:tcPr>
          <w:p w14:paraId="3105EE24" w14:textId="77777777" w:rsidR="00375569" w:rsidRPr="00714C80" w:rsidRDefault="00375569" w:rsidP="003F43F8">
            <w:pPr>
              <w:pStyle w:val="08-Tabelageral"/>
              <w:rPr>
                <w:rFonts w:cs="Arial"/>
                <w:szCs w:val="14"/>
              </w:rPr>
            </w:pPr>
          </w:p>
        </w:tc>
        <w:tc>
          <w:tcPr>
            <w:tcW w:w="1411" w:type="dxa"/>
            <w:tcBorders>
              <w:top w:val="nil"/>
              <w:bottom w:val="nil"/>
            </w:tcBorders>
            <w:shd w:val="clear" w:color="auto" w:fill="auto"/>
          </w:tcPr>
          <w:p w14:paraId="4B8DB285" w14:textId="77777777" w:rsidR="00375569" w:rsidRPr="00714C80" w:rsidRDefault="00375569" w:rsidP="003F43F8">
            <w:pPr>
              <w:pStyle w:val="08-Tabelageral"/>
              <w:rPr>
                <w:rFonts w:cs="Arial"/>
                <w:szCs w:val="14"/>
              </w:rPr>
            </w:pPr>
            <w:r w:rsidRPr="000547D5">
              <w:t>--</w:t>
            </w:r>
          </w:p>
        </w:tc>
        <w:tc>
          <w:tcPr>
            <w:tcW w:w="1412" w:type="dxa"/>
            <w:tcBorders>
              <w:top w:val="nil"/>
              <w:bottom w:val="nil"/>
            </w:tcBorders>
            <w:shd w:val="clear" w:color="auto" w:fill="auto"/>
          </w:tcPr>
          <w:p w14:paraId="1606712F" w14:textId="77777777" w:rsidR="00375569" w:rsidRPr="00714C80" w:rsidRDefault="00375569" w:rsidP="003F43F8">
            <w:pPr>
              <w:pStyle w:val="08-Tabelageral"/>
            </w:pPr>
            <w:r w:rsidRPr="004A551E">
              <w:t>--</w:t>
            </w:r>
          </w:p>
        </w:tc>
        <w:tc>
          <w:tcPr>
            <w:tcW w:w="283" w:type="dxa"/>
            <w:tcBorders>
              <w:top w:val="nil"/>
              <w:bottom w:val="nil"/>
            </w:tcBorders>
            <w:shd w:val="clear" w:color="auto" w:fill="auto"/>
            <w:vAlign w:val="center"/>
          </w:tcPr>
          <w:p w14:paraId="1030DBE3" w14:textId="77777777" w:rsidR="00375569" w:rsidRPr="00714C80" w:rsidRDefault="00375569" w:rsidP="003F43F8">
            <w:pPr>
              <w:pStyle w:val="08-Tabelageral"/>
              <w:rPr>
                <w:rFonts w:cs="Arial"/>
                <w:szCs w:val="14"/>
              </w:rPr>
            </w:pPr>
          </w:p>
        </w:tc>
        <w:tc>
          <w:tcPr>
            <w:tcW w:w="1417" w:type="dxa"/>
            <w:tcBorders>
              <w:top w:val="nil"/>
              <w:bottom w:val="nil"/>
            </w:tcBorders>
            <w:shd w:val="clear" w:color="auto" w:fill="auto"/>
          </w:tcPr>
          <w:p w14:paraId="3D7055B4" w14:textId="77777777" w:rsidR="00375569" w:rsidRPr="00714C80" w:rsidRDefault="00375569" w:rsidP="003F43F8">
            <w:pPr>
              <w:pStyle w:val="08-Tabelageral"/>
              <w:rPr>
                <w:rFonts w:cs="Arial"/>
                <w:szCs w:val="14"/>
              </w:rPr>
            </w:pPr>
            <w:r w:rsidRPr="004C3084">
              <w:t>(236)</w:t>
            </w:r>
          </w:p>
        </w:tc>
        <w:tc>
          <w:tcPr>
            <w:tcW w:w="1526" w:type="dxa"/>
            <w:tcBorders>
              <w:top w:val="nil"/>
              <w:bottom w:val="nil"/>
            </w:tcBorders>
            <w:shd w:val="clear" w:color="auto" w:fill="auto"/>
          </w:tcPr>
          <w:p w14:paraId="1994A3C0" w14:textId="77777777" w:rsidR="00375569" w:rsidRPr="00714C80" w:rsidRDefault="00375569" w:rsidP="003F43F8">
            <w:pPr>
              <w:pStyle w:val="08-Tabelageral"/>
              <w:rPr>
                <w:rFonts w:cs="Arial"/>
                <w:szCs w:val="14"/>
              </w:rPr>
            </w:pPr>
            <w:r w:rsidRPr="00837803">
              <w:t>(9.324)</w:t>
            </w:r>
          </w:p>
        </w:tc>
      </w:tr>
      <w:tr w:rsidR="00375569" w:rsidRPr="004078D0" w14:paraId="0B4438FC" w14:textId="77777777" w:rsidTr="00303FA1">
        <w:trPr>
          <w:trHeight w:val="238"/>
          <w:jc w:val="center"/>
        </w:trPr>
        <w:tc>
          <w:tcPr>
            <w:tcW w:w="2986" w:type="dxa"/>
            <w:gridSpan w:val="2"/>
            <w:tcBorders>
              <w:top w:val="nil"/>
              <w:left w:val="nil"/>
              <w:bottom w:val="nil"/>
              <w:right w:val="nil"/>
            </w:tcBorders>
            <w:shd w:val="clear" w:color="auto" w:fill="auto"/>
            <w:vAlign w:val="bottom"/>
          </w:tcPr>
          <w:p w14:paraId="0F279E41" w14:textId="77777777" w:rsidR="00375569" w:rsidRPr="00531062" w:rsidRDefault="00375569" w:rsidP="003F43F8">
            <w:pPr>
              <w:pStyle w:val="08-Tabelageral"/>
              <w:jc w:val="left"/>
            </w:pPr>
            <w:r>
              <w:rPr>
                <w:rFonts w:cs="Arial"/>
                <w:color w:val="000000"/>
                <w:szCs w:val="14"/>
              </w:rPr>
              <w:t>Serviços contratados de terceiros</w:t>
            </w:r>
          </w:p>
        </w:tc>
        <w:tc>
          <w:tcPr>
            <w:tcW w:w="604" w:type="dxa"/>
            <w:tcBorders>
              <w:top w:val="nil"/>
              <w:bottom w:val="nil"/>
            </w:tcBorders>
            <w:shd w:val="clear" w:color="auto" w:fill="auto"/>
            <w:vAlign w:val="center"/>
          </w:tcPr>
          <w:p w14:paraId="7DEEEC37" w14:textId="77777777" w:rsidR="00375569" w:rsidRPr="00714C80" w:rsidRDefault="00375569" w:rsidP="003F43F8">
            <w:pPr>
              <w:pStyle w:val="08-Tabelageral"/>
              <w:rPr>
                <w:rFonts w:cs="Arial"/>
                <w:szCs w:val="14"/>
              </w:rPr>
            </w:pPr>
          </w:p>
        </w:tc>
        <w:tc>
          <w:tcPr>
            <w:tcW w:w="1411" w:type="dxa"/>
            <w:tcBorders>
              <w:top w:val="nil"/>
              <w:bottom w:val="nil"/>
            </w:tcBorders>
            <w:shd w:val="clear" w:color="auto" w:fill="auto"/>
          </w:tcPr>
          <w:p w14:paraId="51E8FA8F" w14:textId="77777777" w:rsidR="00375569" w:rsidRDefault="00375569" w:rsidP="003F43F8">
            <w:pPr>
              <w:pStyle w:val="08-Tabelageral"/>
              <w:rPr>
                <w:rFonts w:cs="Arial"/>
                <w:szCs w:val="14"/>
              </w:rPr>
            </w:pPr>
            <w:r w:rsidRPr="000547D5">
              <w:t>(23)</w:t>
            </w:r>
          </w:p>
        </w:tc>
        <w:tc>
          <w:tcPr>
            <w:tcW w:w="1412" w:type="dxa"/>
            <w:tcBorders>
              <w:top w:val="nil"/>
              <w:bottom w:val="nil"/>
            </w:tcBorders>
            <w:shd w:val="clear" w:color="auto" w:fill="auto"/>
          </w:tcPr>
          <w:p w14:paraId="71E10E19" w14:textId="77777777" w:rsidR="00375569" w:rsidRPr="009D6773" w:rsidRDefault="00375569" w:rsidP="003F43F8">
            <w:pPr>
              <w:pStyle w:val="08-Tabelageral"/>
              <w:rPr>
                <w:rFonts w:cs="Arial"/>
                <w:szCs w:val="14"/>
              </w:rPr>
            </w:pPr>
            <w:r w:rsidRPr="004A551E">
              <w:t>(25)</w:t>
            </w:r>
          </w:p>
        </w:tc>
        <w:tc>
          <w:tcPr>
            <w:tcW w:w="283" w:type="dxa"/>
            <w:tcBorders>
              <w:top w:val="nil"/>
              <w:bottom w:val="nil"/>
            </w:tcBorders>
            <w:shd w:val="clear" w:color="auto" w:fill="auto"/>
            <w:vAlign w:val="center"/>
          </w:tcPr>
          <w:p w14:paraId="61E6C03A" w14:textId="77777777" w:rsidR="00375569" w:rsidRPr="00714C80" w:rsidRDefault="00375569" w:rsidP="003F43F8">
            <w:pPr>
              <w:pStyle w:val="08-Tabelageral"/>
              <w:rPr>
                <w:rFonts w:cs="Arial"/>
                <w:szCs w:val="14"/>
              </w:rPr>
            </w:pPr>
          </w:p>
        </w:tc>
        <w:tc>
          <w:tcPr>
            <w:tcW w:w="1417" w:type="dxa"/>
            <w:tcBorders>
              <w:top w:val="nil"/>
              <w:bottom w:val="nil"/>
            </w:tcBorders>
            <w:shd w:val="clear" w:color="auto" w:fill="auto"/>
          </w:tcPr>
          <w:p w14:paraId="6C6967AE" w14:textId="77777777" w:rsidR="00375569" w:rsidRDefault="00375569" w:rsidP="003F43F8">
            <w:pPr>
              <w:pStyle w:val="08-Tabelageral"/>
              <w:rPr>
                <w:rFonts w:cs="Arial"/>
                <w:szCs w:val="14"/>
              </w:rPr>
            </w:pPr>
            <w:r w:rsidRPr="004C3084">
              <w:t>(152)</w:t>
            </w:r>
          </w:p>
        </w:tc>
        <w:tc>
          <w:tcPr>
            <w:tcW w:w="1526" w:type="dxa"/>
            <w:tcBorders>
              <w:top w:val="nil"/>
              <w:bottom w:val="nil"/>
            </w:tcBorders>
            <w:shd w:val="clear" w:color="auto" w:fill="auto"/>
          </w:tcPr>
          <w:p w14:paraId="22BB6CA8" w14:textId="77777777" w:rsidR="00375569" w:rsidRPr="00410E8D" w:rsidRDefault="00375569" w:rsidP="003F43F8">
            <w:pPr>
              <w:pStyle w:val="08-Tabelageral"/>
              <w:rPr>
                <w:rFonts w:cs="Arial"/>
                <w:szCs w:val="14"/>
              </w:rPr>
            </w:pPr>
            <w:r w:rsidRPr="00837803">
              <w:t>(164)</w:t>
            </w:r>
          </w:p>
        </w:tc>
      </w:tr>
      <w:tr w:rsidR="00375569" w:rsidRPr="004078D0" w14:paraId="4D057D5B" w14:textId="77777777" w:rsidTr="003F43F8">
        <w:trPr>
          <w:trHeight w:val="238"/>
          <w:jc w:val="center"/>
        </w:trPr>
        <w:tc>
          <w:tcPr>
            <w:tcW w:w="2986" w:type="dxa"/>
            <w:gridSpan w:val="2"/>
            <w:tcBorders>
              <w:top w:val="nil"/>
              <w:left w:val="nil"/>
              <w:bottom w:val="nil"/>
              <w:right w:val="nil"/>
            </w:tcBorders>
            <w:shd w:val="clear" w:color="auto" w:fill="auto"/>
            <w:vAlign w:val="center"/>
          </w:tcPr>
          <w:p w14:paraId="534AC7C1" w14:textId="77777777" w:rsidR="00375569" w:rsidRDefault="00375569" w:rsidP="003F43F8">
            <w:pPr>
              <w:pStyle w:val="08-Tabelageral"/>
              <w:jc w:val="left"/>
            </w:pPr>
            <w:r>
              <w:rPr>
                <w:rFonts w:cs="Arial"/>
                <w:color w:val="000000"/>
                <w:szCs w:val="14"/>
              </w:rPr>
              <w:t>Outras</w:t>
            </w:r>
          </w:p>
        </w:tc>
        <w:tc>
          <w:tcPr>
            <w:tcW w:w="604" w:type="dxa"/>
            <w:tcBorders>
              <w:top w:val="nil"/>
              <w:bottom w:val="nil"/>
            </w:tcBorders>
            <w:shd w:val="clear" w:color="auto" w:fill="auto"/>
            <w:vAlign w:val="center"/>
          </w:tcPr>
          <w:p w14:paraId="76DE1765" w14:textId="77777777" w:rsidR="00375569" w:rsidRPr="00714C80" w:rsidRDefault="00375569" w:rsidP="003F43F8">
            <w:pPr>
              <w:pStyle w:val="08-Tabelageral"/>
              <w:rPr>
                <w:rFonts w:cs="Arial"/>
                <w:szCs w:val="14"/>
              </w:rPr>
            </w:pPr>
          </w:p>
        </w:tc>
        <w:tc>
          <w:tcPr>
            <w:tcW w:w="1411" w:type="dxa"/>
            <w:tcBorders>
              <w:top w:val="nil"/>
              <w:bottom w:val="nil"/>
            </w:tcBorders>
            <w:shd w:val="clear" w:color="auto" w:fill="auto"/>
          </w:tcPr>
          <w:p w14:paraId="41346731" w14:textId="77777777" w:rsidR="00375569" w:rsidRPr="00714C80" w:rsidRDefault="00375569" w:rsidP="003F43F8">
            <w:pPr>
              <w:pStyle w:val="08-Tabelageral"/>
              <w:rPr>
                <w:rFonts w:cs="Arial"/>
                <w:szCs w:val="14"/>
              </w:rPr>
            </w:pPr>
            <w:r w:rsidRPr="000547D5">
              <w:t>(179)</w:t>
            </w:r>
          </w:p>
        </w:tc>
        <w:tc>
          <w:tcPr>
            <w:tcW w:w="1412" w:type="dxa"/>
            <w:tcBorders>
              <w:top w:val="nil"/>
              <w:bottom w:val="nil"/>
            </w:tcBorders>
            <w:shd w:val="clear" w:color="auto" w:fill="auto"/>
          </w:tcPr>
          <w:p w14:paraId="1267930D" w14:textId="77777777" w:rsidR="00375569" w:rsidRPr="00714C80" w:rsidRDefault="00375569" w:rsidP="003F43F8">
            <w:pPr>
              <w:pStyle w:val="08-Tabelageral"/>
            </w:pPr>
            <w:r w:rsidRPr="004A551E">
              <w:t>(294)</w:t>
            </w:r>
          </w:p>
        </w:tc>
        <w:tc>
          <w:tcPr>
            <w:tcW w:w="283" w:type="dxa"/>
            <w:tcBorders>
              <w:top w:val="nil"/>
              <w:bottom w:val="nil"/>
            </w:tcBorders>
            <w:shd w:val="clear" w:color="auto" w:fill="auto"/>
            <w:vAlign w:val="center"/>
          </w:tcPr>
          <w:p w14:paraId="2A8121CE" w14:textId="77777777" w:rsidR="00375569" w:rsidRPr="00714C80" w:rsidRDefault="00375569" w:rsidP="003F43F8">
            <w:pPr>
              <w:pStyle w:val="08-Tabelageral"/>
              <w:rPr>
                <w:rFonts w:cs="Arial"/>
                <w:szCs w:val="14"/>
              </w:rPr>
            </w:pPr>
          </w:p>
        </w:tc>
        <w:tc>
          <w:tcPr>
            <w:tcW w:w="1417" w:type="dxa"/>
            <w:tcBorders>
              <w:top w:val="nil"/>
              <w:bottom w:val="nil"/>
            </w:tcBorders>
            <w:shd w:val="clear" w:color="auto" w:fill="auto"/>
          </w:tcPr>
          <w:p w14:paraId="36FAABA3" w14:textId="77777777" w:rsidR="00375569" w:rsidRPr="00714C80" w:rsidRDefault="00375569" w:rsidP="003F43F8">
            <w:pPr>
              <w:pStyle w:val="08-Tabelageral"/>
              <w:rPr>
                <w:rFonts w:cs="Arial"/>
                <w:szCs w:val="14"/>
              </w:rPr>
            </w:pPr>
            <w:r w:rsidRPr="004C3084">
              <w:t>(2.283)</w:t>
            </w:r>
          </w:p>
        </w:tc>
        <w:tc>
          <w:tcPr>
            <w:tcW w:w="1526" w:type="dxa"/>
            <w:tcBorders>
              <w:top w:val="nil"/>
              <w:bottom w:val="nil"/>
            </w:tcBorders>
            <w:shd w:val="clear" w:color="auto" w:fill="auto"/>
          </w:tcPr>
          <w:p w14:paraId="499750D9" w14:textId="77777777" w:rsidR="00375569" w:rsidRPr="00714C80" w:rsidRDefault="00375569" w:rsidP="003F43F8">
            <w:pPr>
              <w:pStyle w:val="08-Tabelageral"/>
              <w:rPr>
                <w:rFonts w:cs="Arial"/>
                <w:szCs w:val="14"/>
              </w:rPr>
            </w:pPr>
            <w:r w:rsidRPr="00837803">
              <w:t>(2.850)</w:t>
            </w:r>
          </w:p>
        </w:tc>
      </w:tr>
      <w:tr w:rsidR="00375569" w:rsidRPr="003F43F8" w14:paraId="68C54ED7" w14:textId="77777777" w:rsidTr="003F43F8">
        <w:trPr>
          <w:trHeight w:val="238"/>
          <w:jc w:val="center"/>
        </w:trPr>
        <w:tc>
          <w:tcPr>
            <w:tcW w:w="2986" w:type="dxa"/>
            <w:gridSpan w:val="2"/>
            <w:tcBorders>
              <w:top w:val="nil"/>
              <w:left w:val="nil"/>
              <w:bottom w:val="single" w:sz="2" w:space="0" w:color="1F4E79" w:themeColor="accent1" w:themeShade="80"/>
              <w:right w:val="nil"/>
            </w:tcBorders>
            <w:shd w:val="clear" w:color="auto" w:fill="auto"/>
            <w:vAlign w:val="center"/>
          </w:tcPr>
          <w:p w14:paraId="66A6F4CE" w14:textId="77777777" w:rsidR="00375569" w:rsidRPr="003F43F8" w:rsidRDefault="00375569" w:rsidP="003F43F8">
            <w:pPr>
              <w:pStyle w:val="08-Tabelageral"/>
              <w:jc w:val="left"/>
              <w:rPr>
                <w:b/>
                <w:bCs/>
              </w:rPr>
            </w:pPr>
            <w:r w:rsidRPr="003F43F8">
              <w:rPr>
                <w:rFonts w:cs="Arial"/>
                <w:b/>
                <w:bCs/>
                <w:color w:val="000000"/>
                <w:szCs w:val="14"/>
              </w:rPr>
              <w:t>Total</w:t>
            </w:r>
          </w:p>
        </w:tc>
        <w:tc>
          <w:tcPr>
            <w:tcW w:w="604" w:type="dxa"/>
            <w:tcBorders>
              <w:top w:val="nil"/>
              <w:bottom w:val="single" w:sz="2" w:space="0" w:color="1F4E79" w:themeColor="accent1" w:themeShade="80"/>
            </w:tcBorders>
            <w:shd w:val="clear" w:color="auto" w:fill="auto"/>
            <w:vAlign w:val="center"/>
          </w:tcPr>
          <w:p w14:paraId="2E0A807E" w14:textId="77777777" w:rsidR="00375569" w:rsidRPr="003F43F8" w:rsidRDefault="00375569" w:rsidP="003F43F8">
            <w:pPr>
              <w:pStyle w:val="08-Tabelageral"/>
              <w:rPr>
                <w:rFonts w:cs="Arial"/>
                <w:b/>
                <w:bCs/>
                <w:szCs w:val="14"/>
              </w:rPr>
            </w:pPr>
          </w:p>
        </w:tc>
        <w:tc>
          <w:tcPr>
            <w:tcW w:w="1411" w:type="dxa"/>
            <w:tcBorders>
              <w:top w:val="nil"/>
              <w:bottom w:val="single" w:sz="2" w:space="0" w:color="1F4E79" w:themeColor="accent1" w:themeShade="80"/>
            </w:tcBorders>
            <w:shd w:val="clear" w:color="auto" w:fill="auto"/>
          </w:tcPr>
          <w:p w14:paraId="63F02CB3" w14:textId="77777777" w:rsidR="00375569" w:rsidRPr="003F43F8" w:rsidRDefault="00375569" w:rsidP="003F43F8">
            <w:pPr>
              <w:pStyle w:val="08-Tabelageral"/>
              <w:rPr>
                <w:rFonts w:cs="Arial"/>
                <w:b/>
                <w:bCs/>
                <w:szCs w:val="14"/>
              </w:rPr>
            </w:pPr>
            <w:r w:rsidRPr="003F43F8">
              <w:rPr>
                <w:b/>
                <w:bCs/>
              </w:rPr>
              <w:t>(3.152)</w:t>
            </w:r>
          </w:p>
        </w:tc>
        <w:tc>
          <w:tcPr>
            <w:tcW w:w="1412" w:type="dxa"/>
            <w:tcBorders>
              <w:top w:val="nil"/>
              <w:bottom w:val="single" w:sz="2" w:space="0" w:color="1F4E79" w:themeColor="accent1" w:themeShade="80"/>
            </w:tcBorders>
            <w:shd w:val="clear" w:color="auto" w:fill="auto"/>
          </w:tcPr>
          <w:p w14:paraId="0FEFC172" w14:textId="77777777" w:rsidR="00375569" w:rsidRPr="003F43F8" w:rsidRDefault="00375569" w:rsidP="003F43F8">
            <w:pPr>
              <w:pStyle w:val="08-Tabelageral"/>
              <w:rPr>
                <w:rFonts w:cs="Arial"/>
                <w:b/>
                <w:bCs/>
                <w:szCs w:val="14"/>
              </w:rPr>
            </w:pPr>
            <w:r w:rsidRPr="003F43F8">
              <w:rPr>
                <w:b/>
                <w:bCs/>
              </w:rPr>
              <w:t>(3.096)</w:t>
            </w:r>
          </w:p>
        </w:tc>
        <w:tc>
          <w:tcPr>
            <w:tcW w:w="283" w:type="dxa"/>
            <w:tcBorders>
              <w:top w:val="nil"/>
              <w:bottom w:val="single" w:sz="2" w:space="0" w:color="1F4E79" w:themeColor="accent1" w:themeShade="80"/>
            </w:tcBorders>
            <w:shd w:val="clear" w:color="auto" w:fill="auto"/>
            <w:vAlign w:val="center"/>
          </w:tcPr>
          <w:p w14:paraId="7BDCF3E6" w14:textId="77777777" w:rsidR="00375569" w:rsidRPr="003F43F8" w:rsidRDefault="00375569" w:rsidP="003F43F8">
            <w:pPr>
              <w:pStyle w:val="08-Tabelageral"/>
              <w:rPr>
                <w:rFonts w:cs="Arial"/>
                <w:b/>
                <w:bCs/>
                <w:szCs w:val="14"/>
              </w:rPr>
            </w:pPr>
          </w:p>
        </w:tc>
        <w:tc>
          <w:tcPr>
            <w:tcW w:w="1417" w:type="dxa"/>
            <w:tcBorders>
              <w:top w:val="nil"/>
              <w:bottom w:val="single" w:sz="2" w:space="0" w:color="1F4E79" w:themeColor="accent1" w:themeShade="80"/>
            </w:tcBorders>
            <w:shd w:val="clear" w:color="auto" w:fill="auto"/>
          </w:tcPr>
          <w:p w14:paraId="6685B550" w14:textId="77777777" w:rsidR="00375569" w:rsidRPr="003F43F8" w:rsidRDefault="00375569" w:rsidP="003F43F8">
            <w:pPr>
              <w:pStyle w:val="08-Tabelageral"/>
              <w:rPr>
                <w:rFonts w:cs="Arial"/>
                <w:b/>
                <w:bCs/>
                <w:szCs w:val="14"/>
              </w:rPr>
            </w:pPr>
            <w:r w:rsidRPr="003F43F8">
              <w:rPr>
                <w:b/>
                <w:bCs/>
              </w:rPr>
              <w:t>(38.266)</w:t>
            </w:r>
          </w:p>
        </w:tc>
        <w:tc>
          <w:tcPr>
            <w:tcW w:w="1526" w:type="dxa"/>
            <w:tcBorders>
              <w:top w:val="nil"/>
              <w:bottom w:val="single" w:sz="2" w:space="0" w:color="1F4E79" w:themeColor="accent1" w:themeShade="80"/>
            </w:tcBorders>
            <w:shd w:val="clear" w:color="auto" w:fill="auto"/>
          </w:tcPr>
          <w:p w14:paraId="3289BA85" w14:textId="77777777" w:rsidR="00375569" w:rsidRPr="003F43F8" w:rsidRDefault="00375569" w:rsidP="003F43F8">
            <w:pPr>
              <w:pStyle w:val="08-Tabelageral"/>
              <w:rPr>
                <w:rFonts w:cs="Arial"/>
                <w:b/>
                <w:bCs/>
                <w:szCs w:val="14"/>
              </w:rPr>
            </w:pPr>
            <w:r w:rsidRPr="003F43F8">
              <w:rPr>
                <w:b/>
                <w:bCs/>
              </w:rPr>
              <w:t>(69.424)</w:t>
            </w:r>
          </w:p>
        </w:tc>
      </w:tr>
    </w:tbl>
    <w:bookmarkEnd w:id="81"/>
    <w:p w14:paraId="746E75BA" w14:textId="77777777" w:rsidR="00375569" w:rsidRDefault="00375569" w:rsidP="007F4615">
      <w:pPr>
        <w:pStyle w:val="PargrafodaLista"/>
        <w:numPr>
          <w:ilvl w:val="0"/>
          <w:numId w:val="29"/>
        </w:numPr>
        <w:spacing w:before="120" w:after="0" w:line="240" w:lineRule="auto"/>
        <w:ind w:left="284" w:hanging="284"/>
        <w:jc w:val="both"/>
        <w:rPr>
          <w:rFonts w:ascii="Arial" w:hAnsi="Arial" w:cs="Arial"/>
          <w:sz w:val="14"/>
          <w:szCs w:val="14"/>
          <w:lang w:eastAsia="pt-BR"/>
        </w:rPr>
      </w:pPr>
      <w:r>
        <w:rPr>
          <w:rFonts w:ascii="Arial" w:hAnsi="Arial" w:cs="Arial"/>
          <w:sz w:val="14"/>
          <w:szCs w:val="14"/>
          <w:lang w:eastAsia="pt-BR"/>
        </w:rPr>
        <w:t>No exercício de 2021 (Consolidado) refere-se às doações e patrocínios incentivados. N</w:t>
      </w:r>
      <w:r w:rsidRPr="008D4290">
        <w:rPr>
          <w:rFonts w:ascii="Arial" w:hAnsi="Arial" w:cs="Arial"/>
          <w:sz w:val="14"/>
          <w:szCs w:val="14"/>
          <w:lang w:eastAsia="pt-BR"/>
        </w:rPr>
        <w:t>o</w:t>
      </w:r>
      <w:r>
        <w:rPr>
          <w:rFonts w:ascii="Arial" w:hAnsi="Arial" w:cs="Arial"/>
          <w:sz w:val="14"/>
          <w:szCs w:val="14"/>
          <w:lang w:eastAsia="pt-BR"/>
        </w:rPr>
        <w:t xml:space="preserve"> exercício de 2020</w:t>
      </w:r>
      <w:r w:rsidRPr="008D4290">
        <w:rPr>
          <w:rFonts w:ascii="Arial" w:hAnsi="Arial" w:cs="Arial"/>
          <w:sz w:val="14"/>
          <w:szCs w:val="14"/>
          <w:lang w:eastAsia="pt-BR"/>
        </w:rPr>
        <w:t xml:space="preserve"> (Consolidado) inclui </w:t>
      </w:r>
      <w:r>
        <w:rPr>
          <w:rFonts w:ascii="Arial" w:hAnsi="Arial" w:cs="Arial"/>
          <w:sz w:val="14"/>
          <w:szCs w:val="14"/>
          <w:lang w:eastAsia="pt-BR"/>
        </w:rPr>
        <w:t>o montante de R$ 40.000 mil referente à</w:t>
      </w:r>
      <w:r w:rsidRPr="008D4290">
        <w:rPr>
          <w:rFonts w:ascii="Arial" w:hAnsi="Arial" w:cs="Arial"/>
          <w:sz w:val="14"/>
          <w:szCs w:val="14"/>
          <w:lang w:eastAsia="pt-BR"/>
        </w:rPr>
        <w:t>s doações efetuadas via Fundação Banco do Brasil, com objetivo de conter os efeitos da pandemia de coronavírus.</w:t>
      </w:r>
    </w:p>
    <w:p w14:paraId="4CA768CA" w14:textId="77777777" w:rsidR="00375569" w:rsidRPr="000A1A66" w:rsidRDefault="00375569" w:rsidP="000A1A66">
      <w:pPr>
        <w:spacing w:after="0" w:line="240" w:lineRule="auto"/>
        <w:jc w:val="both"/>
      </w:pPr>
    </w:p>
    <w:p w14:paraId="0749EE60" w14:textId="23A298AE" w:rsidR="00375569" w:rsidRPr="00725333" w:rsidRDefault="00375569" w:rsidP="00725333">
      <w:pPr>
        <w:pStyle w:val="02-TtulodeNota"/>
        <w:keepNext/>
        <w:keepLines/>
        <w:pageBreakBefore/>
        <w:rPr>
          <w:color w:val="1F4E79" w:themeColor="accent1" w:themeShade="80"/>
        </w:rPr>
      </w:pPr>
      <w:bookmarkStart w:id="82" w:name="OLE_LINK13"/>
      <w:bookmarkStart w:id="83" w:name="_Toc94861070"/>
      <w:r w:rsidRPr="00725333">
        <w:rPr>
          <w:color w:val="1F4E79" w:themeColor="accent1" w:themeShade="80"/>
        </w:rPr>
        <w:lastRenderedPageBreak/>
        <w:t>12 – TRIBUTOS</w:t>
      </w:r>
      <w:bookmarkEnd w:id="83"/>
    </w:p>
    <w:p w14:paraId="3A4A9A23" w14:textId="77777777" w:rsidR="00375569" w:rsidRPr="007A0EE9" w:rsidRDefault="00375569" w:rsidP="00581CEE">
      <w:pPr>
        <w:spacing w:after="40"/>
        <w:rPr>
          <w:rFonts w:cs="Arial"/>
          <w:b/>
          <w:color w:val="1F4E79" w:themeColor="accent1" w:themeShade="80"/>
          <w:sz w:val="20"/>
          <w:szCs w:val="20"/>
        </w:rPr>
      </w:pPr>
      <w:r w:rsidRPr="007A0EE9">
        <w:rPr>
          <w:rFonts w:cs="Arial"/>
          <w:b/>
          <w:color w:val="1F4E79" w:themeColor="accent1" w:themeShade="80"/>
          <w:sz w:val="20"/>
          <w:szCs w:val="20"/>
        </w:rPr>
        <w:t>a) Demonstração da Despesa de IR e CS</w:t>
      </w:r>
    </w:p>
    <w:p w14:paraId="5B081292" w14:textId="77777777" w:rsidR="00375569" w:rsidRPr="00FF3D4B" w:rsidRDefault="00375569" w:rsidP="007A0EE9">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3F4B3F" w14:paraId="1BE82A88" w14:textId="77777777" w:rsidTr="00725333">
        <w:trPr>
          <w:trHeight w:val="238"/>
          <w:jc w:val="center"/>
        </w:trPr>
        <w:tc>
          <w:tcPr>
            <w:tcW w:w="3094" w:type="dxa"/>
            <w:tcBorders>
              <w:top w:val="single" w:sz="2" w:space="0" w:color="1F4E79" w:themeColor="accent1" w:themeShade="80"/>
              <w:bottom w:val="nil"/>
            </w:tcBorders>
            <w:shd w:val="clear" w:color="auto" w:fill="auto"/>
            <w:vAlign w:val="center"/>
          </w:tcPr>
          <w:p w14:paraId="5FBD4D6B" w14:textId="77777777" w:rsidR="00375569" w:rsidRPr="003F4B3F" w:rsidRDefault="00375569" w:rsidP="003F4B3F">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7C4FEEAA" w14:textId="77777777" w:rsidR="00375569" w:rsidRPr="003F4B3F" w:rsidRDefault="00375569" w:rsidP="003F4B3F">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183E612" w14:textId="77777777" w:rsidR="00375569" w:rsidRPr="003F4B3F" w:rsidRDefault="00375569" w:rsidP="003F4B3F">
            <w:pPr>
              <w:spacing w:after="0"/>
              <w:jc w:val="center"/>
              <w:rPr>
                <w:rFonts w:cs="Arial"/>
                <w:b/>
                <w:sz w:val="14"/>
                <w:szCs w:val="18"/>
              </w:rPr>
            </w:pPr>
            <w:r w:rsidRPr="003F4B3F">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C1E132F" w14:textId="77777777" w:rsidR="00375569" w:rsidRPr="003F4B3F" w:rsidRDefault="00375569" w:rsidP="003F4B3F">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8D2D954" w14:textId="77777777" w:rsidR="00375569" w:rsidRPr="003F4B3F" w:rsidRDefault="00375569" w:rsidP="003F4B3F">
            <w:pPr>
              <w:spacing w:after="0"/>
              <w:jc w:val="center"/>
              <w:rPr>
                <w:rFonts w:cs="Arial"/>
                <w:b/>
                <w:szCs w:val="18"/>
              </w:rPr>
            </w:pPr>
            <w:r w:rsidRPr="003F4B3F">
              <w:rPr>
                <w:rFonts w:cs="Arial"/>
                <w:b/>
                <w:sz w:val="14"/>
                <w:szCs w:val="18"/>
              </w:rPr>
              <w:t>Consolidado</w:t>
            </w:r>
          </w:p>
        </w:tc>
      </w:tr>
      <w:tr w:rsidR="00375569" w:rsidRPr="003F4B3F" w14:paraId="055CCF09" w14:textId="77777777" w:rsidTr="00725333">
        <w:trPr>
          <w:trHeight w:val="238"/>
          <w:jc w:val="center"/>
        </w:trPr>
        <w:tc>
          <w:tcPr>
            <w:tcW w:w="3094" w:type="dxa"/>
            <w:tcBorders>
              <w:top w:val="nil"/>
              <w:bottom w:val="single" w:sz="2" w:space="0" w:color="1F4E79" w:themeColor="accent1" w:themeShade="80"/>
            </w:tcBorders>
            <w:shd w:val="clear" w:color="auto" w:fill="auto"/>
            <w:vAlign w:val="center"/>
          </w:tcPr>
          <w:p w14:paraId="34B47408" w14:textId="77777777" w:rsidR="00375569" w:rsidRPr="003F4B3F" w:rsidRDefault="00375569" w:rsidP="007607AB">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09D41B78" w14:textId="77777777" w:rsidR="00375569" w:rsidRPr="003F4B3F" w:rsidRDefault="00375569" w:rsidP="007607AB">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92E85CA" w14:textId="77777777" w:rsidR="00375569" w:rsidRPr="007607AB" w:rsidRDefault="00375569" w:rsidP="00A17988">
            <w:pPr>
              <w:pStyle w:val="08-Tabelageral"/>
              <w:rPr>
                <w:rFonts w:cs="Arial"/>
                <w:b/>
              </w:rPr>
            </w:pPr>
            <w:r>
              <w:rPr>
                <w:b/>
              </w:rPr>
              <w:t>Exercício 2021</w:t>
            </w:r>
          </w:p>
        </w:tc>
        <w:tc>
          <w:tcPr>
            <w:tcW w:w="1412" w:type="dxa"/>
            <w:tcBorders>
              <w:top w:val="single" w:sz="2" w:space="0" w:color="1F4E79" w:themeColor="accent1" w:themeShade="80"/>
              <w:bottom w:val="single" w:sz="2" w:space="0" w:color="1F4E79" w:themeColor="accent1" w:themeShade="80"/>
            </w:tcBorders>
            <w:shd w:val="clear" w:color="auto" w:fill="auto"/>
          </w:tcPr>
          <w:p w14:paraId="78CF5CE3" w14:textId="77777777" w:rsidR="00375569" w:rsidRPr="007607AB" w:rsidRDefault="00375569" w:rsidP="00A17988">
            <w:pPr>
              <w:pStyle w:val="08-Tabelageral"/>
              <w:rPr>
                <w:rFonts w:cs="Arial"/>
                <w:b/>
              </w:rPr>
            </w:pPr>
            <w:r>
              <w:rPr>
                <w:b/>
              </w:rPr>
              <w:t xml:space="preserve">Exercício </w:t>
            </w:r>
            <w:r w:rsidRPr="007607AB">
              <w:rPr>
                <w:b/>
              </w:rPr>
              <w:t>20</w:t>
            </w:r>
            <w:r>
              <w:rPr>
                <w:b/>
              </w:rPr>
              <w:t>20</w:t>
            </w:r>
          </w:p>
        </w:tc>
        <w:tc>
          <w:tcPr>
            <w:tcW w:w="283" w:type="dxa"/>
            <w:tcBorders>
              <w:top w:val="nil"/>
              <w:bottom w:val="single" w:sz="2" w:space="0" w:color="1F4E79" w:themeColor="accent1" w:themeShade="80"/>
            </w:tcBorders>
            <w:shd w:val="clear" w:color="auto" w:fill="auto"/>
          </w:tcPr>
          <w:p w14:paraId="462B6DBF" w14:textId="77777777" w:rsidR="00375569" w:rsidRPr="007607AB" w:rsidRDefault="00375569" w:rsidP="007607AB">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0B1E06D7" w14:textId="77777777" w:rsidR="00375569" w:rsidRPr="007607AB" w:rsidRDefault="00375569" w:rsidP="00A17988">
            <w:pPr>
              <w:pStyle w:val="08-Tabelageral"/>
              <w:rPr>
                <w:rFonts w:cs="Arial"/>
                <w:b/>
              </w:rPr>
            </w:pPr>
            <w:r>
              <w:rPr>
                <w:b/>
              </w:rPr>
              <w:t>Exercício 2021</w:t>
            </w:r>
          </w:p>
        </w:tc>
        <w:tc>
          <w:tcPr>
            <w:tcW w:w="1418" w:type="dxa"/>
            <w:tcBorders>
              <w:top w:val="single" w:sz="2" w:space="0" w:color="1F4E79" w:themeColor="accent1" w:themeShade="80"/>
              <w:bottom w:val="single" w:sz="2" w:space="0" w:color="1F4E79" w:themeColor="accent1" w:themeShade="80"/>
            </w:tcBorders>
            <w:shd w:val="clear" w:color="auto" w:fill="auto"/>
          </w:tcPr>
          <w:p w14:paraId="19F92067" w14:textId="77777777" w:rsidR="00375569" w:rsidRPr="007607AB" w:rsidRDefault="00375569" w:rsidP="00A17988">
            <w:pPr>
              <w:pStyle w:val="08-Tabelageral"/>
              <w:rPr>
                <w:rFonts w:cs="Arial"/>
                <w:b/>
              </w:rPr>
            </w:pPr>
            <w:r>
              <w:rPr>
                <w:b/>
              </w:rPr>
              <w:t>Exercício 2020</w:t>
            </w:r>
          </w:p>
        </w:tc>
      </w:tr>
      <w:tr w:rsidR="00375569" w:rsidRPr="003F4B3F" w14:paraId="7938F9B0" w14:textId="77777777" w:rsidTr="00725333">
        <w:trPr>
          <w:trHeight w:val="238"/>
          <w:jc w:val="center"/>
        </w:trPr>
        <w:tc>
          <w:tcPr>
            <w:tcW w:w="3094" w:type="dxa"/>
            <w:tcBorders>
              <w:top w:val="single" w:sz="2" w:space="0" w:color="1F4E79" w:themeColor="accent1" w:themeShade="80"/>
              <w:bottom w:val="nil"/>
            </w:tcBorders>
            <w:shd w:val="clear" w:color="auto" w:fill="auto"/>
          </w:tcPr>
          <w:p w14:paraId="547F47E9" w14:textId="77777777" w:rsidR="00375569" w:rsidRPr="003F4B3F" w:rsidRDefault="00375569" w:rsidP="00686028">
            <w:pPr>
              <w:pStyle w:val="08-Tabelageral"/>
              <w:jc w:val="left"/>
              <w:rPr>
                <w:rFonts w:cs="Arial"/>
                <w:b/>
                <w:bCs/>
                <w:szCs w:val="14"/>
              </w:rPr>
            </w:pPr>
            <w:r w:rsidRPr="003F4B3F">
              <w:rPr>
                <w:rFonts w:cs="Arial"/>
                <w:b/>
                <w:szCs w:val="14"/>
              </w:rPr>
              <w:t>Valores Correntes</w:t>
            </w:r>
          </w:p>
        </w:tc>
        <w:tc>
          <w:tcPr>
            <w:tcW w:w="604" w:type="dxa"/>
            <w:tcBorders>
              <w:top w:val="single" w:sz="2" w:space="0" w:color="1F4E79" w:themeColor="accent1" w:themeShade="80"/>
              <w:bottom w:val="nil"/>
            </w:tcBorders>
            <w:shd w:val="clear" w:color="auto" w:fill="auto"/>
          </w:tcPr>
          <w:p w14:paraId="31F6A5F7" w14:textId="77777777" w:rsidR="00375569" w:rsidRPr="003F4B3F" w:rsidRDefault="00375569" w:rsidP="00686028">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5E49B2EB" w14:textId="77777777" w:rsidR="00375569" w:rsidRPr="007607AB" w:rsidRDefault="00375569" w:rsidP="00686028">
            <w:pPr>
              <w:pStyle w:val="08-Tabelageral"/>
              <w:rPr>
                <w:rFonts w:cs="Arial"/>
                <w:b/>
                <w:szCs w:val="14"/>
              </w:rPr>
            </w:pPr>
            <w:r>
              <w:rPr>
                <w:rFonts w:cs="Arial"/>
                <w:b/>
                <w:szCs w:val="14"/>
              </w:rPr>
              <w:t>(4.636)</w:t>
            </w:r>
          </w:p>
        </w:tc>
        <w:tc>
          <w:tcPr>
            <w:tcW w:w="1412" w:type="dxa"/>
            <w:tcBorders>
              <w:top w:val="single" w:sz="2" w:space="0" w:color="1F4E79" w:themeColor="accent1" w:themeShade="80"/>
              <w:bottom w:val="nil"/>
            </w:tcBorders>
            <w:shd w:val="clear" w:color="auto" w:fill="auto"/>
            <w:vAlign w:val="center"/>
          </w:tcPr>
          <w:p w14:paraId="4C61D86F" w14:textId="77777777" w:rsidR="00375569" w:rsidRPr="007607AB" w:rsidRDefault="00375569" w:rsidP="00686028">
            <w:pPr>
              <w:pStyle w:val="08-Tabelageral"/>
              <w:rPr>
                <w:rFonts w:cs="Arial"/>
                <w:b/>
              </w:rPr>
            </w:pPr>
            <w:r>
              <w:rPr>
                <w:rFonts w:cs="Arial"/>
                <w:b/>
              </w:rPr>
              <w:t>(9.071)</w:t>
            </w:r>
          </w:p>
        </w:tc>
        <w:tc>
          <w:tcPr>
            <w:tcW w:w="283" w:type="dxa"/>
            <w:tcBorders>
              <w:top w:val="single" w:sz="2" w:space="0" w:color="1F4E79" w:themeColor="accent1" w:themeShade="80"/>
              <w:bottom w:val="nil"/>
            </w:tcBorders>
            <w:shd w:val="clear" w:color="auto" w:fill="auto"/>
            <w:vAlign w:val="center"/>
          </w:tcPr>
          <w:p w14:paraId="60B8E5DA" w14:textId="77777777" w:rsidR="00375569" w:rsidRPr="007607AB" w:rsidRDefault="00375569" w:rsidP="0068602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3056B9A2" w14:textId="77777777" w:rsidR="00375569" w:rsidRPr="007607AB" w:rsidRDefault="00375569" w:rsidP="00686028">
            <w:pPr>
              <w:pStyle w:val="08-Tabelageral"/>
              <w:rPr>
                <w:rFonts w:cs="Arial"/>
                <w:b/>
                <w:szCs w:val="14"/>
              </w:rPr>
            </w:pPr>
            <w:r>
              <w:rPr>
                <w:rFonts w:cs="Arial"/>
                <w:b/>
                <w:szCs w:val="14"/>
              </w:rPr>
              <w:t>(1.165.219)</w:t>
            </w:r>
          </w:p>
        </w:tc>
        <w:tc>
          <w:tcPr>
            <w:tcW w:w="1418" w:type="dxa"/>
            <w:tcBorders>
              <w:top w:val="single" w:sz="2" w:space="0" w:color="1F4E79" w:themeColor="accent1" w:themeShade="80"/>
              <w:bottom w:val="nil"/>
            </w:tcBorders>
            <w:shd w:val="clear" w:color="auto" w:fill="auto"/>
            <w:vAlign w:val="center"/>
          </w:tcPr>
          <w:p w14:paraId="0A1C42BD" w14:textId="77777777" w:rsidR="00375569" w:rsidRPr="007607AB" w:rsidRDefault="00375569" w:rsidP="00686028">
            <w:pPr>
              <w:pStyle w:val="08-Tabelageral"/>
              <w:rPr>
                <w:rFonts w:cs="Arial"/>
                <w:b/>
              </w:rPr>
            </w:pPr>
            <w:r>
              <w:rPr>
                <w:rFonts w:cs="Arial"/>
                <w:b/>
              </w:rPr>
              <w:t>(1.044.162)</w:t>
            </w:r>
          </w:p>
        </w:tc>
      </w:tr>
      <w:tr w:rsidR="00375569" w:rsidRPr="001D6BE8" w14:paraId="5CF72FF9" w14:textId="77777777" w:rsidTr="00725333">
        <w:trPr>
          <w:trHeight w:val="238"/>
          <w:jc w:val="center"/>
        </w:trPr>
        <w:tc>
          <w:tcPr>
            <w:tcW w:w="3094" w:type="dxa"/>
            <w:tcBorders>
              <w:top w:val="nil"/>
            </w:tcBorders>
            <w:shd w:val="clear" w:color="auto" w:fill="auto"/>
          </w:tcPr>
          <w:p w14:paraId="19CFDB83" w14:textId="77777777" w:rsidR="00375569" w:rsidRPr="00C806B0" w:rsidRDefault="00375569" w:rsidP="00686028">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5624ECC2" w14:textId="77777777" w:rsidR="00375569" w:rsidRPr="00C806B0" w:rsidRDefault="00375569" w:rsidP="00686028">
            <w:pPr>
              <w:pStyle w:val="08-Tabelageral"/>
              <w:ind w:left="113"/>
              <w:jc w:val="center"/>
              <w:rPr>
                <w:rFonts w:cs="Arial"/>
                <w:szCs w:val="14"/>
              </w:rPr>
            </w:pPr>
          </w:p>
        </w:tc>
        <w:tc>
          <w:tcPr>
            <w:tcW w:w="1411" w:type="dxa"/>
            <w:tcBorders>
              <w:top w:val="nil"/>
            </w:tcBorders>
            <w:shd w:val="clear" w:color="auto" w:fill="auto"/>
            <w:vAlign w:val="center"/>
          </w:tcPr>
          <w:p w14:paraId="619BA2D8" w14:textId="77777777" w:rsidR="00375569" w:rsidRPr="00C806B0" w:rsidRDefault="00375569" w:rsidP="00686028">
            <w:pPr>
              <w:pStyle w:val="08-Tabelageral"/>
              <w:ind w:left="113"/>
              <w:rPr>
                <w:rFonts w:cs="Arial"/>
                <w:szCs w:val="14"/>
              </w:rPr>
            </w:pPr>
            <w:r>
              <w:rPr>
                <w:rFonts w:cs="Arial"/>
                <w:szCs w:val="14"/>
              </w:rPr>
              <w:t>(4.636)</w:t>
            </w:r>
          </w:p>
        </w:tc>
        <w:tc>
          <w:tcPr>
            <w:tcW w:w="1412" w:type="dxa"/>
            <w:tcBorders>
              <w:top w:val="nil"/>
            </w:tcBorders>
            <w:shd w:val="clear" w:color="auto" w:fill="auto"/>
            <w:vAlign w:val="center"/>
          </w:tcPr>
          <w:p w14:paraId="2AC3268A" w14:textId="77777777" w:rsidR="00375569" w:rsidRPr="00C806B0" w:rsidRDefault="00375569" w:rsidP="00686028">
            <w:pPr>
              <w:pStyle w:val="08-Tabelageral"/>
              <w:rPr>
                <w:rFonts w:cs="Arial"/>
              </w:rPr>
            </w:pPr>
            <w:r>
              <w:rPr>
                <w:rFonts w:cs="Arial"/>
              </w:rPr>
              <w:t>(9.071)</w:t>
            </w:r>
          </w:p>
        </w:tc>
        <w:tc>
          <w:tcPr>
            <w:tcW w:w="283" w:type="dxa"/>
            <w:tcBorders>
              <w:top w:val="nil"/>
            </w:tcBorders>
            <w:shd w:val="clear" w:color="auto" w:fill="auto"/>
            <w:vAlign w:val="center"/>
          </w:tcPr>
          <w:p w14:paraId="1BAA4F75" w14:textId="77777777" w:rsidR="00375569" w:rsidRPr="00C806B0" w:rsidRDefault="00375569" w:rsidP="00686028">
            <w:pPr>
              <w:pStyle w:val="08-Tabelageral"/>
              <w:ind w:left="113"/>
              <w:rPr>
                <w:rFonts w:cs="Arial"/>
                <w:szCs w:val="14"/>
              </w:rPr>
            </w:pPr>
          </w:p>
        </w:tc>
        <w:tc>
          <w:tcPr>
            <w:tcW w:w="1417" w:type="dxa"/>
            <w:tcBorders>
              <w:top w:val="nil"/>
            </w:tcBorders>
            <w:shd w:val="clear" w:color="auto" w:fill="auto"/>
            <w:vAlign w:val="center"/>
          </w:tcPr>
          <w:p w14:paraId="6FB6EE61" w14:textId="77777777" w:rsidR="00375569" w:rsidRPr="00C806B0" w:rsidRDefault="00375569" w:rsidP="00686028">
            <w:pPr>
              <w:pStyle w:val="08-Tabelageral"/>
              <w:ind w:left="113"/>
              <w:rPr>
                <w:rFonts w:cs="Arial"/>
                <w:szCs w:val="14"/>
              </w:rPr>
            </w:pPr>
            <w:r>
              <w:rPr>
                <w:rFonts w:cs="Arial"/>
                <w:szCs w:val="14"/>
              </w:rPr>
              <w:t>(1.165.219)</w:t>
            </w:r>
          </w:p>
        </w:tc>
        <w:tc>
          <w:tcPr>
            <w:tcW w:w="1418" w:type="dxa"/>
            <w:tcBorders>
              <w:top w:val="nil"/>
            </w:tcBorders>
            <w:shd w:val="clear" w:color="auto" w:fill="auto"/>
            <w:vAlign w:val="center"/>
          </w:tcPr>
          <w:p w14:paraId="57E3E5E4" w14:textId="77777777" w:rsidR="00375569" w:rsidRPr="00C806B0" w:rsidRDefault="00375569" w:rsidP="00686028">
            <w:pPr>
              <w:pStyle w:val="08-Tabelageral"/>
              <w:rPr>
                <w:rFonts w:cs="Arial"/>
              </w:rPr>
            </w:pPr>
            <w:r>
              <w:rPr>
                <w:rFonts w:cs="Arial"/>
              </w:rPr>
              <w:t>(1.044.162)</w:t>
            </w:r>
          </w:p>
        </w:tc>
      </w:tr>
      <w:tr w:rsidR="00375569" w:rsidRPr="003F4B3F" w14:paraId="1CAA9456" w14:textId="77777777" w:rsidTr="00725333">
        <w:trPr>
          <w:trHeight w:val="238"/>
          <w:jc w:val="center"/>
        </w:trPr>
        <w:tc>
          <w:tcPr>
            <w:tcW w:w="3094" w:type="dxa"/>
            <w:tcBorders>
              <w:bottom w:val="nil"/>
            </w:tcBorders>
            <w:shd w:val="clear" w:color="auto" w:fill="auto"/>
          </w:tcPr>
          <w:p w14:paraId="11F83CA0" w14:textId="77777777" w:rsidR="00375569" w:rsidRPr="003F4B3F" w:rsidRDefault="00375569" w:rsidP="00686028">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7B3A7F71" w14:textId="77777777" w:rsidR="00375569" w:rsidRPr="003F4B3F" w:rsidRDefault="00375569" w:rsidP="00686028">
            <w:pPr>
              <w:pStyle w:val="08-Tabelageral"/>
              <w:jc w:val="center"/>
              <w:rPr>
                <w:rFonts w:cs="Arial"/>
                <w:b/>
                <w:szCs w:val="14"/>
              </w:rPr>
            </w:pPr>
          </w:p>
        </w:tc>
        <w:tc>
          <w:tcPr>
            <w:tcW w:w="1411" w:type="dxa"/>
            <w:tcBorders>
              <w:bottom w:val="nil"/>
            </w:tcBorders>
            <w:shd w:val="clear" w:color="auto" w:fill="auto"/>
            <w:vAlign w:val="center"/>
          </w:tcPr>
          <w:p w14:paraId="0E381088" w14:textId="77777777" w:rsidR="00375569" w:rsidRPr="007607AB" w:rsidRDefault="00375569" w:rsidP="00686028">
            <w:pPr>
              <w:pStyle w:val="08-Tabelageral"/>
              <w:rPr>
                <w:rFonts w:cs="Arial"/>
                <w:b/>
                <w:szCs w:val="14"/>
              </w:rPr>
            </w:pPr>
            <w:r>
              <w:rPr>
                <w:rFonts w:cs="Arial"/>
                <w:b/>
                <w:szCs w:val="14"/>
              </w:rPr>
              <w:t>(69)</w:t>
            </w:r>
          </w:p>
        </w:tc>
        <w:tc>
          <w:tcPr>
            <w:tcW w:w="1412" w:type="dxa"/>
            <w:shd w:val="clear" w:color="auto" w:fill="auto"/>
            <w:vAlign w:val="center"/>
          </w:tcPr>
          <w:p w14:paraId="17DEFC43" w14:textId="77777777" w:rsidR="00375569" w:rsidRPr="007607AB" w:rsidRDefault="00375569" w:rsidP="00686028">
            <w:pPr>
              <w:pStyle w:val="08-Tabelageral"/>
              <w:rPr>
                <w:rFonts w:cs="Arial"/>
                <w:b/>
              </w:rPr>
            </w:pPr>
            <w:r>
              <w:rPr>
                <w:rFonts w:cs="Arial"/>
                <w:b/>
              </w:rPr>
              <w:t>45</w:t>
            </w:r>
          </w:p>
        </w:tc>
        <w:tc>
          <w:tcPr>
            <w:tcW w:w="283" w:type="dxa"/>
            <w:tcBorders>
              <w:bottom w:val="nil"/>
            </w:tcBorders>
            <w:shd w:val="clear" w:color="auto" w:fill="auto"/>
            <w:vAlign w:val="center"/>
          </w:tcPr>
          <w:p w14:paraId="60805B6C" w14:textId="77777777" w:rsidR="00375569" w:rsidRPr="007607AB" w:rsidRDefault="00375569" w:rsidP="00686028">
            <w:pPr>
              <w:pStyle w:val="08-Tabelageral"/>
              <w:rPr>
                <w:rFonts w:cs="Arial"/>
                <w:b/>
                <w:szCs w:val="14"/>
              </w:rPr>
            </w:pPr>
          </w:p>
        </w:tc>
        <w:tc>
          <w:tcPr>
            <w:tcW w:w="1417" w:type="dxa"/>
            <w:tcBorders>
              <w:bottom w:val="nil"/>
            </w:tcBorders>
            <w:shd w:val="clear" w:color="auto" w:fill="auto"/>
            <w:vAlign w:val="center"/>
          </w:tcPr>
          <w:p w14:paraId="37402A35" w14:textId="77777777" w:rsidR="00375569" w:rsidRPr="007607AB" w:rsidRDefault="00375569" w:rsidP="00686028">
            <w:pPr>
              <w:pStyle w:val="08-Tabelageral"/>
              <w:rPr>
                <w:rFonts w:cs="Arial"/>
                <w:b/>
                <w:szCs w:val="14"/>
              </w:rPr>
            </w:pPr>
            <w:r>
              <w:rPr>
                <w:rFonts w:cs="Arial"/>
                <w:b/>
                <w:szCs w:val="14"/>
              </w:rPr>
              <w:t>19.012</w:t>
            </w:r>
          </w:p>
        </w:tc>
        <w:tc>
          <w:tcPr>
            <w:tcW w:w="1418" w:type="dxa"/>
            <w:shd w:val="clear" w:color="auto" w:fill="auto"/>
            <w:vAlign w:val="center"/>
          </w:tcPr>
          <w:p w14:paraId="33A00347" w14:textId="77777777" w:rsidR="00375569" w:rsidRPr="007607AB" w:rsidRDefault="00375569" w:rsidP="00686028">
            <w:pPr>
              <w:pStyle w:val="08-Tabelageral"/>
              <w:rPr>
                <w:rFonts w:cs="Arial"/>
                <w:b/>
              </w:rPr>
            </w:pPr>
            <w:r>
              <w:rPr>
                <w:rFonts w:cs="Arial"/>
                <w:b/>
              </w:rPr>
              <w:t>2.293</w:t>
            </w:r>
          </w:p>
        </w:tc>
      </w:tr>
      <w:tr w:rsidR="00375569" w:rsidRPr="003F4B3F" w14:paraId="4B99571E" w14:textId="77777777" w:rsidTr="00725333">
        <w:trPr>
          <w:trHeight w:val="238"/>
          <w:jc w:val="center"/>
        </w:trPr>
        <w:tc>
          <w:tcPr>
            <w:tcW w:w="3094" w:type="dxa"/>
            <w:shd w:val="clear" w:color="auto" w:fill="auto"/>
          </w:tcPr>
          <w:p w14:paraId="57095D0A" w14:textId="77777777" w:rsidR="00375569" w:rsidRPr="003F4B3F" w:rsidRDefault="00375569" w:rsidP="00686028">
            <w:pPr>
              <w:pStyle w:val="08-Tabelageral"/>
              <w:jc w:val="left"/>
              <w:rPr>
                <w:rFonts w:cs="Arial"/>
                <w:b/>
                <w:szCs w:val="14"/>
              </w:rPr>
            </w:pPr>
            <w:r w:rsidRPr="003F4B3F">
              <w:rPr>
                <w:rFonts w:cs="Arial"/>
                <w:b/>
                <w:szCs w:val="14"/>
              </w:rPr>
              <w:t>Ativo Fiscal Diferido</w:t>
            </w:r>
          </w:p>
        </w:tc>
        <w:tc>
          <w:tcPr>
            <w:tcW w:w="604" w:type="dxa"/>
            <w:shd w:val="clear" w:color="auto" w:fill="auto"/>
          </w:tcPr>
          <w:p w14:paraId="1D433282" w14:textId="77777777" w:rsidR="00375569" w:rsidRPr="003F4B3F" w:rsidRDefault="00375569" w:rsidP="00686028">
            <w:pPr>
              <w:pStyle w:val="08-Tabelageral"/>
              <w:jc w:val="center"/>
              <w:rPr>
                <w:rFonts w:cs="Arial"/>
                <w:b/>
                <w:szCs w:val="14"/>
              </w:rPr>
            </w:pPr>
          </w:p>
        </w:tc>
        <w:tc>
          <w:tcPr>
            <w:tcW w:w="1411" w:type="dxa"/>
            <w:shd w:val="clear" w:color="auto" w:fill="auto"/>
            <w:vAlign w:val="center"/>
          </w:tcPr>
          <w:p w14:paraId="35F571F4" w14:textId="77777777" w:rsidR="00375569" w:rsidRPr="003F4B3F" w:rsidRDefault="00375569" w:rsidP="00686028">
            <w:pPr>
              <w:pStyle w:val="08-Tabelageral"/>
              <w:rPr>
                <w:rFonts w:cs="Arial"/>
                <w:b/>
                <w:szCs w:val="14"/>
              </w:rPr>
            </w:pPr>
            <w:r>
              <w:rPr>
                <w:rFonts w:cs="Arial"/>
                <w:b/>
                <w:szCs w:val="14"/>
              </w:rPr>
              <w:t>(69)</w:t>
            </w:r>
          </w:p>
        </w:tc>
        <w:tc>
          <w:tcPr>
            <w:tcW w:w="1412" w:type="dxa"/>
            <w:shd w:val="clear" w:color="auto" w:fill="auto"/>
            <w:vAlign w:val="center"/>
          </w:tcPr>
          <w:p w14:paraId="2421777B" w14:textId="77777777" w:rsidR="00375569" w:rsidRPr="003F4B3F" w:rsidRDefault="00375569" w:rsidP="00686028">
            <w:pPr>
              <w:pStyle w:val="08-Tabelageral"/>
              <w:rPr>
                <w:rFonts w:cs="Arial"/>
                <w:b/>
              </w:rPr>
            </w:pPr>
            <w:r>
              <w:rPr>
                <w:rFonts w:cs="Arial"/>
                <w:b/>
              </w:rPr>
              <w:t>45</w:t>
            </w:r>
          </w:p>
        </w:tc>
        <w:tc>
          <w:tcPr>
            <w:tcW w:w="283" w:type="dxa"/>
            <w:shd w:val="clear" w:color="auto" w:fill="auto"/>
            <w:vAlign w:val="center"/>
          </w:tcPr>
          <w:p w14:paraId="32F17B5B" w14:textId="77777777" w:rsidR="00375569" w:rsidRPr="003F4B3F" w:rsidRDefault="00375569" w:rsidP="00686028">
            <w:pPr>
              <w:pStyle w:val="08-Tabelageral"/>
              <w:rPr>
                <w:rFonts w:cs="Arial"/>
                <w:b/>
                <w:szCs w:val="14"/>
              </w:rPr>
            </w:pPr>
          </w:p>
        </w:tc>
        <w:tc>
          <w:tcPr>
            <w:tcW w:w="1417" w:type="dxa"/>
            <w:shd w:val="clear" w:color="auto" w:fill="auto"/>
            <w:vAlign w:val="center"/>
          </w:tcPr>
          <w:p w14:paraId="75162B72" w14:textId="77777777" w:rsidR="00375569" w:rsidRPr="003F4B3F" w:rsidRDefault="00375569" w:rsidP="00686028">
            <w:pPr>
              <w:pStyle w:val="08-Tabelageral"/>
              <w:rPr>
                <w:rFonts w:cs="Arial"/>
                <w:b/>
                <w:szCs w:val="14"/>
              </w:rPr>
            </w:pPr>
            <w:r>
              <w:rPr>
                <w:rFonts w:cs="Arial"/>
                <w:b/>
                <w:szCs w:val="14"/>
              </w:rPr>
              <w:t>19.012</w:t>
            </w:r>
          </w:p>
        </w:tc>
        <w:tc>
          <w:tcPr>
            <w:tcW w:w="1418" w:type="dxa"/>
            <w:shd w:val="clear" w:color="auto" w:fill="auto"/>
            <w:vAlign w:val="center"/>
          </w:tcPr>
          <w:p w14:paraId="6E8DA900" w14:textId="77777777" w:rsidR="00375569" w:rsidRPr="003F4B3F" w:rsidRDefault="00375569" w:rsidP="00686028">
            <w:pPr>
              <w:pStyle w:val="08-Tabelageral"/>
              <w:rPr>
                <w:rFonts w:cs="Arial"/>
                <w:b/>
              </w:rPr>
            </w:pPr>
            <w:r>
              <w:rPr>
                <w:rFonts w:cs="Arial"/>
                <w:b/>
              </w:rPr>
              <w:t>2.293</w:t>
            </w:r>
          </w:p>
        </w:tc>
      </w:tr>
      <w:tr w:rsidR="00375569" w:rsidRPr="001D6BE8" w14:paraId="0DE408DD" w14:textId="77777777" w:rsidTr="00725333">
        <w:trPr>
          <w:trHeight w:val="238"/>
          <w:jc w:val="center"/>
        </w:trPr>
        <w:tc>
          <w:tcPr>
            <w:tcW w:w="3094" w:type="dxa"/>
            <w:tcBorders>
              <w:bottom w:val="nil"/>
            </w:tcBorders>
            <w:shd w:val="clear" w:color="auto" w:fill="auto"/>
          </w:tcPr>
          <w:p w14:paraId="54AFE5F3" w14:textId="77777777" w:rsidR="00375569" w:rsidRPr="00C806B0" w:rsidRDefault="00375569" w:rsidP="00686028">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7B158320" w14:textId="77777777" w:rsidR="00375569" w:rsidRPr="00C806B0" w:rsidRDefault="00375569" w:rsidP="00686028">
            <w:pPr>
              <w:pStyle w:val="08-Tabelageral"/>
              <w:ind w:left="113"/>
              <w:jc w:val="center"/>
              <w:rPr>
                <w:rFonts w:cs="Arial"/>
                <w:szCs w:val="14"/>
              </w:rPr>
            </w:pPr>
          </w:p>
        </w:tc>
        <w:tc>
          <w:tcPr>
            <w:tcW w:w="1411" w:type="dxa"/>
            <w:tcBorders>
              <w:bottom w:val="nil"/>
            </w:tcBorders>
            <w:shd w:val="clear" w:color="auto" w:fill="auto"/>
            <w:vAlign w:val="center"/>
          </w:tcPr>
          <w:p w14:paraId="03545964" w14:textId="77777777" w:rsidR="00375569" w:rsidRPr="00C806B0" w:rsidRDefault="00375569" w:rsidP="00686028">
            <w:pPr>
              <w:pStyle w:val="08-Tabelageral"/>
              <w:ind w:left="113"/>
              <w:rPr>
                <w:rFonts w:cs="Arial"/>
                <w:szCs w:val="14"/>
              </w:rPr>
            </w:pPr>
            <w:r>
              <w:rPr>
                <w:rFonts w:cs="Arial"/>
                <w:szCs w:val="14"/>
              </w:rPr>
              <w:t>(69)</w:t>
            </w:r>
          </w:p>
        </w:tc>
        <w:tc>
          <w:tcPr>
            <w:tcW w:w="1412" w:type="dxa"/>
            <w:tcBorders>
              <w:bottom w:val="nil"/>
            </w:tcBorders>
            <w:shd w:val="clear" w:color="auto" w:fill="auto"/>
            <w:vAlign w:val="center"/>
          </w:tcPr>
          <w:p w14:paraId="55F6010E" w14:textId="77777777" w:rsidR="00375569" w:rsidRPr="00C806B0" w:rsidRDefault="00375569" w:rsidP="00686028">
            <w:pPr>
              <w:pStyle w:val="08-Tabelageral"/>
              <w:rPr>
                <w:rFonts w:cs="Arial"/>
              </w:rPr>
            </w:pPr>
            <w:r>
              <w:rPr>
                <w:rFonts w:cs="Arial"/>
              </w:rPr>
              <w:t>45</w:t>
            </w:r>
          </w:p>
        </w:tc>
        <w:tc>
          <w:tcPr>
            <w:tcW w:w="283" w:type="dxa"/>
            <w:tcBorders>
              <w:bottom w:val="nil"/>
            </w:tcBorders>
            <w:shd w:val="clear" w:color="auto" w:fill="auto"/>
            <w:vAlign w:val="center"/>
          </w:tcPr>
          <w:p w14:paraId="59936AFA" w14:textId="77777777" w:rsidR="00375569" w:rsidRPr="00C806B0" w:rsidRDefault="00375569" w:rsidP="00686028">
            <w:pPr>
              <w:pStyle w:val="08-Tabelageral"/>
              <w:ind w:left="113"/>
              <w:rPr>
                <w:rFonts w:cs="Arial"/>
                <w:szCs w:val="14"/>
              </w:rPr>
            </w:pPr>
          </w:p>
        </w:tc>
        <w:tc>
          <w:tcPr>
            <w:tcW w:w="1417" w:type="dxa"/>
            <w:tcBorders>
              <w:bottom w:val="nil"/>
            </w:tcBorders>
            <w:shd w:val="clear" w:color="auto" w:fill="auto"/>
            <w:vAlign w:val="center"/>
          </w:tcPr>
          <w:p w14:paraId="077BD117" w14:textId="77777777" w:rsidR="00375569" w:rsidRPr="00C806B0" w:rsidRDefault="00375569" w:rsidP="00686028">
            <w:pPr>
              <w:pStyle w:val="08-Tabelageral"/>
              <w:ind w:left="113"/>
              <w:rPr>
                <w:rFonts w:cs="Arial"/>
                <w:szCs w:val="14"/>
              </w:rPr>
            </w:pPr>
            <w:r>
              <w:rPr>
                <w:rFonts w:cs="Arial"/>
                <w:szCs w:val="14"/>
              </w:rPr>
              <w:t>19.012</w:t>
            </w:r>
          </w:p>
        </w:tc>
        <w:tc>
          <w:tcPr>
            <w:tcW w:w="1418" w:type="dxa"/>
            <w:tcBorders>
              <w:bottom w:val="nil"/>
            </w:tcBorders>
            <w:shd w:val="clear" w:color="auto" w:fill="auto"/>
            <w:vAlign w:val="center"/>
          </w:tcPr>
          <w:p w14:paraId="341111C9" w14:textId="77777777" w:rsidR="00375569" w:rsidRPr="00C806B0" w:rsidRDefault="00375569" w:rsidP="00686028">
            <w:pPr>
              <w:pStyle w:val="08-Tabelageral"/>
              <w:rPr>
                <w:rFonts w:cs="Arial"/>
              </w:rPr>
            </w:pPr>
            <w:r>
              <w:rPr>
                <w:rFonts w:cs="Arial"/>
              </w:rPr>
              <w:t>2.293</w:t>
            </w:r>
          </w:p>
        </w:tc>
      </w:tr>
      <w:tr w:rsidR="00375569" w:rsidRPr="003F4B3F" w14:paraId="645C7186" w14:textId="77777777" w:rsidTr="00725333">
        <w:trPr>
          <w:trHeight w:val="238"/>
          <w:jc w:val="center"/>
        </w:trPr>
        <w:tc>
          <w:tcPr>
            <w:tcW w:w="3094" w:type="dxa"/>
            <w:tcBorders>
              <w:top w:val="nil"/>
              <w:bottom w:val="single" w:sz="2" w:space="0" w:color="1F4E79" w:themeColor="accent1" w:themeShade="80"/>
            </w:tcBorders>
            <w:shd w:val="clear" w:color="auto" w:fill="auto"/>
          </w:tcPr>
          <w:p w14:paraId="0034CCA6" w14:textId="77777777" w:rsidR="00375569" w:rsidRPr="003F4B3F" w:rsidRDefault="00375569" w:rsidP="00686028">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049B9EED" w14:textId="77777777" w:rsidR="00375569" w:rsidRPr="003F4B3F" w:rsidRDefault="00375569" w:rsidP="00686028">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12C9A6D" w14:textId="77777777" w:rsidR="00375569" w:rsidRPr="007607AB" w:rsidRDefault="00375569" w:rsidP="00686028">
            <w:pPr>
              <w:pStyle w:val="08-Tabelageral"/>
              <w:rPr>
                <w:rFonts w:cs="Arial"/>
                <w:b/>
                <w:szCs w:val="14"/>
              </w:rPr>
            </w:pPr>
            <w:r>
              <w:rPr>
                <w:rFonts w:cs="Arial"/>
                <w:b/>
                <w:szCs w:val="14"/>
              </w:rPr>
              <w:t>(4.705)</w:t>
            </w:r>
          </w:p>
        </w:tc>
        <w:tc>
          <w:tcPr>
            <w:tcW w:w="1412" w:type="dxa"/>
            <w:tcBorders>
              <w:top w:val="nil"/>
              <w:bottom w:val="single" w:sz="2" w:space="0" w:color="1F4E79" w:themeColor="accent1" w:themeShade="80"/>
            </w:tcBorders>
            <w:shd w:val="clear" w:color="auto" w:fill="auto"/>
            <w:vAlign w:val="center"/>
          </w:tcPr>
          <w:p w14:paraId="072D35E2" w14:textId="77777777" w:rsidR="00375569" w:rsidRPr="007607AB" w:rsidRDefault="00375569" w:rsidP="00686028">
            <w:pPr>
              <w:pStyle w:val="08-Tabelageral"/>
              <w:rPr>
                <w:rFonts w:cs="Arial"/>
                <w:b/>
              </w:rPr>
            </w:pPr>
            <w:r>
              <w:rPr>
                <w:rFonts w:cs="Arial"/>
                <w:b/>
              </w:rPr>
              <w:t>(9.026)</w:t>
            </w:r>
          </w:p>
        </w:tc>
        <w:tc>
          <w:tcPr>
            <w:tcW w:w="283" w:type="dxa"/>
            <w:tcBorders>
              <w:top w:val="nil"/>
              <w:bottom w:val="single" w:sz="2" w:space="0" w:color="1F4E79" w:themeColor="accent1" w:themeShade="80"/>
            </w:tcBorders>
            <w:shd w:val="clear" w:color="auto" w:fill="auto"/>
            <w:vAlign w:val="center"/>
          </w:tcPr>
          <w:p w14:paraId="6C78CA1C" w14:textId="77777777" w:rsidR="00375569" w:rsidRPr="007607AB" w:rsidRDefault="00375569" w:rsidP="0068602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70EE780C" w14:textId="77777777" w:rsidR="00375569" w:rsidRPr="007607AB" w:rsidRDefault="00375569" w:rsidP="00686028">
            <w:pPr>
              <w:pStyle w:val="08-Tabelageral"/>
              <w:rPr>
                <w:rFonts w:cs="Arial"/>
                <w:b/>
                <w:szCs w:val="14"/>
              </w:rPr>
            </w:pPr>
            <w:r>
              <w:rPr>
                <w:rFonts w:cs="Arial"/>
                <w:b/>
                <w:szCs w:val="14"/>
              </w:rPr>
              <w:t>(1.146.207)</w:t>
            </w:r>
          </w:p>
        </w:tc>
        <w:tc>
          <w:tcPr>
            <w:tcW w:w="1418" w:type="dxa"/>
            <w:tcBorders>
              <w:top w:val="nil"/>
              <w:bottom w:val="single" w:sz="2" w:space="0" w:color="1F4E79" w:themeColor="accent1" w:themeShade="80"/>
            </w:tcBorders>
            <w:shd w:val="clear" w:color="auto" w:fill="auto"/>
            <w:vAlign w:val="center"/>
          </w:tcPr>
          <w:p w14:paraId="07806983" w14:textId="77777777" w:rsidR="00375569" w:rsidRPr="007607AB" w:rsidRDefault="00375569" w:rsidP="00686028">
            <w:pPr>
              <w:pStyle w:val="08-Tabelageral"/>
              <w:rPr>
                <w:rFonts w:cs="Arial"/>
                <w:b/>
              </w:rPr>
            </w:pPr>
            <w:r>
              <w:rPr>
                <w:rFonts w:cs="Arial"/>
                <w:b/>
              </w:rPr>
              <w:t>(1.041.869)</w:t>
            </w:r>
          </w:p>
        </w:tc>
      </w:tr>
    </w:tbl>
    <w:p w14:paraId="34E2C9B0" w14:textId="77777777" w:rsidR="00375569" w:rsidRDefault="00375569" w:rsidP="007227F6">
      <w:pPr>
        <w:spacing w:after="0"/>
        <w:jc w:val="right"/>
        <w:rPr>
          <w:rFonts w:cs="Arial"/>
          <w:b/>
          <w:sz w:val="14"/>
          <w:lang w:eastAsia="pt-BR"/>
        </w:rPr>
      </w:pPr>
    </w:p>
    <w:p w14:paraId="7B602ED0" w14:textId="77777777" w:rsidR="00375569" w:rsidRPr="00034C98" w:rsidRDefault="00375569" w:rsidP="00581CEE">
      <w:pPr>
        <w:spacing w:after="40"/>
        <w:rPr>
          <w:rFonts w:cs="Arial"/>
          <w:b/>
          <w:color w:val="1F4E79" w:themeColor="accent1" w:themeShade="80"/>
          <w:sz w:val="20"/>
          <w:szCs w:val="20"/>
        </w:rPr>
      </w:pPr>
      <w:r w:rsidRPr="00034C98">
        <w:rPr>
          <w:rFonts w:cs="Arial"/>
          <w:b/>
          <w:color w:val="1F4E79" w:themeColor="accent1" w:themeShade="80"/>
          <w:sz w:val="20"/>
          <w:szCs w:val="20"/>
        </w:rPr>
        <w:t>b) Conciliação dos Encargos de IR e CS</w:t>
      </w:r>
    </w:p>
    <w:p w14:paraId="33F0E583" w14:textId="77777777" w:rsidR="00375569" w:rsidRPr="00FF3D4B" w:rsidRDefault="00375569" w:rsidP="007A0EE9">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4"/>
        <w:gridCol w:w="284"/>
        <w:gridCol w:w="1281"/>
        <w:gridCol w:w="1412"/>
        <w:gridCol w:w="283"/>
        <w:gridCol w:w="1417"/>
        <w:gridCol w:w="1418"/>
      </w:tblGrid>
      <w:tr w:rsidR="00375569" w:rsidRPr="0019344C" w14:paraId="43101F04" w14:textId="77777777" w:rsidTr="00725333">
        <w:trPr>
          <w:trHeight w:val="238"/>
          <w:jc w:val="center"/>
        </w:trPr>
        <w:tc>
          <w:tcPr>
            <w:tcW w:w="3544" w:type="dxa"/>
            <w:tcBorders>
              <w:top w:val="single" w:sz="2" w:space="0" w:color="1F4E79" w:themeColor="accent1" w:themeShade="80"/>
              <w:bottom w:val="nil"/>
            </w:tcBorders>
            <w:shd w:val="clear" w:color="auto" w:fill="auto"/>
            <w:vAlign w:val="center"/>
          </w:tcPr>
          <w:p w14:paraId="3BA1A77C" w14:textId="77777777" w:rsidR="00375569" w:rsidRPr="0019344C" w:rsidRDefault="00375569" w:rsidP="0019344C">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43A3122B" w14:textId="77777777" w:rsidR="00375569" w:rsidRPr="0019344C" w:rsidRDefault="00375569" w:rsidP="0019344C">
            <w:pPr>
              <w:spacing w:after="0"/>
              <w:jc w:val="center"/>
              <w:rPr>
                <w:rFonts w:cs="Arial"/>
                <w:b/>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61FCD875" w14:textId="77777777" w:rsidR="00375569" w:rsidRPr="0019344C" w:rsidRDefault="00375569" w:rsidP="0019344C">
            <w:pPr>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3C08DC5E" w14:textId="77777777" w:rsidR="00375569" w:rsidRPr="0019344C" w:rsidRDefault="00375569" w:rsidP="0019344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AFAD026" w14:textId="77777777" w:rsidR="00375569" w:rsidRPr="0019344C" w:rsidRDefault="00375569" w:rsidP="0019344C">
            <w:pPr>
              <w:spacing w:after="0"/>
              <w:jc w:val="center"/>
              <w:rPr>
                <w:rFonts w:cs="Arial"/>
                <w:b/>
                <w:szCs w:val="18"/>
              </w:rPr>
            </w:pPr>
            <w:r w:rsidRPr="0019344C">
              <w:rPr>
                <w:rFonts w:cs="Arial"/>
                <w:b/>
                <w:sz w:val="14"/>
                <w:szCs w:val="18"/>
              </w:rPr>
              <w:t>Consolidado</w:t>
            </w:r>
          </w:p>
        </w:tc>
      </w:tr>
      <w:tr w:rsidR="00375569" w:rsidRPr="0019344C" w14:paraId="1230C419" w14:textId="77777777" w:rsidTr="00725333">
        <w:trPr>
          <w:trHeight w:val="238"/>
          <w:jc w:val="center"/>
        </w:trPr>
        <w:tc>
          <w:tcPr>
            <w:tcW w:w="3544" w:type="dxa"/>
            <w:tcBorders>
              <w:top w:val="nil"/>
              <w:bottom w:val="single" w:sz="2" w:space="0" w:color="1F4E79" w:themeColor="accent1" w:themeShade="80"/>
            </w:tcBorders>
            <w:shd w:val="clear" w:color="auto" w:fill="auto"/>
            <w:vAlign w:val="center"/>
          </w:tcPr>
          <w:p w14:paraId="5C82B4CB" w14:textId="77777777" w:rsidR="00375569" w:rsidRPr="0019344C" w:rsidRDefault="00375569" w:rsidP="006B5088">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1D5EAF82" w14:textId="77777777" w:rsidR="00375569" w:rsidRPr="0019344C" w:rsidRDefault="00375569" w:rsidP="006B5088">
            <w:pPr>
              <w:pStyle w:val="08-Tabelageral"/>
              <w:rPr>
                <w:rFonts w:cs="Arial"/>
                <w:b/>
              </w:rPr>
            </w:pPr>
          </w:p>
        </w:tc>
        <w:tc>
          <w:tcPr>
            <w:tcW w:w="1281" w:type="dxa"/>
            <w:tcBorders>
              <w:top w:val="single" w:sz="2" w:space="0" w:color="1F4E79" w:themeColor="accent1" w:themeShade="80"/>
              <w:bottom w:val="single" w:sz="2" w:space="0" w:color="1F4E79" w:themeColor="accent1" w:themeShade="80"/>
            </w:tcBorders>
            <w:shd w:val="clear" w:color="auto" w:fill="auto"/>
          </w:tcPr>
          <w:p w14:paraId="547FC6F2" w14:textId="77777777" w:rsidR="00375569" w:rsidRPr="0019344C" w:rsidRDefault="00375569" w:rsidP="00A17988">
            <w:pPr>
              <w:pStyle w:val="08-Tabelageral"/>
              <w:rPr>
                <w:rFonts w:cs="Arial"/>
                <w:b/>
              </w:rPr>
            </w:pPr>
            <w:r>
              <w:rPr>
                <w:b/>
              </w:rPr>
              <w:t xml:space="preserve">Exercício </w:t>
            </w:r>
            <w:r w:rsidRPr="007607AB">
              <w:rPr>
                <w:b/>
              </w:rPr>
              <w:t>20</w:t>
            </w:r>
            <w:r>
              <w:rPr>
                <w:b/>
              </w:rPr>
              <w:t>21</w:t>
            </w:r>
          </w:p>
        </w:tc>
        <w:tc>
          <w:tcPr>
            <w:tcW w:w="1412" w:type="dxa"/>
            <w:tcBorders>
              <w:top w:val="single" w:sz="2" w:space="0" w:color="1F4E79" w:themeColor="accent1" w:themeShade="80"/>
              <w:bottom w:val="single" w:sz="2" w:space="0" w:color="1F4E79" w:themeColor="accent1" w:themeShade="80"/>
            </w:tcBorders>
            <w:shd w:val="clear" w:color="auto" w:fill="auto"/>
          </w:tcPr>
          <w:p w14:paraId="45001F02" w14:textId="77777777" w:rsidR="00375569" w:rsidRPr="0019344C" w:rsidRDefault="00375569" w:rsidP="00A17988">
            <w:pPr>
              <w:pStyle w:val="08-Tabelageral"/>
              <w:rPr>
                <w:rFonts w:cs="Arial"/>
                <w:b/>
              </w:rPr>
            </w:pPr>
            <w:r>
              <w:rPr>
                <w:b/>
              </w:rPr>
              <w:t xml:space="preserve">Exercício </w:t>
            </w:r>
            <w:r w:rsidRPr="007607AB">
              <w:rPr>
                <w:b/>
              </w:rPr>
              <w:t>20</w:t>
            </w:r>
            <w:r>
              <w:rPr>
                <w:b/>
              </w:rPr>
              <w:t>20</w:t>
            </w:r>
          </w:p>
        </w:tc>
        <w:tc>
          <w:tcPr>
            <w:tcW w:w="283" w:type="dxa"/>
            <w:tcBorders>
              <w:top w:val="nil"/>
              <w:bottom w:val="single" w:sz="2" w:space="0" w:color="1F4E79" w:themeColor="accent1" w:themeShade="80"/>
            </w:tcBorders>
            <w:shd w:val="clear" w:color="auto" w:fill="auto"/>
          </w:tcPr>
          <w:p w14:paraId="30B27B8D" w14:textId="77777777" w:rsidR="00375569" w:rsidRPr="0019344C" w:rsidRDefault="00375569" w:rsidP="006B508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4A3A924F" w14:textId="77777777" w:rsidR="00375569" w:rsidRPr="0019344C" w:rsidRDefault="00375569" w:rsidP="00A17988">
            <w:pPr>
              <w:pStyle w:val="08-Tabelageral"/>
              <w:rPr>
                <w:rFonts w:cs="Arial"/>
                <w:b/>
              </w:rPr>
            </w:pPr>
            <w:r>
              <w:rPr>
                <w:b/>
              </w:rPr>
              <w:t xml:space="preserve">Exercício </w:t>
            </w:r>
            <w:r w:rsidRPr="007607AB">
              <w:rPr>
                <w:b/>
              </w:rPr>
              <w:t>20</w:t>
            </w:r>
            <w:r>
              <w:rPr>
                <w:b/>
              </w:rPr>
              <w:t>21</w:t>
            </w:r>
          </w:p>
        </w:tc>
        <w:tc>
          <w:tcPr>
            <w:tcW w:w="1418" w:type="dxa"/>
            <w:tcBorders>
              <w:top w:val="single" w:sz="2" w:space="0" w:color="1F4E79" w:themeColor="accent1" w:themeShade="80"/>
              <w:bottom w:val="single" w:sz="2" w:space="0" w:color="1F4E79" w:themeColor="accent1" w:themeShade="80"/>
            </w:tcBorders>
            <w:shd w:val="clear" w:color="auto" w:fill="auto"/>
          </w:tcPr>
          <w:p w14:paraId="440BC27B" w14:textId="77777777" w:rsidR="00375569" w:rsidRPr="0019344C" w:rsidRDefault="00375569" w:rsidP="00A17988">
            <w:pPr>
              <w:pStyle w:val="08-Tabelageral"/>
              <w:rPr>
                <w:rFonts w:cs="Arial"/>
                <w:b/>
              </w:rPr>
            </w:pPr>
            <w:r>
              <w:rPr>
                <w:b/>
              </w:rPr>
              <w:t xml:space="preserve">Exercício </w:t>
            </w:r>
            <w:r w:rsidRPr="007607AB">
              <w:rPr>
                <w:b/>
              </w:rPr>
              <w:t>20</w:t>
            </w:r>
            <w:r>
              <w:rPr>
                <w:b/>
              </w:rPr>
              <w:t>20</w:t>
            </w:r>
          </w:p>
        </w:tc>
      </w:tr>
      <w:tr w:rsidR="00375569" w:rsidRPr="0019344C" w14:paraId="6DD78A43" w14:textId="77777777" w:rsidTr="00725333">
        <w:trPr>
          <w:trHeight w:val="238"/>
          <w:jc w:val="center"/>
        </w:trPr>
        <w:tc>
          <w:tcPr>
            <w:tcW w:w="3544" w:type="dxa"/>
            <w:tcBorders>
              <w:top w:val="single" w:sz="2" w:space="0" w:color="1F4E79" w:themeColor="accent1" w:themeShade="80"/>
            </w:tcBorders>
            <w:shd w:val="clear" w:color="auto" w:fill="auto"/>
            <w:vAlign w:val="center"/>
          </w:tcPr>
          <w:p w14:paraId="73DFBDA2" w14:textId="77777777" w:rsidR="00375569" w:rsidRPr="0019344C" w:rsidRDefault="00375569" w:rsidP="002D5465">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4E79" w:themeColor="accent1" w:themeShade="80"/>
            </w:tcBorders>
            <w:shd w:val="clear" w:color="auto" w:fill="auto"/>
          </w:tcPr>
          <w:p w14:paraId="697AE5C9" w14:textId="77777777" w:rsidR="00375569" w:rsidRPr="0019344C" w:rsidRDefault="00375569" w:rsidP="002D5465">
            <w:pPr>
              <w:pStyle w:val="08-Tabelageral"/>
              <w:jc w:val="center"/>
              <w:rPr>
                <w:rFonts w:cs="Arial"/>
                <w:b/>
                <w:szCs w:val="14"/>
              </w:rPr>
            </w:pPr>
          </w:p>
        </w:tc>
        <w:tc>
          <w:tcPr>
            <w:tcW w:w="1281" w:type="dxa"/>
            <w:tcBorders>
              <w:top w:val="single" w:sz="2" w:space="0" w:color="1F4E79" w:themeColor="accent1" w:themeShade="80"/>
            </w:tcBorders>
            <w:shd w:val="clear" w:color="auto" w:fill="auto"/>
            <w:vAlign w:val="center"/>
          </w:tcPr>
          <w:p w14:paraId="2ACE4CA0" w14:textId="77777777" w:rsidR="00375569" w:rsidRPr="0019344C" w:rsidRDefault="00375569" w:rsidP="002D5465">
            <w:pPr>
              <w:pStyle w:val="08-Tabelageral"/>
              <w:rPr>
                <w:rFonts w:cs="Arial"/>
                <w:b/>
                <w:szCs w:val="14"/>
              </w:rPr>
            </w:pPr>
            <w:r>
              <w:rPr>
                <w:rFonts w:cs="Arial"/>
                <w:b/>
                <w:szCs w:val="14"/>
              </w:rPr>
              <w:t>3.937.922</w:t>
            </w:r>
          </w:p>
        </w:tc>
        <w:tc>
          <w:tcPr>
            <w:tcW w:w="1412" w:type="dxa"/>
            <w:tcBorders>
              <w:top w:val="single" w:sz="2" w:space="0" w:color="1F4E79" w:themeColor="accent1" w:themeShade="80"/>
            </w:tcBorders>
            <w:shd w:val="clear" w:color="auto" w:fill="auto"/>
            <w:vAlign w:val="center"/>
          </w:tcPr>
          <w:p w14:paraId="475E7296" w14:textId="77777777" w:rsidR="00375569" w:rsidRPr="0019344C" w:rsidRDefault="00375569" w:rsidP="002D5465">
            <w:pPr>
              <w:pStyle w:val="08-Tabelageral"/>
              <w:rPr>
                <w:rFonts w:cs="Arial"/>
                <w:b/>
                <w:szCs w:val="14"/>
              </w:rPr>
            </w:pPr>
            <w:r>
              <w:rPr>
                <w:rFonts w:cs="Arial"/>
                <w:b/>
                <w:szCs w:val="14"/>
              </w:rPr>
              <w:t>3.859.797</w:t>
            </w:r>
          </w:p>
        </w:tc>
        <w:tc>
          <w:tcPr>
            <w:tcW w:w="283" w:type="dxa"/>
            <w:tcBorders>
              <w:top w:val="single" w:sz="2" w:space="0" w:color="1F4E79" w:themeColor="accent1" w:themeShade="80"/>
            </w:tcBorders>
            <w:shd w:val="clear" w:color="auto" w:fill="auto"/>
            <w:vAlign w:val="center"/>
          </w:tcPr>
          <w:p w14:paraId="0D5EC3E1" w14:textId="77777777" w:rsidR="00375569" w:rsidRPr="0019344C" w:rsidRDefault="00375569" w:rsidP="002D5465">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078D4AFC" w14:textId="77777777" w:rsidR="00375569" w:rsidRPr="0019344C" w:rsidRDefault="00375569" w:rsidP="00752F85">
            <w:pPr>
              <w:pStyle w:val="08-Tabelageral"/>
              <w:rPr>
                <w:rFonts w:cs="Arial"/>
                <w:b/>
                <w:szCs w:val="14"/>
              </w:rPr>
            </w:pPr>
            <w:r>
              <w:rPr>
                <w:rFonts w:cs="Arial"/>
                <w:b/>
                <w:szCs w:val="14"/>
              </w:rPr>
              <w:t>5.079.424</w:t>
            </w:r>
          </w:p>
        </w:tc>
        <w:tc>
          <w:tcPr>
            <w:tcW w:w="1418" w:type="dxa"/>
            <w:tcBorders>
              <w:top w:val="single" w:sz="2" w:space="0" w:color="1F4E79" w:themeColor="accent1" w:themeShade="80"/>
            </w:tcBorders>
            <w:shd w:val="clear" w:color="auto" w:fill="auto"/>
            <w:vAlign w:val="center"/>
          </w:tcPr>
          <w:p w14:paraId="52825A85" w14:textId="77777777" w:rsidR="00375569" w:rsidRPr="0019344C" w:rsidRDefault="00375569" w:rsidP="002D5465">
            <w:pPr>
              <w:pStyle w:val="08-Tabelageral"/>
              <w:rPr>
                <w:rFonts w:cs="Arial"/>
                <w:b/>
              </w:rPr>
            </w:pPr>
            <w:r>
              <w:rPr>
                <w:rFonts w:cs="Arial"/>
                <w:b/>
              </w:rPr>
              <w:t>4.892.640</w:t>
            </w:r>
          </w:p>
        </w:tc>
      </w:tr>
      <w:tr w:rsidR="00375569" w:rsidRPr="0019344C" w14:paraId="0C14A959" w14:textId="77777777" w:rsidTr="00725333">
        <w:trPr>
          <w:trHeight w:val="238"/>
          <w:jc w:val="center"/>
        </w:trPr>
        <w:tc>
          <w:tcPr>
            <w:tcW w:w="3544" w:type="dxa"/>
            <w:shd w:val="clear" w:color="auto" w:fill="auto"/>
            <w:vAlign w:val="center"/>
          </w:tcPr>
          <w:p w14:paraId="00E02667" w14:textId="77777777" w:rsidR="00375569" w:rsidRPr="0019344C" w:rsidRDefault="00375569" w:rsidP="002D5465">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322DECD9" w14:textId="77777777" w:rsidR="00375569" w:rsidRPr="0019344C" w:rsidRDefault="00375569" w:rsidP="002D5465">
            <w:pPr>
              <w:pStyle w:val="08-Tabelageral"/>
              <w:ind w:left="113"/>
              <w:jc w:val="center"/>
              <w:rPr>
                <w:rFonts w:cs="Arial"/>
                <w:szCs w:val="14"/>
              </w:rPr>
            </w:pPr>
          </w:p>
        </w:tc>
        <w:tc>
          <w:tcPr>
            <w:tcW w:w="1281" w:type="dxa"/>
            <w:shd w:val="clear" w:color="auto" w:fill="auto"/>
            <w:vAlign w:val="center"/>
          </w:tcPr>
          <w:p w14:paraId="26E419DA" w14:textId="77777777" w:rsidR="00375569" w:rsidRPr="0019344C" w:rsidRDefault="00375569" w:rsidP="002D5465">
            <w:pPr>
              <w:pStyle w:val="08-Tabelageral"/>
              <w:ind w:left="113"/>
              <w:rPr>
                <w:rFonts w:cs="Arial"/>
                <w:szCs w:val="14"/>
              </w:rPr>
            </w:pPr>
            <w:r>
              <w:rPr>
                <w:rFonts w:cs="Arial"/>
                <w:szCs w:val="14"/>
              </w:rPr>
              <w:t>(1.338.893)</w:t>
            </w:r>
          </w:p>
        </w:tc>
        <w:tc>
          <w:tcPr>
            <w:tcW w:w="1412" w:type="dxa"/>
            <w:shd w:val="clear" w:color="auto" w:fill="auto"/>
            <w:vAlign w:val="center"/>
          </w:tcPr>
          <w:p w14:paraId="17C07715" w14:textId="77777777" w:rsidR="00375569" w:rsidRPr="0019344C" w:rsidRDefault="00375569" w:rsidP="00AD5D83">
            <w:pPr>
              <w:pStyle w:val="08-Tabelageral"/>
              <w:ind w:left="113"/>
              <w:rPr>
                <w:rFonts w:cs="Arial"/>
                <w:szCs w:val="14"/>
              </w:rPr>
            </w:pPr>
            <w:r>
              <w:rPr>
                <w:rFonts w:cs="Arial"/>
                <w:szCs w:val="14"/>
              </w:rPr>
              <w:t>(1.312.331)</w:t>
            </w:r>
          </w:p>
        </w:tc>
        <w:tc>
          <w:tcPr>
            <w:tcW w:w="283" w:type="dxa"/>
            <w:shd w:val="clear" w:color="auto" w:fill="auto"/>
            <w:vAlign w:val="center"/>
          </w:tcPr>
          <w:p w14:paraId="4DA52945" w14:textId="77777777" w:rsidR="00375569" w:rsidRPr="0019344C" w:rsidRDefault="00375569" w:rsidP="002D5465">
            <w:pPr>
              <w:pStyle w:val="08-Tabelageral"/>
              <w:ind w:left="113"/>
              <w:rPr>
                <w:rFonts w:cs="Arial"/>
                <w:szCs w:val="14"/>
              </w:rPr>
            </w:pPr>
          </w:p>
        </w:tc>
        <w:tc>
          <w:tcPr>
            <w:tcW w:w="1417" w:type="dxa"/>
            <w:shd w:val="clear" w:color="auto" w:fill="auto"/>
            <w:vAlign w:val="center"/>
          </w:tcPr>
          <w:p w14:paraId="542D2CF2" w14:textId="77777777" w:rsidR="00375569" w:rsidRPr="0019344C" w:rsidRDefault="00375569" w:rsidP="00752F85">
            <w:pPr>
              <w:pStyle w:val="08-Tabelageral"/>
              <w:ind w:left="113"/>
              <w:rPr>
                <w:rFonts w:cs="Arial"/>
                <w:szCs w:val="14"/>
              </w:rPr>
            </w:pPr>
            <w:r>
              <w:rPr>
                <w:rFonts w:cs="Arial"/>
                <w:szCs w:val="14"/>
              </w:rPr>
              <w:t>(1.727.004)</w:t>
            </w:r>
          </w:p>
        </w:tc>
        <w:tc>
          <w:tcPr>
            <w:tcW w:w="1418" w:type="dxa"/>
            <w:shd w:val="clear" w:color="auto" w:fill="auto"/>
            <w:vAlign w:val="center"/>
          </w:tcPr>
          <w:p w14:paraId="64221F39" w14:textId="77777777" w:rsidR="00375569" w:rsidRPr="0019344C" w:rsidRDefault="00375569" w:rsidP="002D5465">
            <w:pPr>
              <w:pStyle w:val="08-Tabelageral"/>
              <w:rPr>
                <w:rFonts w:cs="Arial"/>
              </w:rPr>
            </w:pPr>
            <w:r>
              <w:rPr>
                <w:rFonts w:cs="Arial"/>
              </w:rPr>
              <w:t>(1.663.498)</w:t>
            </w:r>
          </w:p>
        </w:tc>
      </w:tr>
      <w:tr w:rsidR="00375569" w:rsidRPr="0019344C" w14:paraId="70CAAE7D" w14:textId="77777777" w:rsidTr="00725333">
        <w:trPr>
          <w:trHeight w:val="238"/>
          <w:jc w:val="center"/>
        </w:trPr>
        <w:tc>
          <w:tcPr>
            <w:tcW w:w="3544" w:type="dxa"/>
            <w:shd w:val="clear" w:color="auto" w:fill="auto"/>
            <w:vAlign w:val="center"/>
          </w:tcPr>
          <w:p w14:paraId="0FB1746E" w14:textId="77777777" w:rsidR="00375569" w:rsidRPr="0019344C" w:rsidRDefault="00375569" w:rsidP="002D5465">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25CC632C" w14:textId="77777777" w:rsidR="00375569" w:rsidRPr="0019344C" w:rsidRDefault="00375569" w:rsidP="002D5465">
            <w:pPr>
              <w:pStyle w:val="08-Tabelageral"/>
              <w:jc w:val="center"/>
              <w:rPr>
                <w:rFonts w:cs="Arial"/>
                <w:b/>
                <w:szCs w:val="14"/>
              </w:rPr>
            </w:pPr>
          </w:p>
        </w:tc>
        <w:tc>
          <w:tcPr>
            <w:tcW w:w="1281" w:type="dxa"/>
            <w:shd w:val="clear" w:color="auto" w:fill="auto"/>
            <w:vAlign w:val="center"/>
          </w:tcPr>
          <w:p w14:paraId="2D056634" w14:textId="77777777" w:rsidR="00375569" w:rsidRPr="0019344C" w:rsidRDefault="00375569" w:rsidP="002D5465">
            <w:pPr>
              <w:pStyle w:val="08-Tabelageral"/>
              <w:rPr>
                <w:rFonts w:cs="Arial"/>
                <w:b/>
                <w:szCs w:val="14"/>
              </w:rPr>
            </w:pPr>
          </w:p>
        </w:tc>
        <w:tc>
          <w:tcPr>
            <w:tcW w:w="1412" w:type="dxa"/>
            <w:shd w:val="clear" w:color="auto" w:fill="auto"/>
            <w:vAlign w:val="center"/>
          </w:tcPr>
          <w:p w14:paraId="432E9CDA" w14:textId="77777777" w:rsidR="00375569" w:rsidRPr="0019344C" w:rsidRDefault="00375569" w:rsidP="002D5465">
            <w:pPr>
              <w:pStyle w:val="08-Tabelageral"/>
              <w:rPr>
                <w:rFonts w:cs="Arial"/>
                <w:b/>
                <w:szCs w:val="14"/>
              </w:rPr>
            </w:pPr>
          </w:p>
        </w:tc>
        <w:tc>
          <w:tcPr>
            <w:tcW w:w="283" w:type="dxa"/>
            <w:shd w:val="clear" w:color="auto" w:fill="auto"/>
            <w:vAlign w:val="center"/>
          </w:tcPr>
          <w:p w14:paraId="6E44275E" w14:textId="77777777" w:rsidR="00375569" w:rsidRPr="0019344C" w:rsidRDefault="00375569" w:rsidP="002D5465">
            <w:pPr>
              <w:pStyle w:val="08-Tabelageral"/>
              <w:rPr>
                <w:rFonts w:cs="Arial"/>
                <w:b/>
                <w:szCs w:val="14"/>
              </w:rPr>
            </w:pPr>
          </w:p>
        </w:tc>
        <w:tc>
          <w:tcPr>
            <w:tcW w:w="1417" w:type="dxa"/>
            <w:shd w:val="clear" w:color="auto" w:fill="auto"/>
            <w:vAlign w:val="center"/>
          </w:tcPr>
          <w:p w14:paraId="47A728A0" w14:textId="77777777" w:rsidR="00375569" w:rsidRPr="0019344C" w:rsidRDefault="00375569" w:rsidP="002D5465">
            <w:pPr>
              <w:pStyle w:val="08-Tabelageral"/>
              <w:rPr>
                <w:rFonts w:cs="Arial"/>
                <w:b/>
                <w:szCs w:val="14"/>
              </w:rPr>
            </w:pPr>
          </w:p>
        </w:tc>
        <w:tc>
          <w:tcPr>
            <w:tcW w:w="1418" w:type="dxa"/>
            <w:shd w:val="clear" w:color="auto" w:fill="auto"/>
            <w:vAlign w:val="center"/>
          </w:tcPr>
          <w:p w14:paraId="72CE561E" w14:textId="77777777" w:rsidR="00375569" w:rsidRPr="0019344C" w:rsidRDefault="00375569" w:rsidP="002D5465">
            <w:pPr>
              <w:pStyle w:val="08-Tabelageral"/>
              <w:rPr>
                <w:rFonts w:cs="Arial"/>
                <w:b/>
              </w:rPr>
            </w:pPr>
          </w:p>
        </w:tc>
      </w:tr>
      <w:tr w:rsidR="00375569" w:rsidRPr="0019344C" w14:paraId="40C1A78F" w14:textId="77777777" w:rsidTr="00725333">
        <w:trPr>
          <w:trHeight w:val="238"/>
          <w:jc w:val="center"/>
        </w:trPr>
        <w:tc>
          <w:tcPr>
            <w:tcW w:w="3544" w:type="dxa"/>
            <w:shd w:val="clear" w:color="auto" w:fill="auto"/>
            <w:vAlign w:val="center"/>
          </w:tcPr>
          <w:p w14:paraId="2A94D956" w14:textId="77777777" w:rsidR="00375569" w:rsidRPr="0019344C" w:rsidRDefault="00375569" w:rsidP="002D5465">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2B628FAF" w14:textId="77777777" w:rsidR="00375569" w:rsidRPr="0019344C" w:rsidRDefault="00375569" w:rsidP="002D5465">
            <w:pPr>
              <w:pStyle w:val="08-Tabelageral"/>
              <w:ind w:left="113"/>
              <w:jc w:val="center"/>
              <w:rPr>
                <w:rFonts w:cs="Arial"/>
                <w:szCs w:val="14"/>
              </w:rPr>
            </w:pPr>
          </w:p>
        </w:tc>
        <w:tc>
          <w:tcPr>
            <w:tcW w:w="1281" w:type="dxa"/>
            <w:shd w:val="clear" w:color="auto" w:fill="auto"/>
            <w:vAlign w:val="center"/>
          </w:tcPr>
          <w:p w14:paraId="7F2F0570" w14:textId="77777777" w:rsidR="00375569" w:rsidRPr="0019344C" w:rsidRDefault="00375569" w:rsidP="002D5465">
            <w:pPr>
              <w:pStyle w:val="08-Tabelageral"/>
              <w:ind w:left="113"/>
              <w:rPr>
                <w:rFonts w:cs="Arial"/>
                <w:szCs w:val="14"/>
              </w:rPr>
            </w:pPr>
            <w:r>
              <w:rPr>
                <w:rFonts w:cs="Arial"/>
                <w:szCs w:val="14"/>
              </w:rPr>
              <w:t>1.334.022</w:t>
            </w:r>
          </w:p>
        </w:tc>
        <w:tc>
          <w:tcPr>
            <w:tcW w:w="1412" w:type="dxa"/>
            <w:shd w:val="clear" w:color="auto" w:fill="auto"/>
            <w:vAlign w:val="center"/>
          </w:tcPr>
          <w:p w14:paraId="49F083DC" w14:textId="77777777" w:rsidR="00375569" w:rsidRPr="0019344C" w:rsidRDefault="00375569" w:rsidP="002D5465">
            <w:pPr>
              <w:pStyle w:val="08-Tabelageral"/>
              <w:ind w:left="113"/>
              <w:rPr>
                <w:rFonts w:cs="Arial"/>
                <w:szCs w:val="14"/>
              </w:rPr>
            </w:pPr>
            <w:r>
              <w:rPr>
                <w:rFonts w:cs="Arial"/>
                <w:szCs w:val="14"/>
              </w:rPr>
              <w:t>1.303.351</w:t>
            </w:r>
          </w:p>
        </w:tc>
        <w:tc>
          <w:tcPr>
            <w:tcW w:w="283" w:type="dxa"/>
            <w:shd w:val="clear" w:color="auto" w:fill="auto"/>
            <w:vAlign w:val="center"/>
          </w:tcPr>
          <w:p w14:paraId="2AFF7799" w14:textId="77777777" w:rsidR="00375569" w:rsidRPr="0019344C" w:rsidRDefault="00375569" w:rsidP="002D5465">
            <w:pPr>
              <w:pStyle w:val="08-Tabelageral"/>
              <w:ind w:left="113"/>
              <w:rPr>
                <w:rFonts w:cs="Arial"/>
                <w:szCs w:val="14"/>
              </w:rPr>
            </w:pPr>
          </w:p>
        </w:tc>
        <w:tc>
          <w:tcPr>
            <w:tcW w:w="1417" w:type="dxa"/>
            <w:shd w:val="clear" w:color="auto" w:fill="auto"/>
            <w:vAlign w:val="center"/>
          </w:tcPr>
          <w:p w14:paraId="259BF8E8" w14:textId="77777777" w:rsidR="00375569" w:rsidRPr="0019344C" w:rsidRDefault="00375569" w:rsidP="002D5465">
            <w:pPr>
              <w:pStyle w:val="08-Tabelageral"/>
              <w:ind w:left="113"/>
              <w:rPr>
                <w:rFonts w:cs="Arial"/>
                <w:szCs w:val="14"/>
              </w:rPr>
            </w:pPr>
            <w:r>
              <w:rPr>
                <w:rFonts w:cs="Arial"/>
                <w:szCs w:val="14"/>
              </w:rPr>
              <w:t>622.321</w:t>
            </w:r>
          </w:p>
        </w:tc>
        <w:tc>
          <w:tcPr>
            <w:tcW w:w="1418" w:type="dxa"/>
            <w:shd w:val="clear" w:color="auto" w:fill="auto"/>
            <w:vAlign w:val="center"/>
          </w:tcPr>
          <w:p w14:paraId="6BA8AB54" w14:textId="77777777" w:rsidR="00375569" w:rsidRPr="0019344C" w:rsidRDefault="00375569" w:rsidP="002D5465">
            <w:pPr>
              <w:pStyle w:val="08-Tabelageral"/>
              <w:rPr>
                <w:rFonts w:cs="Arial"/>
              </w:rPr>
            </w:pPr>
            <w:r>
              <w:rPr>
                <w:rFonts w:cs="Arial"/>
              </w:rPr>
              <w:t>639.367</w:t>
            </w:r>
          </w:p>
        </w:tc>
      </w:tr>
      <w:tr w:rsidR="00375569" w:rsidRPr="0019344C" w14:paraId="2E53D692" w14:textId="77777777" w:rsidTr="00725333">
        <w:trPr>
          <w:trHeight w:val="238"/>
          <w:jc w:val="center"/>
        </w:trPr>
        <w:tc>
          <w:tcPr>
            <w:tcW w:w="3544" w:type="dxa"/>
            <w:tcBorders>
              <w:bottom w:val="nil"/>
            </w:tcBorders>
            <w:shd w:val="clear" w:color="auto" w:fill="auto"/>
            <w:vAlign w:val="center"/>
          </w:tcPr>
          <w:p w14:paraId="6045DE1B" w14:textId="77777777" w:rsidR="00375569" w:rsidRPr="0019344C" w:rsidRDefault="00375569" w:rsidP="002D5465">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7366A4BF" w14:textId="77777777" w:rsidR="00375569" w:rsidRPr="0019344C" w:rsidRDefault="00375569" w:rsidP="002D5465">
            <w:pPr>
              <w:pStyle w:val="08-Tabelageral"/>
              <w:jc w:val="center"/>
              <w:rPr>
                <w:rFonts w:cs="Arial"/>
                <w:szCs w:val="14"/>
              </w:rPr>
            </w:pPr>
          </w:p>
        </w:tc>
        <w:tc>
          <w:tcPr>
            <w:tcW w:w="1281" w:type="dxa"/>
            <w:tcBorders>
              <w:bottom w:val="nil"/>
            </w:tcBorders>
            <w:shd w:val="clear" w:color="auto" w:fill="auto"/>
            <w:vAlign w:val="center"/>
          </w:tcPr>
          <w:p w14:paraId="43CB25A7" w14:textId="77777777" w:rsidR="00375569" w:rsidRPr="0019344C" w:rsidRDefault="00375569" w:rsidP="002D5465">
            <w:pPr>
              <w:pStyle w:val="08-Tabelageral"/>
              <w:rPr>
                <w:rFonts w:cs="Arial"/>
                <w:szCs w:val="14"/>
              </w:rPr>
            </w:pPr>
            <w:r>
              <w:rPr>
                <w:rFonts w:cs="Arial"/>
                <w:szCs w:val="14"/>
              </w:rPr>
              <w:t>166</w:t>
            </w:r>
          </w:p>
        </w:tc>
        <w:tc>
          <w:tcPr>
            <w:tcW w:w="1412" w:type="dxa"/>
            <w:tcBorders>
              <w:bottom w:val="nil"/>
            </w:tcBorders>
            <w:shd w:val="clear" w:color="auto" w:fill="auto"/>
            <w:vAlign w:val="center"/>
          </w:tcPr>
          <w:p w14:paraId="637051A8" w14:textId="77777777" w:rsidR="00375569" w:rsidRPr="0019344C" w:rsidRDefault="00375569" w:rsidP="002D5465">
            <w:pPr>
              <w:pStyle w:val="08-Tabelageral"/>
              <w:rPr>
                <w:rFonts w:cs="Arial"/>
                <w:szCs w:val="14"/>
              </w:rPr>
            </w:pPr>
            <w:r>
              <w:rPr>
                <w:rFonts w:cs="Arial"/>
                <w:szCs w:val="14"/>
              </w:rPr>
              <w:t>(46)</w:t>
            </w:r>
          </w:p>
        </w:tc>
        <w:tc>
          <w:tcPr>
            <w:tcW w:w="283" w:type="dxa"/>
            <w:tcBorders>
              <w:bottom w:val="nil"/>
            </w:tcBorders>
            <w:shd w:val="clear" w:color="auto" w:fill="auto"/>
            <w:vAlign w:val="center"/>
          </w:tcPr>
          <w:p w14:paraId="66F979A3" w14:textId="77777777" w:rsidR="00375569" w:rsidRPr="0019344C" w:rsidRDefault="00375569" w:rsidP="002D5465">
            <w:pPr>
              <w:pStyle w:val="08-Tabelageral"/>
              <w:rPr>
                <w:rFonts w:cs="Arial"/>
                <w:szCs w:val="14"/>
              </w:rPr>
            </w:pPr>
          </w:p>
        </w:tc>
        <w:tc>
          <w:tcPr>
            <w:tcW w:w="1417" w:type="dxa"/>
            <w:tcBorders>
              <w:bottom w:val="nil"/>
            </w:tcBorders>
            <w:shd w:val="clear" w:color="auto" w:fill="auto"/>
            <w:vAlign w:val="center"/>
          </w:tcPr>
          <w:p w14:paraId="0BBC59BB" w14:textId="77777777" w:rsidR="00375569" w:rsidRPr="0019344C" w:rsidRDefault="00375569" w:rsidP="002D5465">
            <w:pPr>
              <w:pStyle w:val="08-Tabelageral"/>
              <w:rPr>
                <w:rFonts w:cs="Arial"/>
                <w:szCs w:val="14"/>
              </w:rPr>
            </w:pPr>
            <w:r>
              <w:rPr>
                <w:rFonts w:cs="Arial"/>
                <w:szCs w:val="14"/>
              </w:rPr>
              <w:t>(41.524)</w:t>
            </w:r>
          </w:p>
        </w:tc>
        <w:tc>
          <w:tcPr>
            <w:tcW w:w="1418" w:type="dxa"/>
            <w:tcBorders>
              <w:bottom w:val="nil"/>
            </w:tcBorders>
            <w:shd w:val="clear" w:color="auto" w:fill="auto"/>
            <w:vAlign w:val="center"/>
          </w:tcPr>
          <w:p w14:paraId="53CB038B" w14:textId="77777777" w:rsidR="00375569" w:rsidRPr="0019344C" w:rsidRDefault="00375569" w:rsidP="002D5465">
            <w:pPr>
              <w:pStyle w:val="08-Tabelageral"/>
              <w:rPr>
                <w:rFonts w:cs="Arial"/>
              </w:rPr>
            </w:pPr>
            <w:r>
              <w:rPr>
                <w:rFonts w:cs="Arial"/>
              </w:rPr>
              <w:t>(17.738)</w:t>
            </w:r>
          </w:p>
        </w:tc>
      </w:tr>
      <w:tr w:rsidR="00375569" w:rsidRPr="0019344C" w14:paraId="294EB13A" w14:textId="77777777" w:rsidTr="00725333">
        <w:trPr>
          <w:trHeight w:val="238"/>
          <w:jc w:val="center"/>
        </w:trPr>
        <w:tc>
          <w:tcPr>
            <w:tcW w:w="3544" w:type="dxa"/>
            <w:tcBorders>
              <w:top w:val="nil"/>
              <w:bottom w:val="single" w:sz="2" w:space="0" w:color="1F4E79" w:themeColor="accent1" w:themeShade="80"/>
            </w:tcBorders>
            <w:shd w:val="clear" w:color="auto" w:fill="auto"/>
            <w:vAlign w:val="center"/>
          </w:tcPr>
          <w:p w14:paraId="615B682B" w14:textId="77777777" w:rsidR="00375569" w:rsidRPr="0019344C" w:rsidRDefault="00375569" w:rsidP="002D5465">
            <w:pPr>
              <w:pStyle w:val="08-Tabelageral"/>
              <w:jc w:val="left"/>
              <w:rPr>
                <w:rFonts w:cs="Arial"/>
                <w:b/>
                <w:szCs w:val="14"/>
              </w:rPr>
            </w:pPr>
            <w:r w:rsidRPr="0019344C">
              <w:rPr>
                <w:rFonts w:cs="Arial"/>
                <w:b/>
              </w:rPr>
              <w:t>Imposto de Renda e Contribuição Social (a+b+c)</w:t>
            </w:r>
          </w:p>
        </w:tc>
        <w:tc>
          <w:tcPr>
            <w:tcW w:w="284" w:type="dxa"/>
            <w:tcBorders>
              <w:top w:val="nil"/>
              <w:bottom w:val="single" w:sz="2" w:space="0" w:color="1F4E79" w:themeColor="accent1" w:themeShade="80"/>
            </w:tcBorders>
            <w:shd w:val="clear" w:color="auto" w:fill="auto"/>
          </w:tcPr>
          <w:p w14:paraId="0AB81E41" w14:textId="77777777" w:rsidR="00375569" w:rsidRPr="0019344C" w:rsidRDefault="00375569" w:rsidP="002D5465">
            <w:pPr>
              <w:pStyle w:val="08-Tabelageral"/>
              <w:rPr>
                <w:rFonts w:cs="Arial"/>
                <w:b/>
                <w:szCs w:val="14"/>
              </w:rPr>
            </w:pPr>
          </w:p>
        </w:tc>
        <w:tc>
          <w:tcPr>
            <w:tcW w:w="1281" w:type="dxa"/>
            <w:tcBorders>
              <w:top w:val="nil"/>
              <w:bottom w:val="single" w:sz="2" w:space="0" w:color="1F4E79" w:themeColor="accent1" w:themeShade="80"/>
            </w:tcBorders>
            <w:shd w:val="clear" w:color="auto" w:fill="auto"/>
            <w:vAlign w:val="center"/>
          </w:tcPr>
          <w:p w14:paraId="546D54EA" w14:textId="77777777" w:rsidR="00375569" w:rsidRPr="0019344C" w:rsidRDefault="00375569" w:rsidP="002D5465">
            <w:pPr>
              <w:pStyle w:val="08-Tabelageral"/>
              <w:rPr>
                <w:rFonts w:cs="Arial"/>
                <w:b/>
                <w:szCs w:val="14"/>
              </w:rPr>
            </w:pPr>
            <w:r>
              <w:rPr>
                <w:rFonts w:cs="Arial"/>
                <w:b/>
                <w:szCs w:val="14"/>
              </w:rPr>
              <w:t>(4.705)</w:t>
            </w:r>
          </w:p>
        </w:tc>
        <w:tc>
          <w:tcPr>
            <w:tcW w:w="1412" w:type="dxa"/>
            <w:tcBorders>
              <w:top w:val="nil"/>
              <w:bottom w:val="single" w:sz="2" w:space="0" w:color="1F4E79" w:themeColor="accent1" w:themeShade="80"/>
            </w:tcBorders>
            <w:shd w:val="clear" w:color="auto" w:fill="auto"/>
            <w:vAlign w:val="center"/>
          </w:tcPr>
          <w:p w14:paraId="015F82C8" w14:textId="77777777" w:rsidR="00375569" w:rsidRPr="0019344C" w:rsidRDefault="00375569" w:rsidP="002D5465">
            <w:pPr>
              <w:pStyle w:val="08-Tabelageral"/>
              <w:rPr>
                <w:rFonts w:cs="Arial"/>
                <w:b/>
                <w:szCs w:val="14"/>
              </w:rPr>
            </w:pPr>
            <w:r>
              <w:rPr>
                <w:rFonts w:cs="Arial"/>
                <w:b/>
                <w:szCs w:val="14"/>
              </w:rPr>
              <w:t>(9.026)</w:t>
            </w:r>
          </w:p>
        </w:tc>
        <w:tc>
          <w:tcPr>
            <w:tcW w:w="283" w:type="dxa"/>
            <w:tcBorders>
              <w:top w:val="nil"/>
              <w:bottom w:val="single" w:sz="2" w:space="0" w:color="1F4E79" w:themeColor="accent1" w:themeShade="80"/>
            </w:tcBorders>
            <w:shd w:val="clear" w:color="auto" w:fill="auto"/>
            <w:vAlign w:val="center"/>
          </w:tcPr>
          <w:p w14:paraId="4828EA1A" w14:textId="77777777" w:rsidR="00375569" w:rsidRPr="0019344C" w:rsidRDefault="00375569" w:rsidP="002D5465">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64A9D12B" w14:textId="77777777" w:rsidR="00375569" w:rsidRPr="0019344C" w:rsidRDefault="00375569" w:rsidP="002D5465">
            <w:pPr>
              <w:pStyle w:val="08-Tabelageral"/>
              <w:rPr>
                <w:rFonts w:cs="Arial"/>
                <w:b/>
                <w:szCs w:val="14"/>
              </w:rPr>
            </w:pPr>
            <w:r>
              <w:rPr>
                <w:rFonts w:cs="Arial"/>
                <w:b/>
                <w:szCs w:val="14"/>
              </w:rPr>
              <w:t>(1.146.207)</w:t>
            </w:r>
          </w:p>
        </w:tc>
        <w:tc>
          <w:tcPr>
            <w:tcW w:w="1418" w:type="dxa"/>
            <w:tcBorders>
              <w:top w:val="nil"/>
              <w:bottom w:val="single" w:sz="2" w:space="0" w:color="1F4E79" w:themeColor="accent1" w:themeShade="80"/>
            </w:tcBorders>
            <w:shd w:val="clear" w:color="auto" w:fill="auto"/>
            <w:vAlign w:val="center"/>
          </w:tcPr>
          <w:p w14:paraId="61CA4F3D" w14:textId="77777777" w:rsidR="00375569" w:rsidRPr="0019344C" w:rsidRDefault="00375569" w:rsidP="002D5465">
            <w:pPr>
              <w:pStyle w:val="08-Tabelageral"/>
              <w:rPr>
                <w:rFonts w:cs="Arial"/>
                <w:b/>
              </w:rPr>
            </w:pPr>
            <w:r>
              <w:rPr>
                <w:rFonts w:cs="Arial"/>
                <w:b/>
              </w:rPr>
              <w:t>(1.041.869)</w:t>
            </w:r>
          </w:p>
        </w:tc>
      </w:tr>
    </w:tbl>
    <w:p w14:paraId="0BE3A136" w14:textId="77777777" w:rsidR="00375569" w:rsidRPr="00FF3D4B" w:rsidRDefault="00375569" w:rsidP="004C6406">
      <w:pPr>
        <w:spacing w:after="0" w:line="240" w:lineRule="auto"/>
        <w:jc w:val="right"/>
        <w:rPr>
          <w:rFonts w:cs="Arial"/>
          <w:b/>
          <w:sz w:val="14"/>
          <w:lang w:eastAsia="pt-BR"/>
        </w:rPr>
      </w:pPr>
    </w:p>
    <w:p w14:paraId="36AC55CE" w14:textId="77777777" w:rsidR="00375569" w:rsidRPr="00034C98" w:rsidRDefault="00375569" w:rsidP="00581CEE">
      <w:pPr>
        <w:keepNext/>
        <w:keepLines/>
        <w:spacing w:after="40"/>
        <w:rPr>
          <w:rFonts w:cs="Arial"/>
          <w:b/>
          <w:color w:val="1F4E79" w:themeColor="accent1" w:themeShade="80"/>
          <w:sz w:val="20"/>
          <w:szCs w:val="20"/>
        </w:rPr>
      </w:pPr>
      <w:r w:rsidRPr="00034C98">
        <w:rPr>
          <w:rFonts w:cs="Arial"/>
          <w:b/>
          <w:color w:val="1F4E79" w:themeColor="accent1" w:themeShade="80"/>
          <w:sz w:val="20"/>
          <w:szCs w:val="20"/>
        </w:rPr>
        <w:t>c) Despesas Tributárias</w:t>
      </w:r>
    </w:p>
    <w:p w14:paraId="0C649ABA" w14:textId="77777777" w:rsidR="00375569" w:rsidRPr="00FF3D4B" w:rsidRDefault="00375569" w:rsidP="005B40B4">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19344C" w14:paraId="0C861C4E" w14:textId="77777777" w:rsidTr="00725333">
        <w:trPr>
          <w:trHeight w:val="238"/>
          <w:jc w:val="center"/>
        </w:trPr>
        <w:tc>
          <w:tcPr>
            <w:tcW w:w="3094" w:type="dxa"/>
            <w:tcBorders>
              <w:top w:val="single" w:sz="2" w:space="0" w:color="1F4E79" w:themeColor="accent1" w:themeShade="80"/>
              <w:bottom w:val="nil"/>
            </w:tcBorders>
            <w:shd w:val="clear" w:color="auto" w:fill="auto"/>
            <w:vAlign w:val="center"/>
          </w:tcPr>
          <w:p w14:paraId="0A9091B6" w14:textId="77777777" w:rsidR="00375569" w:rsidRPr="0019344C" w:rsidRDefault="00375569" w:rsidP="0019344C">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6732B92C" w14:textId="77777777" w:rsidR="00375569" w:rsidRPr="0019344C" w:rsidRDefault="00375569" w:rsidP="0019344C">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FF6C6D2" w14:textId="77777777" w:rsidR="00375569" w:rsidRPr="0019344C" w:rsidRDefault="00375569" w:rsidP="0019344C">
            <w:pPr>
              <w:keepNext/>
              <w:keepLines/>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936271A" w14:textId="77777777" w:rsidR="00375569" w:rsidRPr="0019344C" w:rsidRDefault="00375569" w:rsidP="0019344C">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D86EEDC" w14:textId="77777777" w:rsidR="00375569" w:rsidRPr="0019344C" w:rsidRDefault="00375569" w:rsidP="0019344C">
            <w:pPr>
              <w:keepNext/>
              <w:keepLines/>
              <w:spacing w:after="0"/>
              <w:jc w:val="center"/>
              <w:rPr>
                <w:rFonts w:cs="Arial"/>
                <w:b/>
                <w:szCs w:val="18"/>
              </w:rPr>
            </w:pPr>
            <w:r w:rsidRPr="0019344C">
              <w:rPr>
                <w:rFonts w:cs="Arial"/>
                <w:b/>
                <w:sz w:val="14"/>
                <w:szCs w:val="18"/>
              </w:rPr>
              <w:t>Consolidado</w:t>
            </w:r>
          </w:p>
        </w:tc>
      </w:tr>
      <w:tr w:rsidR="00375569" w:rsidRPr="0019344C" w14:paraId="54E99F1A" w14:textId="77777777" w:rsidTr="00725333">
        <w:trPr>
          <w:trHeight w:val="238"/>
          <w:jc w:val="center"/>
        </w:trPr>
        <w:tc>
          <w:tcPr>
            <w:tcW w:w="3094" w:type="dxa"/>
            <w:tcBorders>
              <w:top w:val="nil"/>
              <w:bottom w:val="single" w:sz="2" w:space="0" w:color="1F4E79" w:themeColor="accent1" w:themeShade="80"/>
            </w:tcBorders>
            <w:shd w:val="clear" w:color="auto" w:fill="auto"/>
            <w:vAlign w:val="center"/>
          </w:tcPr>
          <w:p w14:paraId="0FF8A086" w14:textId="77777777" w:rsidR="00375569" w:rsidRPr="0019344C" w:rsidRDefault="00375569" w:rsidP="00157F77">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5032F365" w14:textId="77777777" w:rsidR="00375569" w:rsidRPr="0019344C" w:rsidRDefault="00375569" w:rsidP="00157F77">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4DB044CE" w14:textId="77777777" w:rsidR="00375569" w:rsidRPr="0019344C" w:rsidRDefault="00375569" w:rsidP="00717DEB">
            <w:pPr>
              <w:pStyle w:val="08-Tabelageral"/>
              <w:rPr>
                <w:rFonts w:cs="Arial"/>
                <w:b/>
              </w:rPr>
            </w:pPr>
            <w:r>
              <w:rPr>
                <w:rFonts w:cs="Arial"/>
                <w:b/>
              </w:rPr>
              <w:t>Exercício 2021</w:t>
            </w:r>
          </w:p>
        </w:tc>
        <w:tc>
          <w:tcPr>
            <w:tcW w:w="1412" w:type="dxa"/>
            <w:tcBorders>
              <w:top w:val="single" w:sz="2" w:space="0" w:color="1F4E79" w:themeColor="accent1" w:themeShade="80"/>
              <w:bottom w:val="single" w:sz="2" w:space="0" w:color="1F4E79" w:themeColor="accent1" w:themeShade="80"/>
            </w:tcBorders>
            <w:shd w:val="clear" w:color="auto" w:fill="auto"/>
          </w:tcPr>
          <w:p w14:paraId="7E4C67E0" w14:textId="77777777" w:rsidR="00375569" w:rsidRPr="0019344C" w:rsidRDefault="00375569" w:rsidP="000B30FD">
            <w:pPr>
              <w:pStyle w:val="08-Tabelageral"/>
              <w:rPr>
                <w:rFonts w:cs="Arial"/>
                <w:b/>
              </w:rPr>
            </w:pPr>
            <w:r>
              <w:rPr>
                <w:b/>
              </w:rPr>
              <w:t xml:space="preserve">Exercício </w:t>
            </w:r>
            <w:r w:rsidRPr="007607AB">
              <w:rPr>
                <w:b/>
              </w:rPr>
              <w:t>20</w:t>
            </w:r>
            <w:r>
              <w:rPr>
                <w:b/>
              </w:rPr>
              <w:t>20</w:t>
            </w:r>
          </w:p>
        </w:tc>
        <w:tc>
          <w:tcPr>
            <w:tcW w:w="283" w:type="dxa"/>
            <w:tcBorders>
              <w:top w:val="nil"/>
              <w:bottom w:val="single" w:sz="2" w:space="0" w:color="1F4E79" w:themeColor="accent1" w:themeShade="80"/>
            </w:tcBorders>
            <w:shd w:val="clear" w:color="auto" w:fill="auto"/>
          </w:tcPr>
          <w:p w14:paraId="543A02CC" w14:textId="77777777" w:rsidR="00375569" w:rsidRPr="0019344C" w:rsidRDefault="00375569" w:rsidP="00157F77">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08A20DA" w14:textId="77777777" w:rsidR="00375569" w:rsidRPr="0019344C" w:rsidRDefault="00375569" w:rsidP="00A17988">
            <w:pPr>
              <w:pStyle w:val="08-Tabelageral"/>
              <w:rPr>
                <w:rFonts w:cs="Arial"/>
                <w:b/>
              </w:rPr>
            </w:pPr>
            <w:r>
              <w:rPr>
                <w:b/>
              </w:rPr>
              <w:t xml:space="preserve">Exercício </w:t>
            </w:r>
            <w:r w:rsidRPr="007607AB">
              <w:rPr>
                <w:b/>
              </w:rPr>
              <w:t>20</w:t>
            </w:r>
            <w:r>
              <w:rPr>
                <w:b/>
              </w:rPr>
              <w:t>21</w:t>
            </w:r>
          </w:p>
        </w:tc>
        <w:tc>
          <w:tcPr>
            <w:tcW w:w="1418" w:type="dxa"/>
            <w:tcBorders>
              <w:top w:val="single" w:sz="2" w:space="0" w:color="1F4E79" w:themeColor="accent1" w:themeShade="80"/>
              <w:bottom w:val="single" w:sz="2" w:space="0" w:color="1F4E79" w:themeColor="accent1" w:themeShade="80"/>
            </w:tcBorders>
            <w:shd w:val="clear" w:color="auto" w:fill="auto"/>
          </w:tcPr>
          <w:p w14:paraId="5E1B35BE" w14:textId="77777777" w:rsidR="00375569" w:rsidRPr="0019344C" w:rsidRDefault="00375569" w:rsidP="00A17988">
            <w:pPr>
              <w:pStyle w:val="08-Tabelageral"/>
              <w:rPr>
                <w:rFonts w:cs="Arial"/>
                <w:b/>
              </w:rPr>
            </w:pPr>
            <w:r>
              <w:rPr>
                <w:b/>
              </w:rPr>
              <w:t xml:space="preserve">Exercício </w:t>
            </w:r>
            <w:r w:rsidRPr="007607AB">
              <w:rPr>
                <w:b/>
              </w:rPr>
              <w:t>20</w:t>
            </w:r>
            <w:r>
              <w:rPr>
                <w:b/>
              </w:rPr>
              <w:t>20</w:t>
            </w:r>
          </w:p>
        </w:tc>
      </w:tr>
      <w:tr w:rsidR="00375569" w:rsidRPr="0019344C" w14:paraId="5AF6E016" w14:textId="77777777" w:rsidTr="00725333">
        <w:trPr>
          <w:trHeight w:val="238"/>
          <w:jc w:val="center"/>
        </w:trPr>
        <w:tc>
          <w:tcPr>
            <w:tcW w:w="3094" w:type="dxa"/>
            <w:tcBorders>
              <w:top w:val="single" w:sz="2" w:space="0" w:color="1F4E79" w:themeColor="accent1" w:themeShade="80"/>
              <w:bottom w:val="nil"/>
            </w:tcBorders>
            <w:shd w:val="clear" w:color="auto" w:fill="auto"/>
            <w:vAlign w:val="center"/>
          </w:tcPr>
          <w:p w14:paraId="2189838F" w14:textId="77777777" w:rsidR="00375569" w:rsidRPr="0019344C" w:rsidRDefault="00375569" w:rsidP="007E2F51">
            <w:pPr>
              <w:pStyle w:val="08-Tabelageral"/>
              <w:jc w:val="left"/>
              <w:rPr>
                <w:rFonts w:cs="Arial"/>
                <w:b/>
                <w:bCs/>
                <w:szCs w:val="14"/>
              </w:rPr>
            </w:pPr>
            <w:r w:rsidRPr="0019344C">
              <w:rPr>
                <w:rFonts w:cs="Arial"/>
                <w:b/>
                <w:bCs/>
                <w:szCs w:val="14"/>
              </w:rPr>
              <w:t>Sobre Receitas Financeiras e Outras</w:t>
            </w:r>
          </w:p>
        </w:tc>
        <w:tc>
          <w:tcPr>
            <w:tcW w:w="604" w:type="dxa"/>
            <w:tcBorders>
              <w:top w:val="single" w:sz="2" w:space="0" w:color="1F4E79" w:themeColor="accent1" w:themeShade="80"/>
              <w:bottom w:val="nil"/>
            </w:tcBorders>
            <w:shd w:val="clear" w:color="auto" w:fill="auto"/>
            <w:vAlign w:val="center"/>
          </w:tcPr>
          <w:p w14:paraId="3388D9FE" w14:textId="77777777" w:rsidR="00375569" w:rsidRPr="0019344C" w:rsidRDefault="00375569" w:rsidP="007E2F51">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241FC555" w14:textId="77777777" w:rsidR="00375569" w:rsidRPr="0019344C" w:rsidRDefault="00375569" w:rsidP="0019344C">
            <w:pPr>
              <w:pStyle w:val="08-Tabelageral"/>
              <w:rPr>
                <w:rFonts w:cs="Arial"/>
                <w:b/>
                <w:szCs w:val="14"/>
              </w:rPr>
            </w:pPr>
          </w:p>
        </w:tc>
        <w:tc>
          <w:tcPr>
            <w:tcW w:w="1412" w:type="dxa"/>
            <w:tcBorders>
              <w:top w:val="single" w:sz="2" w:space="0" w:color="1F4E79" w:themeColor="accent1" w:themeShade="80"/>
              <w:bottom w:val="nil"/>
            </w:tcBorders>
            <w:shd w:val="clear" w:color="auto" w:fill="auto"/>
            <w:vAlign w:val="center"/>
          </w:tcPr>
          <w:p w14:paraId="71E22278" w14:textId="77777777" w:rsidR="00375569" w:rsidRPr="0019344C" w:rsidRDefault="00375569" w:rsidP="0019344C">
            <w:pPr>
              <w:pStyle w:val="08-Tabelageral"/>
              <w:rPr>
                <w:rFonts w:cs="Arial"/>
                <w:b/>
              </w:rPr>
            </w:pPr>
          </w:p>
        </w:tc>
        <w:tc>
          <w:tcPr>
            <w:tcW w:w="283" w:type="dxa"/>
            <w:tcBorders>
              <w:top w:val="single" w:sz="2" w:space="0" w:color="1F4E79" w:themeColor="accent1" w:themeShade="80"/>
              <w:bottom w:val="nil"/>
            </w:tcBorders>
            <w:shd w:val="clear" w:color="auto" w:fill="auto"/>
            <w:vAlign w:val="center"/>
          </w:tcPr>
          <w:p w14:paraId="0B515892" w14:textId="77777777" w:rsidR="00375569" w:rsidRPr="0019344C" w:rsidRDefault="00375569" w:rsidP="0019344C">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4ABF9FFF" w14:textId="77777777" w:rsidR="00375569" w:rsidRPr="0019344C" w:rsidRDefault="00375569" w:rsidP="0019344C">
            <w:pPr>
              <w:pStyle w:val="08-Tabelageral"/>
              <w:rPr>
                <w:rFonts w:cs="Arial"/>
                <w:b/>
                <w:szCs w:val="14"/>
              </w:rPr>
            </w:pPr>
          </w:p>
        </w:tc>
        <w:tc>
          <w:tcPr>
            <w:tcW w:w="1418" w:type="dxa"/>
            <w:tcBorders>
              <w:top w:val="single" w:sz="2" w:space="0" w:color="1F4E79" w:themeColor="accent1" w:themeShade="80"/>
              <w:bottom w:val="nil"/>
            </w:tcBorders>
            <w:shd w:val="clear" w:color="auto" w:fill="auto"/>
            <w:vAlign w:val="center"/>
          </w:tcPr>
          <w:p w14:paraId="3469D400" w14:textId="77777777" w:rsidR="00375569" w:rsidRPr="0019344C" w:rsidRDefault="00375569" w:rsidP="0019344C">
            <w:pPr>
              <w:pStyle w:val="08-Tabelageral"/>
              <w:rPr>
                <w:rFonts w:cs="Arial"/>
                <w:b/>
              </w:rPr>
            </w:pPr>
          </w:p>
        </w:tc>
      </w:tr>
      <w:tr w:rsidR="00375569" w:rsidRPr="0019344C" w14:paraId="721B9E92" w14:textId="77777777" w:rsidTr="00725333">
        <w:trPr>
          <w:trHeight w:val="238"/>
          <w:jc w:val="center"/>
        </w:trPr>
        <w:tc>
          <w:tcPr>
            <w:tcW w:w="3094" w:type="dxa"/>
            <w:tcBorders>
              <w:top w:val="nil"/>
            </w:tcBorders>
            <w:shd w:val="clear" w:color="auto" w:fill="auto"/>
            <w:vAlign w:val="center"/>
          </w:tcPr>
          <w:p w14:paraId="4BFF8EE6" w14:textId="77777777" w:rsidR="00375569" w:rsidRPr="0019344C" w:rsidRDefault="00375569" w:rsidP="000B30FD">
            <w:pPr>
              <w:pStyle w:val="08-Tabelageral"/>
              <w:ind w:left="113"/>
              <w:jc w:val="left"/>
              <w:rPr>
                <w:rFonts w:cs="Arial"/>
                <w:szCs w:val="14"/>
              </w:rPr>
            </w:pPr>
            <w:r w:rsidRPr="0019344C">
              <w:rPr>
                <w:rFonts w:cs="Arial"/>
                <w:szCs w:val="14"/>
              </w:rPr>
              <w:t>Cofins</w:t>
            </w:r>
          </w:p>
        </w:tc>
        <w:tc>
          <w:tcPr>
            <w:tcW w:w="604" w:type="dxa"/>
            <w:tcBorders>
              <w:top w:val="nil"/>
            </w:tcBorders>
            <w:shd w:val="clear" w:color="auto" w:fill="auto"/>
            <w:vAlign w:val="center"/>
          </w:tcPr>
          <w:p w14:paraId="2619DE67" w14:textId="77777777" w:rsidR="00375569" w:rsidRPr="0019344C" w:rsidRDefault="00375569" w:rsidP="000B30FD">
            <w:pPr>
              <w:pStyle w:val="08-Tabelageral"/>
              <w:ind w:left="113"/>
              <w:jc w:val="center"/>
              <w:rPr>
                <w:rFonts w:cs="Arial"/>
                <w:szCs w:val="14"/>
              </w:rPr>
            </w:pPr>
          </w:p>
        </w:tc>
        <w:tc>
          <w:tcPr>
            <w:tcW w:w="1411" w:type="dxa"/>
            <w:tcBorders>
              <w:top w:val="nil"/>
            </w:tcBorders>
            <w:shd w:val="clear" w:color="auto" w:fill="auto"/>
            <w:vAlign w:val="center"/>
          </w:tcPr>
          <w:p w14:paraId="4975EEE2" w14:textId="77777777" w:rsidR="00375569" w:rsidRPr="0019344C" w:rsidRDefault="00375569" w:rsidP="000B30FD">
            <w:pPr>
              <w:pStyle w:val="08-Tabelageral"/>
              <w:ind w:left="113"/>
              <w:rPr>
                <w:rFonts w:cs="Arial"/>
                <w:szCs w:val="14"/>
              </w:rPr>
            </w:pPr>
            <w:r>
              <w:rPr>
                <w:rFonts w:cs="Arial"/>
                <w:szCs w:val="14"/>
              </w:rPr>
              <w:t>(1.681)</w:t>
            </w:r>
          </w:p>
        </w:tc>
        <w:tc>
          <w:tcPr>
            <w:tcW w:w="1412" w:type="dxa"/>
            <w:tcBorders>
              <w:top w:val="nil"/>
            </w:tcBorders>
            <w:shd w:val="clear" w:color="auto" w:fill="auto"/>
            <w:vAlign w:val="center"/>
          </w:tcPr>
          <w:p w14:paraId="4C5A294B" w14:textId="77777777" w:rsidR="00375569" w:rsidRPr="0019344C" w:rsidRDefault="00375569" w:rsidP="000B30FD">
            <w:pPr>
              <w:pStyle w:val="08-Tabelageral"/>
              <w:ind w:left="113"/>
              <w:rPr>
                <w:rFonts w:cs="Arial"/>
              </w:rPr>
            </w:pPr>
            <w:r>
              <w:rPr>
                <w:rFonts w:cs="Arial"/>
              </w:rPr>
              <w:t>(3.039)</w:t>
            </w:r>
          </w:p>
        </w:tc>
        <w:tc>
          <w:tcPr>
            <w:tcW w:w="283" w:type="dxa"/>
            <w:tcBorders>
              <w:top w:val="nil"/>
            </w:tcBorders>
            <w:shd w:val="clear" w:color="auto" w:fill="auto"/>
            <w:vAlign w:val="center"/>
          </w:tcPr>
          <w:p w14:paraId="39EF103E" w14:textId="77777777" w:rsidR="00375569" w:rsidRPr="0019344C" w:rsidRDefault="00375569" w:rsidP="000B30FD">
            <w:pPr>
              <w:pStyle w:val="08-Tabelageral"/>
              <w:ind w:left="113"/>
              <w:rPr>
                <w:rFonts w:cs="Arial"/>
                <w:szCs w:val="14"/>
              </w:rPr>
            </w:pPr>
          </w:p>
        </w:tc>
        <w:tc>
          <w:tcPr>
            <w:tcW w:w="1417" w:type="dxa"/>
            <w:tcBorders>
              <w:top w:val="nil"/>
            </w:tcBorders>
            <w:shd w:val="clear" w:color="auto" w:fill="auto"/>
            <w:vAlign w:val="center"/>
          </w:tcPr>
          <w:p w14:paraId="234EE6E1" w14:textId="77777777" w:rsidR="00375569" w:rsidRPr="0019344C" w:rsidRDefault="00375569" w:rsidP="000B30FD">
            <w:pPr>
              <w:pStyle w:val="08-Tabelageral"/>
              <w:ind w:left="113"/>
              <w:rPr>
                <w:rFonts w:cs="Arial"/>
                <w:szCs w:val="14"/>
              </w:rPr>
            </w:pPr>
            <w:r>
              <w:rPr>
                <w:rFonts w:cs="Arial"/>
                <w:szCs w:val="14"/>
              </w:rPr>
              <w:t>(18.728)</w:t>
            </w:r>
          </w:p>
        </w:tc>
        <w:tc>
          <w:tcPr>
            <w:tcW w:w="1418" w:type="dxa"/>
            <w:tcBorders>
              <w:top w:val="nil"/>
            </w:tcBorders>
            <w:shd w:val="clear" w:color="auto" w:fill="auto"/>
            <w:vAlign w:val="center"/>
          </w:tcPr>
          <w:p w14:paraId="24FBFCBD" w14:textId="77777777" w:rsidR="00375569" w:rsidRPr="0019344C" w:rsidRDefault="00375569" w:rsidP="000B30FD">
            <w:pPr>
              <w:pStyle w:val="08-Tabelageral"/>
              <w:ind w:left="113"/>
              <w:rPr>
                <w:rFonts w:cs="Arial"/>
              </w:rPr>
            </w:pPr>
            <w:r>
              <w:rPr>
                <w:rFonts w:cs="Arial"/>
              </w:rPr>
              <w:t>(10.467)</w:t>
            </w:r>
          </w:p>
        </w:tc>
      </w:tr>
      <w:tr w:rsidR="00375569" w:rsidRPr="0019344C" w14:paraId="44B325E6" w14:textId="77777777" w:rsidTr="00725333">
        <w:trPr>
          <w:trHeight w:val="238"/>
          <w:jc w:val="center"/>
        </w:trPr>
        <w:tc>
          <w:tcPr>
            <w:tcW w:w="3094" w:type="dxa"/>
            <w:shd w:val="clear" w:color="auto" w:fill="auto"/>
            <w:vAlign w:val="center"/>
          </w:tcPr>
          <w:p w14:paraId="289F44EC" w14:textId="77777777" w:rsidR="00375569" w:rsidRPr="0019344C" w:rsidRDefault="00375569" w:rsidP="000B30FD">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0123CB35" w14:textId="77777777" w:rsidR="00375569" w:rsidRPr="0019344C" w:rsidRDefault="00375569" w:rsidP="000B30FD">
            <w:pPr>
              <w:pStyle w:val="08-Tabelageral"/>
              <w:ind w:left="113"/>
              <w:jc w:val="center"/>
              <w:rPr>
                <w:rFonts w:cs="Arial"/>
                <w:szCs w:val="14"/>
              </w:rPr>
            </w:pPr>
          </w:p>
        </w:tc>
        <w:tc>
          <w:tcPr>
            <w:tcW w:w="1411" w:type="dxa"/>
            <w:shd w:val="clear" w:color="auto" w:fill="auto"/>
            <w:vAlign w:val="center"/>
          </w:tcPr>
          <w:p w14:paraId="55376FF1" w14:textId="77777777" w:rsidR="00375569" w:rsidRPr="0019344C" w:rsidRDefault="00375569" w:rsidP="000B30FD">
            <w:pPr>
              <w:pStyle w:val="08-Tabelageral"/>
              <w:ind w:left="113"/>
              <w:rPr>
                <w:rFonts w:cs="Arial"/>
                <w:szCs w:val="14"/>
              </w:rPr>
            </w:pPr>
            <w:r>
              <w:rPr>
                <w:rFonts w:cs="Arial"/>
                <w:szCs w:val="14"/>
              </w:rPr>
              <w:t>(306)</w:t>
            </w:r>
          </w:p>
        </w:tc>
        <w:tc>
          <w:tcPr>
            <w:tcW w:w="1412" w:type="dxa"/>
            <w:shd w:val="clear" w:color="auto" w:fill="auto"/>
            <w:vAlign w:val="center"/>
          </w:tcPr>
          <w:p w14:paraId="4ACE5987" w14:textId="77777777" w:rsidR="00375569" w:rsidRPr="0019344C" w:rsidRDefault="00375569" w:rsidP="000B30FD">
            <w:pPr>
              <w:pStyle w:val="08-Tabelageral"/>
              <w:rPr>
                <w:rFonts w:cs="Arial"/>
              </w:rPr>
            </w:pPr>
            <w:r>
              <w:rPr>
                <w:rFonts w:cs="Arial"/>
              </w:rPr>
              <w:t>(523)</w:t>
            </w:r>
          </w:p>
        </w:tc>
        <w:tc>
          <w:tcPr>
            <w:tcW w:w="283" w:type="dxa"/>
            <w:shd w:val="clear" w:color="auto" w:fill="auto"/>
            <w:vAlign w:val="center"/>
          </w:tcPr>
          <w:p w14:paraId="694D6157" w14:textId="77777777" w:rsidR="00375569" w:rsidRPr="0019344C" w:rsidRDefault="00375569" w:rsidP="000B30FD">
            <w:pPr>
              <w:pStyle w:val="08-Tabelageral"/>
              <w:ind w:left="113"/>
              <w:rPr>
                <w:rFonts w:cs="Arial"/>
                <w:szCs w:val="14"/>
              </w:rPr>
            </w:pPr>
          </w:p>
        </w:tc>
        <w:tc>
          <w:tcPr>
            <w:tcW w:w="1417" w:type="dxa"/>
            <w:shd w:val="clear" w:color="auto" w:fill="auto"/>
            <w:vAlign w:val="center"/>
          </w:tcPr>
          <w:p w14:paraId="589C2384" w14:textId="77777777" w:rsidR="00375569" w:rsidRPr="0019344C" w:rsidRDefault="00375569" w:rsidP="000B30FD">
            <w:pPr>
              <w:pStyle w:val="08-Tabelageral"/>
              <w:ind w:left="113"/>
              <w:rPr>
                <w:rFonts w:cs="Arial"/>
                <w:szCs w:val="14"/>
              </w:rPr>
            </w:pPr>
            <w:r>
              <w:rPr>
                <w:rFonts w:cs="Arial"/>
                <w:szCs w:val="14"/>
              </w:rPr>
              <w:t>(3.728)</w:t>
            </w:r>
          </w:p>
        </w:tc>
        <w:tc>
          <w:tcPr>
            <w:tcW w:w="1418" w:type="dxa"/>
            <w:shd w:val="clear" w:color="auto" w:fill="auto"/>
            <w:vAlign w:val="center"/>
          </w:tcPr>
          <w:p w14:paraId="790B61C8" w14:textId="77777777" w:rsidR="00375569" w:rsidRPr="0019344C" w:rsidRDefault="00375569" w:rsidP="000B30FD">
            <w:pPr>
              <w:pStyle w:val="08-Tabelageral"/>
              <w:rPr>
                <w:rFonts w:cs="Arial"/>
              </w:rPr>
            </w:pPr>
            <w:r>
              <w:rPr>
                <w:rFonts w:cs="Arial"/>
              </w:rPr>
              <w:t>(1.939)</w:t>
            </w:r>
          </w:p>
        </w:tc>
      </w:tr>
      <w:tr w:rsidR="00375569" w:rsidRPr="0019344C" w14:paraId="44F26720" w14:textId="77777777" w:rsidTr="00725333">
        <w:trPr>
          <w:trHeight w:val="238"/>
          <w:jc w:val="center"/>
        </w:trPr>
        <w:tc>
          <w:tcPr>
            <w:tcW w:w="3094" w:type="dxa"/>
            <w:shd w:val="clear" w:color="auto" w:fill="auto"/>
            <w:vAlign w:val="center"/>
          </w:tcPr>
          <w:p w14:paraId="27C1C64B" w14:textId="77777777" w:rsidR="00375569" w:rsidRPr="0019344C" w:rsidRDefault="00375569" w:rsidP="000B30FD">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4FE0E7A3" w14:textId="77777777" w:rsidR="00375569" w:rsidRPr="0019344C" w:rsidRDefault="00375569" w:rsidP="000B30FD">
            <w:pPr>
              <w:pStyle w:val="08-Tabelageral"/>
              <w:jc w:val="center"/>
              <w:rPr>
                <w:rFonts w:cs="Arial"/>
                <w:szCs w:val="14"/>
              </w:rPr>
            </w:pPr>
          </w:p>
        </w:tc>
        <w:tc>
          <w:tcPr>
            <w:tcW w:w="1411" w:type="dxa"/>
            <w:shd w:val="clear" w:color="auto" w:fill="auto"/>
            <w:vAlign w:val="center"/>
          </w:tcPr>
          <w:p w14:paraId="0223417E" w14:textId="77777777" w:rsidR="00375569" w:rsidRPr="0019344C" w:rsidRDefault="00375569" w:rsidP="000B30FD">
            <w:pPr>
              <w:pStyle w:val="08-Tabelageral"/>
              <w:rPr>
                <w:rFonts w:cs="Arial"/>
                <w:szCs w:val="14"/>
              </w:rPr>
            </w:pPr>
            <w:r>
              <w:rPr>
                <w:rFonts w:cs="Arial"/>
                <w:szCs w:val="14"/>
              </w:rPr>
              <w:t>(24)</w:t>
            </w:r>
          </w:p>
        </w:tc>
        <w:tc>
          <w:tcPr>
            <w:tcW w:w="1412" w:type="dxa"/>
            <w:shd w:val="clear" w:color="auto" w:fill="auto"/>
            <w:vAlign w:val="center"/>
          </w:tcPr>
          <w:p w14:paraId="1D943A1E" w14:textId="77777777" w:rsidR="00375569" w:rsidRPr="0019344C" w:rsidRDefault="00375569" w:rsidP="000B30FD">
            <w:pPr>
              <w:pStyle w:val="08-Tabelageral"/>
              <w:rPr>
                <w:rFonts w:cs="Arial"/>
              </w:rPr>
            </w:pPr>
            <w:r>
              <w:rPr>
                <w:rFonts w:cs="Arial"/>
              </w:rPr>
              <w:t>(24)</w:t>
            </w:r>
          </w:p>
        </w:tc>
        <w:tc>
          <w:tcPr>
            <w:tcW w:w="283" w:type="dxa"/>
            <w:shd w:val="clear" w:color="auto" w:fill="auto"/>
            <w:vAlign w:val="center"/>
          </w:tcPr>
          <w:p w14:paraId="5A866558" w14:textId="77777777" w:rsidR="00375569" w:rsidRPr="0019344C" w:rsidRDefault="00375569" w:rsidP="000B30FD">
            <w:pPr>
              <w:pStyle w:val="08-Tabelageral"/>
              <w:rPr>
                <w:rFonts w:cs="Arial"/>
                <w:szCs w:val="14"/>
              </w:rPr>
            </w:pPr>
          </w:p>
        </w:tc>
        <w:tc>
          <w:tcPr>
            <w:tcW w:w="1417" w:type="dxa"/>
            <w:shd w:val="clear" w:color="auto" w:fill="auto"/>
            <w:vAlign w:val="center"/>
          </w:tcPr>
          <w:p w14:paraId="70EAC6A5" w14:textId="77777777" w:rsidR="00375569" w:rsidRPr="0019344C" w:rsidRDefault="00375569" w:rsidP="000B30FD">
            <w:pPr>
              <w:pStyle w:val="08-Tabelageral"/>
              <w:rPr>
                <w:rFonts w:cs="Arial"/>
                <w:szCs w:val="14"/>
              </w:rPr>
            </w:pPr>
            <w:r>
              <w:rPr>
                <w:rFonts w:cs="Arial"/>
                <w:szCs w:val="14"/>
              </w:rPr>
              <w:t>(57)</w:t>
            </w:r>
          </w:p>
        </w:tc>
        <w:tc>
          <w:tcPr>
            <w:tcW w:w="1418" w:type="dxa"/>
            <w:shd w:val="clear" w:color="auto" w:fill="auto"/>
            <w:vAlign w:val="center"/>
          </w:tcPr>
          <w:p w14:paraId="79D3946F" w14:textId="77777777" w:rsidR="00375569" w:rsidRPr="0019344C" w:rsidRDefault="00375569" w:rsidP="000B30FD">
            <w:pPr>
              <w:pStyle w:val="08-Tabelageral"/>
              <w:rPr>
                <w:rFonts w:cs="Arial"/>
              </w:rPr>
            </w:pPr>
            <w:r>
              <w:rPr>
                <w:rFonts w:cs="Arial"/>
              </w:rPr>
              <w:t>(24)</w:t>
            </w:r>
          </w:p>
        </w:tc>
      </w:tr>
      <w:tr w:rsidR="00375569" w:rsidRPr="0019344C" w14:paraId="54BB40D3" w14:textId="77777777" w:rsidTr="00725333">
        <w:trPr>
          <w:trHeight w:val="238"/>
          <w:jc w:val="center"/>
        </w:trPr>
        <w:tc>
          <w:tcPr>
            <w:tcW w:w="3094" w:type="dxa"/>
            <w:tcBorders>
              <w:bottom w:val="nil"/>
            </w:tcBorders>
            <w:shd w:val="clear" w:color="auto" w:fill="auto"/>
            <w:vAlign w:val="center"/>
          </w:tcPr>
          <w:p w14:paraId="226B19C2" w14:textId="77777777" w:rsidR="00375569" w:rsidRPr="0019344C" w:rsidRDefault="00375569" w:rsidP="000B30FD">
            <w:pPr>
              <w:pStyle w:val="08-Tabelageral"/>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01C7E6DF" w14:textId="77777777" w:rsidR="00375569" w:rsidRPr="0019344C" w:rsidRDefault="00375569" w:rsidP="000B30FD">
            <w:pPr>
              <w:pStyle w:val="08-Tabelageral"/>
              <w:jc w:val="center"/>
              <w:rPr>
                <w:rFonts w:cs="Arial"/>
                <w:szCs w:val="14"/>
              </w:rPr>
            </w:pPr>
          </w:p>
        </w:tc>
        <w:tc>
          <w:tcPr>
            <w:tcW w:w="1411" w:type="dxa"/>
            <w:tcBorders>
              <w:bottom w:val="nil"/>
            </w:tcBorders>
            <w:shd w:val="clear" w:color="auto" w:fill="auto"/>
            <w:vAlign w:val="center"/>
          </w:tcPr>
          <w:p w14:paraId="6CF09FBF" w14:textId="77777777" w:rsidR="00375569" w:rsidRPr="0019344C" w:rsidRDefault="00375569" w:rsidP="000B30FD">
            <w:pPr>
              <w:pStyle w:val="08-Tabelageral"/>
              <w:rPr>
                <w:rFonts w:cs="Arial"/>
                <w:szCs w:val="14"/>
              </w:rPr>
            </w:pPr>
            <w:r>
              <w:rPr>
                <w:rFonts w:cs="Arial"/>
                <w:szCs w:val="14"/>
              </w:rPr>
              <w:t>(72)</w:t>
            </w:r>
          </w:p>
        </w:tc>
        <w:tc>
          <w:tcPr>
            <w:tcW w:w="1412" w:type="dxa"/>
            <w:tcBorders>
              <w:bottom w:val="nil"/>
            </w:tcBorders>
            <w:shd w:val="clear" w:color="auto" w:fill="auto"/>
            <w:vAlign w:val="center"/>
          </w:tcPr>
          <w:p w14:paraId="662D5F11" w14:textId="77777777" w:rsidR="00375569" w:rsidRPr="0019344C" w:rsidRDefault="00375569" w:rsidP="000B30FD">
            <w:pPr>
              <w:pStyle w:val="08-Tabelageral"/>
              <w:rPr>
                <w:rFonts w:cs="Arial"/>
              </w:rPr>
            </w:pPr>
            <w:r>
              <w:rPr>
                <w:rFonts w:cs="Arial"/>
              </w:rPr>
              <w:t>(59)</w:t>
            </w:r>
          </w:p>
        </w:tc>
        <w:tc>
          <w:tcPr>
            <w:tcW w:w="283" w:type="dxa"/>
            <w:tcBorders>
              <w:bottom w:val="nil"/>
            </w:tcBorders>
            <w:shd w:val="clear" w:color="auto" w:fill="auto"/>
            <w:vAlign w:val="center"/>
          </w:tcPr>
          <w:p w14:paraId="75A509AE" w14:textId="77777777" w:rsidR="00375569" w:rsidRPr="0019344C" w:rsidRDefault="00375569" w:rsidP="000B30FD">
            <w:pPr>
              <w:pStyle w:val="08-Tabelageral"/>
              <w:rPr>
                <w:rFonts w:cs="Arial"/>
                <w:szCs w:val="14"/>
              </w:rPr>
            </w:pPr>
          </w:p>
        </w:tc>
        <w:tc>
          <w:tcPr>
            <w:tcW w:w="1417" w:type="dxa"/>
            <w:tcBorders>
              <w:bottom w:val="nil"/>
            </w:tcBorders>
            <w:shd w:val="clear" w:color="auto" w:fill="auto"/>
            <w:vAlign w:val="center"/>
          </w:tcPr>
          <w:p w14:paraId="577157BD" w14:textId="77777777" w:rsidR="00375569" w:rsidRPr="0019344C" w:rsidRDefault="00375569" w:rsidP="000B30FD">
            <w:pPr>
              <w:pStyle w:val="08-Tabelageral"/>
              <w:rPr>
                <w:rFonts w:cs="Arial"/>
                <w:szCs w:val="14"/>
              </w:rPr>
            </w:pPr>
            <w:r>
              <w:rPr>
                <w:rFonts w:cs="Arial"/>
                <w:szCs w:val="14"/>
              </w:rPr>
              <w:t>(138)</w:t>
            </w:r>
          </w:p>
        </w:tc>
        <w:tc>
          <w:tcPr>
            <w:tcW w:w="1418" w:type="dxa"/>
            <w:tcBorders>
              <w:bottom w:val="nil"/>
            </w:tcBorders>
            <w:shd w:val="clear" w:color="auto" w:fill="auto"/>
            <w:vAlign w:val="center"/>
          </w:tcPr>
          <w:p w14:paraId="323FCD7F" w14:textId="77777777" w:rsidR="00375569" w:rsidRPr="0019344C" w:rsidRDefault="00375569" w:rsidP="000B30FD">
            <w:pPr>
              <w:pStyle w:val="08-Tabelageral"/>
              <w:rPr>
                <w:rFonts w:cs="Arial"/>
              </w:rPr>
            </w:pPr>
            <w:r>
              <w:rPr>
                <w:rFonts w:cs="Arial"/>
              </w:rPr>
              <w:t>(129)</w:t>
            </w:r>
          </w:p>
        </w:tc>
      </w:tr>
      <w:tr w:rsidR="00375569" w:rsidRPr="0019344C" w14:paraId="6B2D251A" w14:textId="77777777" w:rsidTr="00725333">
        <w:trPr>
          <w:trHeight w:val="238"/>
          <w:jc w:val="center"/>
        </w:trPr>
        <w:tc>
          <w:tcPr>
            <w:tcW w:w="3094" w:type="dxa"/>
            <w:tcBorders>
              <w:top w:val="nil"/>
              <w:bottom w:val="single" w:sz="2" w:space="0" w:color="1F4E79" w:themeColor="accent1" w:themeShade="80"/>
            </w:tcBorders>
            <w:shd w:val="clear" w:color="auto" w:fill="auto"/>
            <w:vAlign w:val="center"/>
          </w:tcPr>
          <w:p w14:paraId="2EB2C7A1" w14:textId="77777777" w:rsidR="00375569" w:rsidRPr="0019344C" w:rsidRDefault="00375569" w:rsidP="000B30FD">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1BA13153" w14:textId="77777777" w:rsidR="00375569" w:rsidRPr="0019344C" w:rsidRDefault="00375569" w:rsidP="000B30FD">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1EDFBB8" w14:textId="77777777" w:rsidR="00375569" w:rsidRPr="0019344C" w:rsidRDefault="00375569" w:rsidP="000B30FD">
            <w:pPr>
              <w:pStyle w:val="08-Tabelageral"/>
              <w:rPr>
                <w:rFonts w:cs="Arial"/>
                <w:b/>
                <w:szCs w:val="14"/>
              </w:rPr>
            </w:pPr>
            <w:r>
              <w:rPr>
                <w:rFonts w:cs="Arial"/>
                <w:b/>
                <w:szCs w:val="14"/>
              </w:rPr>
              <w:t>(2.083)</w:t>
            </w:r>
          </w:p>
        </w:tc>
        <w:tc>
          <w:tcPr>
            <w:tcW w:w="1412" w:type="dxa"/>
            <w:tcBorders>
              <w:top w:val="nil"/>
              <w:bottom w:val="single" w:sz="2" w:space="0" w:color="1F4E79" w:themeColor="accent1" w:themeShade="80"/>
            </w:tcBorders>
            <w:shd w:val="clear" w:color="auto" w:fill="auto"/>
            <w:vAlign w:val="center"/>
          </w:tcPr>
          <w:p w14:paraId="71DE8F04" w14:textId="77777777" w:rsidR="00375569" w:rsidRPr="0019344C" w:rsidRDefault="00375569" w:rsidP="000B30FD">
            <w:pPr>
              <w:pStyle w:val="08-Tabelageral"/>
              <w:rPr>
                <w:rFonts w:cs="Arial"/>
                <w:b/>
              </w:rPr>
            </w:pPr>
            <w:r>
              <w:rPr>
                <w:rFonts w:cs="Arial"/>
                <w:b/>
              </w:rPr>
              <w:t>(3.645)</w:t>
            </w:r>
          </w:p>
        </w:tc>
        <w:tc>
          <w:tcPr>
            <w:tcW w:w="283" w:type="dxa"/>
            <w:tcBorders>
              <w:top w:val="nil"/>
              <w:bottom w:val="single" w:sz="2" w:space="0" w:color="1F4E79" w:themeColor="accent1" w:themeShade="80"/>
            </w:tcBorders>
            <w:shd w:val="clear" w:color="auto" w:fill="auto"/>
            <w:vAlign w:val="center"/>
          </w:tcPr>
          <w:p w14:paraId="0221901B" w14:textId="77777777" w:rsidR="00375569" w:rsidRPr="0019344C" w:rsidRDefault="00375569" w:rsidP="000B30FD">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CA214D4" w14:textId="77777777" w:rsidR="00375569" w:rsidRPr="0019344C" w:rsidRDefault="00375569" w:rsidP="000B30FD">
            <w:pPr>
              <w:pStyle w:val="08-Tabelageral"/>
              <w:rPr>
                <w:rFonts w:cs="Arial"/>
                <w:b/>
                <w:szCs w:val="14"/>
              </w:rPr>
            </w:pPr>
            <w:r>
              <w:rPr>
                <w:rFonts w:cs="Arial"/>
                <w:b/>
                <w:szCs w:val="14"/>
              </w:rPr>
              <w:t>(22.651)</w:t>
            </w:r>
          </w:p>
        </w:tc>
        <w:tc>
          <w:tcPr>
            <w:tcW w:w="1418" w:type="dxa"/>
            <w:tcBorders>
              <w:top w:val="nil"/>
              <w:bottom w:val="single" w:sz="2" w:space="0" w:color="1F4E79" w:themeColor="accent1" w:themeShade="80"/>
            </w:tcBorders>
            <w:shd w:val="clear" w:color="auto" w:fill="auto"/>
            <w:vAlign w:val="center"/>
          </w:tcPr>
          <w:p w14:paraId="5105EB9F" w14:textId="77777777" w:rsidR="00375569" w:rsidRPr="0019344C" w:rsidRDefault="00375569" w:rsidP="000B30FD">
            <w:pPr>
              <w:pStyle w:val="08-Tabelageral"/>
              <w:rPr>
                <w:rFonts w:cs="Arial"/>
                <w:b/>
              </w:rPr>
            </w:pPr>
            <w:r>
              <w:rPr>
                <w:rFonts w:cs="Arial"/>
                <w:b/>
              </w:rPr>
              <w:t>(12.559)</w:t>
            </w:r>
          </w:p>
        </w:tc>
      </w:tr>
    </w:tbl>
    <w:p w14:paraId="3DF53754" w14:textId="77777777" w:rsidR="00375569" w:rsidRDefault="00375569" w:rsidP="005B40B4">
      <w:pPr>
        <w:spacing w:after="0" w:line="240" w:lineRule="auto"/>
        <w:jc w:val="right"/>
        <w:rPr>
          <w:rFonts w:cs="Arial"/>
          <w:b/>
          <w:sz w:val="14"/>
          <w:lang w:eastAsia="pt-BR"/>
        </w:rPr>
      </w:pPr>
    </w:p>
    <w:p w14:paraId="6ADCA369" w14:textId="77777777" w:rsidR="00375569" w:rsidRPr="00034C98" w:rsidRDefault="00375569" w:rsidP="002F63BE">
      <w:pPr>
        <w:keepNext/>
        <w:keepLines/>
        <w:spacing w:after="40"/>
        <w:rPr>
          <w:rFonts w:cs="Arial"/>
          <w:b/>
          <w:color w:val="1F4E79" w:themeColor="accent1" w:themeShade="80"/>
          <w:sz w:val="20"/>
          <w:szCs w:val="20"/>
        </w:rPr>
      </w:pPr>
      <w:r>
        <w:rPr>
          <w:rFonts w:cs="Arial"/>
          <w:b/>
          <w:color w:val="1F4E79" w:themeColor="accent1" w:themeShade="80"/>
          <w:sz w:val="20"/>
          <w:szCs w:val="20"/>
        </w:rPr>
        <w:t>d</w:t>
      </w:r>
      <w:r w:rsidRPr="00034C98">
        <w:rPr>
          <w:rFonts w:cs="Arial"/>
          <w:b/>
          <w:color w:val="1F4E79" w:themeColor="accent1" w:themeShade="80"/>
          <w:sz w:val="20"/>
          <w:szCs w:val="20"/>
        </w:rPr>
        <w:t>) Ativos por Impostos Correntes</w:t>
      </w:r>
    </w:p>
    <w:p w14:paraId="2D75EFD4" w14:textId="77777777" w:rsidR="00375569" w:rsidRPr="00FF3D4B" w:rsidRDefault="00375569" w:rsidP="002F63BE">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375569" w:rsidRPr="00BC7DA5" w14:paraId="327DEBAE" w14:textId="77777777" w:rsidTr="00725333">
        <w:trPr>
          <w:trHeight w:val="238"/>
          <w:jc w:val="center"/>
        </w:trPr>
        <w:tc>
          <w:tcPr>
            <w:tcW w:w="3261" w:type="dxa"/>
            <w:tcBorders>
              <w:top w:val="single" w:sz="2" w:space="0" w:color="1F4E79" w:themeColor="accent1" w:themeShade="80"/>
              <w:bottom w:val="nil"/>
            </w:tcBorders>
            <w:shd w:val="clear" w:color="auto" w:fill="auto"/>
          </w:tcPr>
          <w:p w14:paraId="207E5516" w14:textId="77777777" w:rsidR="00375569" w:rsidRPr="00BC7DA5" w:rsidRDefault="00375569" w:rsidP="002F63BE">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2992E1E5" w14:textId="77777777" w:rsidR="00375569" w:rsidRPr="00BC7DA5" w:rsidRDefault="00375569" w:rsidP="002F63BE">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2F0CAD0" w14:textId="77777777" w:rsidR="00375569" w:rsidRPr="00BC7DA5" w:rsidRDefault="00375569" w:rsidP="002F63BE">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6AA13F03" w14:textId="77777777" w:rsidR="00375569" w:rsidRPr="00BC7DA5" w:rsidRDefault="00375569" w:rsidP="002F63BE">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46FB51CC" w14:textId="77777777" w:rsidR="00375569" w:rsidRPr="00BC7DA5" w:rsidRDefault="00375569" w:rsidP="002F63BE">
            <w:pPr>
              <w:keepNext/>
              <w:keepLines/>
              <w:spacing w:after="0"/>
              <w:jc w:val="center"/>
              <w:rPr>
                <w:rFonts w:cs="Arial"/>
                <w:b/>
                <w:szCs w:val="18"/>
              </w:rPr>
            </w:pPr>
            <w:r w:rsidRPr="00BC7DA5">
              <w:rPr>
                <w:rFonts w:cs="Arial"/>
                <w:b/>
                <w:sz w:val="14"/>
                <w:szCs w:val="18"/>
              </w:rPr>
              <w:t>Consolidado</w:t>
            </w:r>
          </w:p>
        </w:tc>
      </w:tr>
      <w:tr w:rsidR="00375569" w:rsidRPr="00BC7DA5" w14:paraId="0270A6B6" w14:textId="77777777" w:rsidTr="00725333">
        <w:trPr>
          <w:trHeight w:val="238"/>
          <w:jc w:val="center"/>
        </w:trPr>
        <w:tc>
          <w:tcPr>
            <w:tcW w:w="3261" w:type="dxa"/>
            <w:tcBorders>
              <w:top w:val="nil"/>
              <w:bottom w:val="single" w:sz="2" w:space="0" w:color="1F4E79" w:themeColor="accent1" w:themeShade="80"/>
            </w:tcBorders>
            <w:shd w:val="clear" w:color="auto" w:fill="auto"/>
          </w:tcPr>
          <w:p w14:paraId="23C7539F" w14:textId="77777777" w:rsidR="00375569" w:rsidRPr="00BC7DA5" w:rsidRDefault="00375569" w:rsidP="002F63BE">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30DFB355" w14:textId="77777777" w:rsidR="00375569" w:rsidRPr="00BC7DA5" w:rsidRDefault="00375569" w:rsidP="002F63B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0EFA30B" w14:textId="77777777" w:rsidR="00375569" w:rsidRPr="00BC7DA5" w:rsidRDefault="00375569" w:rsidP="00717DEB">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544E8455" w14:textId="77777777" w:rsidR="00375569" w:rsidRPr="00BC7DA5" w:rsidRDefault="00375569" w:rsidP="00EF4966">
            <w:pPr>
              <w:pStyle w:val="08-Tabelageral"/>
              <w:rPr>
                <w:rFonts w:cs="Arial"/>
                <w:b/>
              </w:rPr>
            </w:pPr>
            <w:r w:rsidRPr="00BC7DA5">
              <w:rPr>
                <w:rFonts w:cs="Arial"/>
                <w:b/>
              </w:rPr>
              <w:t>31.12.20</w:t>
            </w:r>
            <w:r>
              <w:rPr>
                <w:rFonts w:cs="Arial"/>
                <w:b/>
              </w:rPr>
              <w:t>20</w:t>
            </w:r>
          </w:p>
        </w:tc>
        <w:tc>
          <w:tcPr>
            <w:tcW w:w="283" w:type="dxa"/>
            <w:tcBorders>
              <w:top w:val="nil"/>
              <w:bottom w:val="single" w:sz="2" w:space="0" w:color="1F4E79" w:themeColor="accent1" w:themeShade="80"/>
            </w:tcBorders>
            <w:shd w:val="clear" w:color="auto" w:fill="auto"/>
            <w:vAlign w:val="center"/>
          </w:tcPr>
          <w:p w14:paraId="63379894" w14:textId="77777777" w:rsidR="00375569" w:rsidRPr="00BC7DA5" w:rsidRDefault="00375569" w:rsidP="002F63BE">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6E54E97" w14:textId="77777777" w:rsidR="00375569" w:rsidRPr="00BC7DA5" w:rsidRDefault="00375569" w:rsidP="00717DEB">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604D51E" w14:textId="77777777" w:rsidR="00375569" w:rsidRPr="00BC7DA5" w:rsidRDefault="00375569" w:rsidP="00EF4966">
            <w:pPr>
              <w:pStyle w:val="08-Tabelageral"/>
              <w:rPr>
                <w:rFonts w:cs="Arial"/>
                <w:b/>
                <w:vertAlign w:val="superscript"/>
              </w:rPr>
            </w:pPr>
            <w:r w:rsidRPr="00BC7DA5">
              <w:rPr>
                <w:rFonts w:cs="Arial"/>
                <w:b/>
              </w:rPr>
              <w:t>31.12.20</w:t>
            </w:r>
            <w:r>
              <w:rPr>
                <w:rFonts w:cs="Arial"/>
                <w:b/>
              </w:rPr>
              <w:t>20</w:t>
            </w:r>
          </w:p>
        </w:tc>
      </w:tr>
      <w:tr w:rsidR="00375569" w:rsidRPr="009D0C3F" w14:paraId="2FD247FE" w14:textId="77777777" w:rsidTr="00725333">
        <w:trPr>
          <w:trHeight w:val="238"/>
          <w:jc w:val="center"/>
        </w:trPr>
        <w:tc>
          <w:tcPr>
            <w:tcW w:w="3261" w:type="dxa"/>
            <w:tcBorders>
              <w:top w:val="single" w:sz="2" w:space="0" w:color="1F4E79" w:themeColor="accent1" w:themeShade="80"/>
              <w:bottom w:val="nil"/>
            </w:tcBorders>
            <w:shd w:val="clear" w:color="auto" w:fill="auto"/>
          </w:tcPr>
          <w:p w14:paraId="36B83A2F" w14:textId="77777777" w:rsidR="00375569" w:rsidRPr="009D0C3F" w:rsidRDefault="00375569" w:rsidP="00C0793D">
            <w:pPr>
              <w:pStyle w:val="08-Tabelageral"/>
              <w:ind w:left="113"/>
              <w:jc w:val="left"/>
              <w:rPr>
                <w:rFonts w:cs="Arial"/>
                <w:b/>
                <w:szCs w:val="14"/>
              </w:rPr>
            </w:pPr>
            <w:r w:rsidRPr="009D0C3F">
              <w:rPr>
                <w:rFonts w:cs="Arial"/>
                <w:b/>
                <w:szCs w:val="14"/>
              </w:rPr>
              <w:t>Ativo Circulante</w:t>
            </w:r>
          </w:p>
        </w:tc>
        <w:tc>
          <w:tcPr>
            <w:tcW w:w="437" w:type="dxa"/>
            <w:tcBorders>
              <w:top w:val="single" w:sz="2" w:space="0" w:color="1F4E79" w:themeColor="accent1" w:themeShade="80"/>
              <w:bottom w:val="nil"/>
            </w:tcBorders>
            <w:shd w:val="clear" w:color="auto" w:fill="auto"/>
          </w:tcPr>
          <w:p w14:paraId="549CDB0B" w14:textId="77777777" w:rsidR="00375569" w:rsidRPr="009D0C3F" w:rsidRDefault="00375569" w:rsidP="00C0793D">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208C07CB" w14:textId="77777777" w:rsidR="00375569" w:rsidRPr="009D0C3F" w:rsidRDefault="00375569" w:rsidP="00C0793D">
            <w:pPr>
              <w:pStyle w:val="08-Tabelageral"/>
              <w:rPr>
                <w:rFonts w:cs="Arial"/>
                <w:b/>
              </w:rPr>
            </w:pPr>
            <w:r>
              <w:rPr>
                <w:rFonts w:cs="Arial"/>
                <w:b/>
              </w:rPr>
              <w:t>1.928</w:t>
            </w:r>
          </w:p>
        </w:tc>
        <w:tc>
          <w:tcPr>
            <w:tcW w:w="1412" w:type="dxa"/>
            <w:tcBorders>
              <w:top w:val="single" w:sz="2" w:space="0" w:color="1F4E79" w:themeColor="accent1" w:themeShade="80"/>
              <w:bottom w:val="nil"/>
            </w:tcBorders>
            <w:shd w:val="clear" w:color="auto" w:fill="auto"/>
            <w:vAlign w:val="center"/>
          </w:tcPr>
          <w:p w14:paraId="3713C592" w14:textId="77777777" w:rsidR="00375569" w:rsidRPr="00143A28" w:rsidRDefault="00375569" w:rsidP="00C0793D">
            <w:pPr>
              <w:pStyle w:val="08-Tabelageral"/>
              <w:rPr>
                <w:rFonts w:cs="Arial"/>
                <w:b/>
              </w:rPr>
            </w:pPr>
            <w:r w:rsidRPr="00143A28">
              <w:rPr>
                <w:rFonts w:cs="Arial"/>
                <w:b/>
              </w:rPr>
              <w:t>--</w:t>
            </w:r>
          </w:p>
        </w:tc>
        <w:tc>
          <w:tcPr>
            <w:tcW w:w="283" w:type="dxa"/>
            <w:tcBorders>
              <w:top w:val="single" w:sz="2" w:space="0" w:color="1F4E79" w:themeColor="accent1" w:themeShade="80"/>
              <w:bottom w:val="nil"/>
            </w:tcBorders>
            <w:shd w:val="clear" w:color="auto" w:fill="auto"/>
            <w:vAlign w:val="center"/>
          </w:tcPr>
          <w:p w14:paraId="0C8F4F2E" w14:textId="77777777" w:rsidR="00375569" w:rsidRPr="009D0C3F" w:rsidRDefault="00375569" w:rsidP="00C0793D">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70DD42B8" w14:textId="77777777" w:rsidR="00375569" w:rsidRPr="009D0C3F" w:rsidRDefault="00375569" w:rsidP="00C0793D">
            <w:pPr>
              <w:pStyle w:val="08-Tabelageral"/>
              <w:rPr>
                <w:rFonts w:cs="Arial"/>
                <w:b/>
              </w:rPr>
            </w:pPr>
            <w:r>
              <w:rPr>
                <w:rFonts w:cs="Arial"/>
                <w:b/>
              </w:rPr>
              <w:t>1.928</w:t>
            </w:r>
          </w:p>
        </w:tc>
        <w:tc>
          <w:tcPr>
            <w:tcW w:w="1418" w:type="dxa"/>
            <w:tcBorders>
              <w:top w:val="single" w:sz="2" w:space="0" w:color="1F4E79" w:themeColor="accent1" w:themeShade="80"/>
              <w:bottom w:val="nil"/>
            </w:tcBorders>
            <w:shd w:val="clear" w:color="auto" w:fill="auto"/>
            <w:vAlign w:val="center"/>
          </w:tcPr>
          <w:p w14:paraId="735570B8" w14:textId="77777777" w:rsidR="00375569" w:rsidRPr="009D0C3F" w:rsidRDefault="00375569" w:rsidP="00C0793D">
            <w:pPr>
              <w:pStyle w:val="08-Tabelageral"/>
              <w:rPr>
                <w:rFonts w:cs="Arial"/>
                <w:b/>
              </w:rPr>
            </w:pPr>
            <w:r>
              <w:rPr>
                <w:rFonts w:cs="Arial"/>
                <w:b/>
              </w:rPr>
              <w:t>--</w:t>
            </w:r>
          </w:p>
        </w:tc>
      </w:tr>
      <w:tr w:rsidR="00375569" w:rsidRPr="00BC7DA5" w14:paraId="4007FA8D" w14:textId="77777777" w:rsidTr="00725333">
        <w:trPr>
          <w:trHeight w:val="238"/>
          <w:jc w:val="center"/>
        </w:trPr>
        <w:tc>
          <w:tcPr>
            <w:tcW w:w="3261" w:type="dxa"/>
            <w:tcBorders>
              <w:top w:val="nil"/>
              <w:bottom w:val="nil"/>
            </w:tcBorders>
            <w:shd w:val="clear" w:color="auto" w:fill="auto"/>
          </w:tcPr>
          <w:p w14:paraId="3120AC92" w14:textId="77777777" w:rsidR="00375569" w:rsidRPr="00BC7DA5" w:rsidRDefault="00375569" w:rsidP="00C0793D">
            <w:pPr>
              <w:pStyle w:val="08-Tabelageral"/>
              <w:ind w:left="113"/>
              <w:jc w:val="left"/>
              <w:rPr>
                <w:rFonts w:cs="Arial"/>
                <w:szCs w:val="14"/>
              </w:rPr>
            </w:pPr>
            <w:r w:rsidRPr="00BC7DA5">
              <w:rPr>
                <w:rFonts w:cs="Arial"/>
                <w:szCs w:val="14"/>
              </w:rPr>
              <w:t>IRRF a deduzir</w:t>
            </w:r>
          </w:p>
        </w:tc>
        <w:tc>
          <w:tcPr>
            <w:tcW w:w="437" w:type="dxa"/>
            <w:tcBorders>
              <w:top w:val="nil"/>
              <w:bottom w:val="nil"/>
            </w:tcBorders>
            <w:shd w:val="clear" w:color="auto" w:fill="auto"/>
          </w:tcPr>
          <w:p w14:paraId="4D8939F3" w14:textId="77777777" w:rsidR="00375569" w:rsidRPr="00BC7DA5" w:rsidRDefault="00375569" w:rsidP="00C0793D">
            <w:pPr>
              <w:pStyle w:val="08-Tabelageral"/>
              <w:jc w:val="center"/>
              <w:rPr>
                <w:rFonts w:cs="Arial"/>
                <w:szCs w:val="14"/>
              </w:rPr>
            </w:pPr>
          </w:p>
        </w:tc>
        <w:tc>
          <w:tcPr>
            <w:tcW w:w="1411" w:type="dxa"/>
            <w:tcBorders>
              <w:top w:val="nil"/>
              <w:bottom w:val="nil"/>
            </w:tcBorders>
            <w:shd w:val="clear" w:color="auto" w:fill="auto"/>
            <w:vAlign w:val="center"/>
          </w:tcPr>
          <w:p w14:paraId="2481021C" w14:textId="77777777" w:rsidR="00375569" w:rsidRPr="00BC7DA5" w:rsidRDefault="00375569" w:rsidP="00C0793D">
            <w:pPr>
              <w:pStyle w:val="08-Tabelageral"/>
              <w:rPr>
                <w:rFonts w:cs="Arial"/>
                <w:szCs w:val="14"/>
              </w:rPr>
            </w:pPr>
            <w:r>
              <w:rPr>
                <w:rFonts w:cs="Arial"/>
                <w:szCs w:val="14"/>
              </w:rPr>
              <w:t>1.953</w:t>
            </w:r>
          </w:p>
        </w:tc>
        <w:tc>
          <w:tcPr>
            <w:tcW w:w="1412" w:type="dxa"/>
            <w:tcBorders>
              <w:top w:val="nil"/>
              <w:bottom w:val="nil"/>
            </w:tcBorders>
            <w:shd w:val="clear" w:color="auto" w:fill="auto"/>
            <w:vAlign w:val="center"/>
          </w:tcPr>
          <w:p w14:paraId="043AB60E" w14:textId="77777777" w:rsidR="00375569" w:rsidRPr="00BC7DA5" w:rsidRDefault="00375569" w:rsidP="00C0793D">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5B66EE4F" w14:textId="77777777" w:rsidR="00375569" w:rsidRPr="00BC7DA5" w:rsidRDefault="00375569" w:rsidP="00C0793D">
            <w:pPr>
              <w:pStyle w:val="08-Tabelageral"/>
              <w:rPr>
                <w:rFonts w:cs="Arial"/>
                <w:szCs w:val="14"/>
              </w:rPr>
            </w:pPr>
          </w:p>
        </w:tc>
        <w:tc>
          <w:tcPr>
            <w:tcW w:w="1417" w:type="dxa"/>
            <w:tcBorders>
              <w:top w:val="nil"/>
              <w:bottom w:val="nil"/>
            </w:tcBorders>
            <w:shd w:val="clear" w:color="auto" w:fill="auto"/>
            <w:vAlign w:val="center"/>
          </w:tcPr>
          <w:p w14:paraId="16D12185" w14:textId="77777777" w:rsidR="00375569" w:rsidRPr="00BC7DA5" w:rsidRDefault="00375569" w:rsidP="00C0793D">
            <w:pPr>
              <w:pStyle w:val="08-Tabelageral"/>
              <w:rPr>
                <w:rFonts w:cs="Arial"/>
                <w:szCs w:val="14"/>
              </w:rPr>
            </w:pPr>
            <w:r>
              <w:rPr>
                <w:rFonts w:cs="Arial"/>
                <w:szCs w:val="14"/>
              </w:rPr>
              <w:t>42.586</w:t>
            </w:r>
          </w:p>
        </w:tc>
        <w:tc>
          <w:tcPr>
            <w:tcW w:w="1418" w:type="dxa"/>
            <w:tcBorders>
              <w:top w:val="nil"/>
              <w:bottom w:val="nil"/>
            </w:tcBorders>
            <w:shd w:val="clear" w:color="auto" w:fill="auto"/>
            <w:vAlign w:val="center"/>
          </w:tcPr>
          <w:p w14:paraId="6FFFB678" w14:textId="77777777" w:rsidR="00375569" w:rsidRPr="00BC7DA5" w:rsidRDefault="00375569" w:rsidP="00C0793D">
            <w:pPr>
              <w:pStyle w:val="08-Tabelageral"/>
              <w:rPr>
                <w:rFonts w:cs="Arial"/>
                <w:szCs w:val="14"/>
              </w:rPr>
            </w:pPr>
            <w:r>
              <w:rPr>
                <w:rFonts w:cs="Arial"/>
                <w:szCs w:val="14"/>
              </w:rPr>
              <w:t>--</w:t>
            </w:r>
          </w:p>
        </w:tc>
      </w:tr>
      <w:tr w:rsidR="00375569" w:rsidRPr="00BC7DA5" w14:paraId="1BA025E0" w14:textId="77777777" w:rsidTr="00725333">
        <w:trPr>
          <w:trHeight w:val="238"/>
          <w:jc w:val="center"/>
        </w:trPr>
        <w:tc>
          <w:tcPr>
            <w:tcW w:w="3261" w:type="dxa"/>
            <w:tcBorders>
              <w:top w:val="nil"/>
              <w:bottom w:val="nil"/>
            </w:tcBorders>
            <w:shd w:val="clear" w:color="auto" w:fill="auto"/>
          </w:tcPr>
          <w:p w14:paraId="0D23CEDD" w14:textId="77777777" w:rsidR="00375569" w:rsidRPr="00BC7DA5" w:rsidRDefault="00375569" w:rsidP="00C0793D">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31C3AD62" w14:textId="77777777" w:rsidR="00375569" w:rsidRPr="00BC7DA5" w:rsidRDefault="00375569" w:rsidP="00C0793D">
            <w:pPr>
              <w:pStyle w:val="08-Tabelageral"/>
              <w:jc w:val="center"/>
              <w:rPr>
                <w:rFonts w:cs="Arial"/>
                <w:szCs w:val="14"/>
              </w:rPr>
            </w:pPr>
          </w:p>
        </w:tc>
        <w:tc>
          <w:tcPr>
            <w:tcW w:w="1411" w:type="dxa"/>
            <w:tcBorders>
              <w:top w:val="nil"/>
              <w:bottom w:val="nil"/>
            </w:tcBorders>
            <w:shd w:val="clear" w:color="auto" w:fill="auto"/>
            <w:vAlign w:val="center"/>
          </w:tcPr>
          <w:p w14:paraId="3ADF4BD0" w14:textId="77777777" w:rsidR="00375569" w:rsidRPr="00BC7DA5" w:rsidRDefault="00375569" w:rsidP="00C0793D">
            <w:pPr>
              <w:pStyle w:val="08-Tabelageral"/>
              <w:rPr>
                <w:rFonts w:cs="Arial"/>
                <w:szCs w:val="14"/>
              </w:rPr>
            </w:pPr>
            <w:r>
              <w:rPr>
                <w:rFonts w:cs="Arial"/>
                <w:szCs w:val="14"/>
              </w:rPr>
              <w:t>(25)</w:t>
            </w:r>
          </w:p>
        </w:tc>
        <w:tc>
          <w:tcPr>
            <w:tcW w:w="1412" w:type="dxa"/>
            <w:tcBorders>
              <w:top w:val="nil"/>
              <w:bottom w:val="nil"/>
            </w:tcBorders>
            <w:shd w:val="clear" w:color="auto" w:fill="auto"/>
            <w:vAlign w:val="center"/>
          </w:tcPr>
          <w:p w14:paraId="236C41C8" w14:textId="77777777" w:rsidR="00375569" w:rsidRPr="00BC7DA5" w:rsidRDefault="00375569" w:rsidP="00C0793D">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0B24599F" w14:textId="77777777" w:rsidR="00375569" w:rsidRPr="00BC7DA5" w:rsidRDefault="00375569" w:rsidP="00C0793D">
            <w:pPr>
              <w:pStyle w:val="08-Tabelageral"/>
              <w:rPr>
                <w:rFonts w:cs="Arial"/>
                <w:szCs w:val="14"/>
              </w:rPr>
            </w:pPr>
          </w:p>
        </w:tc>
        <w:tc>
          <w:tcPr>
            <w:tcW w:w="1417" w:type="dxa"/>
            <w:tcBorders>
              <w:top w:val="nil"/>
              <w:bottom w:val="nil"/>
            </w:tcBorders>
            <w:shd w:val="clear" w:color="auto" w:fill="auto"/>
            <w:vAlign w:val="center"/>
          </w:tcPr>
          <w:p w14:paraId="0C8ED293" w14:textId="77777777" w:rsidR="00375569" w:rsidRPr="00BC7DA5" w:rsidRDefault="00375569" w:rsidP="00C0793D">
            <w:pPr>
              <w:pStyle w:val="08-Tabelageral"/>
              <w:rPr>
                <w:rFonts w:cs="Arial"/>
                <w:szCs w:val="14"/>
              </w:rPr>
            </w:pPr>
            <w:r>
              <w:rPr>
                <w:rFonts w:cs="Arial"/>
                <w:szCs w:val="14"/>
              </w:rPr>
              <w:t>(40.658)</w:t>
            </w:r>
          </w:p>
        </w:tc>
        <w:tc>
          <w:tcPr>
            <w:tcW w:w="1418" w:type="dxa"/>
            <w:tcBorders>
              <w:top w:val="nil"/>
              <w:bottom w:val="nil"/>
            </w:tcBorders>
            <w:shd w:val="clear" w:color="auto" w:fill="auto"/>
            <w:vAlign w:val="center"/>
          </w:tcPr>
          <w:p w14:paraId="5E311283" w14:textId="77777777" w:rsidR="00375569" w:rsidRPr="00BC7DA5" w:rsidRDefault="00375569" w:rsidP="00C0793D">
            <w:pPr>
              <w:pStyle w:val="08-Tabelageral"/>
              <w:rPr>
                <w:rFonts w:cs="Arial"/>
                <w:szCs w:val="14"/>
              </w:rPr>
            </w:pPr>
            <w:r>
              <w:rPr>
                <w:rFonts w:cs="Arial"/>
                <w:szCs w:val="14"/>
              </w:rPr>
              <w:t>--</w:t>
            </w:r>
          </w:p>
        </w:tc>
      </w:tr>
      <w:tr w:rsidR="00375569" w:rsidRPr="00F954A9" w14:paraId="2AE816F5" w14:textId="77777777" w:rsidTr="00725333">
        <w:trPr>
          <w:trHeight w:val="238"/>
          <w:jc w:val="center"/>
        </w:trPr>
        <w:tc>
          <w:tcPr>
            <w:tcW w:w="3261" w:type="dxa"/>
            <w:tcBorders>
              <w:top w:val="nil"/>
              <w:bottom w:val="nil"/>
            </w:tcBorders>
            <w:shd w:val="clear" w:color="auto" w:fill="auto"/>
          </w:tcPr>
          <w:p w14:paraId="69D9C6A2" w14:textId="77777777" w:rsidR="00375569" w:rsidRPr="00F954A9" w:rsidRDefault="00375569" w:rsidP="00C0793D">
            <w:pPr>
              <w:pStyle w:val="08-Tabelageral"/>
              <w:ind w:left="283" w:hanging="170"/>
              <w:jc w:val="left"/>
              <w:rPr>
                <w:rFonts w:cs="Arial"/>
                <w:b/>
                <w:szCs w:val="14"/>
              </w:rPr>
            </w:pPr>
            <w:r w:rsidRPr="00F954A9">
              <w:rPr>
                <w:rFonts w:cs="Arial"/>
                <w:b/>
                <w:szCs w:val="14"/>
              </w:rPr>
              <w:t>Ativo Não Circulante</w:t>
            </w:r>
          </w:p>
        </w:tc>
        <w:tc>
          <w:tcPr>
            <w:tcW w:w="437" w:type="dxa"/>
            <w:tcBorders>
              <w:top w:val="nil"/>
              <w:bottom w:val="nil"/>
            </w:tcBorders>
            <w:shd w:val="clear" w:color="auto" w:fill="auto"/>
          </w:tcPr>
          <w:p w14:paraId="62A620E5" w14:textId="77777777" w:rsidR="00375569" w:rsidRPr="00F954A9" w:rsidRDefault="00375569" w:rsidP="00C0793D">
            <w:pPr>
              <w:pStyle w:val="08-Tabelageral"/>
              <w:jc w:val="center"/>
              <w:rPr>
                <w:rFonts w:cs="Arial"/>
                <w:b/>
                <w:szCs w:val="14"/>
              </w:rPr>
            </w:pPr>
          </w:p>
        </w:tc>
        <w:tc>
          <w:tcPr>
            <w:tcW w:w="1411" w:type="dxa"/>
            <w:tcBorders>
              <w:top w:val="nil"/>
              <w:bottom w:val="nil"/>
            </w:tcBorders>
            <w:shd w:val="clear" w:color="auto" w:fill="auto"/>
            <w:vAlign w:val="center"/>
          </w:tcPr>
          <w:p w14:paraId="1A48EE8D" w14:textId="77777777" w:rsidR="00375569" w:rsidRPr="00F954A9" w:rsidRDefault="00375569" w:rsidP="008925AF">
            <w:pPr>
              <w:pStyle w:val="08-Tabelageral"/>
              <w:rPr>
                <w:rFonts w:cs="Arial"/>
                <w:b/>
                <w:szCs w:val="14"/>
              </w:rPr>
            </w:pPr>
            <w:r>
              <w:rPr>
                <w:rFonts w:cs="Arial"/>
                <w:b/>
                <w:szCs w:val="14"/>
              </w:rPr>
              <w:t>68.332</w:t>
            </w:r>
          </w:p>
        </w:tc>
        <w:tc>
          <w:tcPr>
            <w:tcW w:w="1412" w:type="dxa"/>
            <w:tcBorders>
              <w:top w:val="nil"/>
              <w:bottom w:val="nil"/>
            </w:tcBorders>
            <w:shd w:val="clear" w:color="auto" w:fill="auto"/>
            <w:vAlign w:val="center"/>
          </w:tcPr>
          <w:p w14:paraId="7AF44646" w14:textId="77777777" w:rsidR="00375569" w:rsidRPr="00F954A9" w:rsidRDefault="00375569" w:rsidP="00C0793D">
            <w:pPr>
              <w:pStyle w:val="08-Tabelageral"/>
              <w:rPr>
                <w:rFonts w:cs="Arial"/>
                <w:b/>
                <w:szCs w:val="14"/>
              </w:rPr>
            </w:pPr>
            <w:r>
              <w:rPr>
                <w:rFonts w:cs="Arial"/>
                <w:b/>
                <w:szCs w:val="14"/>
              </w:rPr>
              <w:t>85.155</w:t>
            </w:r>
          </w:p>
        </w:tc>
        <w:tc>
          <w:tcPr>
            <w:tcW w:w="283" w:type="dxa"/>
            <w:tcBorders>
              <w:top w:val="nil"/>
              <w:bottom w:val="nil"/>
            </w:tcBorders>
            <w:shd w:val="clear" w:color="auto" w:fill="auto"/>
            <w:vAlign w:val="center"/>
          </w:tcPr>
          <w:p w14:paraId="0838EE55" w14:textId="77777777" w:rsidR="00375569" w:rsidRPr="00F954A9" w:rsidRDefault="00375569" w:rsidP="00C0793D">
            <w:pPr>
              <w:pStyle w:val="08-Tabelageral"/>
              <w:rPr>
                <w:rFonts w:cs="Arial"/>
                <w:b/>
                <w:szCs w:val="14"/>
              </w:rPr>
            </w:pPr>
          </w:p>
        </w:tc>
        <w:tc>
          <w:tcPr>
            <w:tcW w:w="1417" w:type="dxa"/>
            <w:tcBorders>
              <w:top w:val="nil"/>
              <w:bottom w:val="nil"/>
            </w:tcBorders>
            <w:shd w:val="clear" w:color="auto" w:fill="auto"/>
            <w:vAlign w:val="center"/>
          </w:tcPr>
          <w:p w14:paraId="0B1BF2F2" w14:textId="77777777" w:rsidR="00375569" w:rsidRPr="00F954A9" w:rsidRDefault="00375569" w:rsidP="00772CB2">
            <w:pPr>
              <w:pStyle w:val="08-Tabelageral"/>
              <w:rPr>
                <w:rFonts w:cs="Arial"/>
                <w:b/>
                <w:szCs w:val="14"/>
              </w:rPr>
            </w:pPr>
            <w:r>
              <w:rPr>
                <w:rFonts w:cs="Arial"/>
                <w:b/>
                <w:szCs w:val="14"/>
              </w:rPr>
              <w:t>84.337</w:t>
            </w:r>
          </w:p>
        </w:tc>
        <w:tc>
          <w:tcPr>
            <w:tcW w:w="1418" w:type="dxa"/>
            <w:tcBorders>
              <w:top w:val="nil"/>
              <w:bottom w:val="nil"/>
            </w:tcBorders>
            <w:shd w:val="clear" w:color="auto" w:fill="auto"/>
            <w:vAlign w:val="center"/>
          </w:tcPr>
          <w:p w14:paraId="4A43ED01" w14:textId="77777777" w:rsidR="00375569" w:rsidRPr="00F954A9" w:rsidRDefault="00375569" w:rsidP="00C0793D">
            <w:pPr>
              <w:pStyle w:val="08-Tabelageral"/>
              <w:rPr>
                <w:rFonts w:cs="Arial"/>
                <w:b/>
                <w:szCs w:val="14"/>
              </w:rPr>
            </w:pPr>
            <w:r>
              <w:rPr>
                <w:rFonts w:cs="Arial"/>
                <w:b/>
                <w:szCs w:val="14"/>
              </w:rPr>
              <w:t>114.776</w:t>
            </w:r>
          </w:p>
        </w:tc>
      </w:tr>
      <w:tr w:rsidR="00375569" w:rsidRPr="00BC7DA5" w14:paraId="73779031" w14:textId="77777777" w:rsidTr="00725333">
        <w:trPr>
          <w:trHeight w:val="238"/>
          <w:jc w:val="center"/>
        </w:trPr>
        <w:tc>
          <w:tcPr>
            <w:tcW w:w="3261" w:type="dxa"/>
            <w:tcBorders>
              <w:top w:val="nil"/>
              <w:bottom w:val="nil"/>
            </w:tcBorders>
            <w:shd w:val="clear" w:color="auto" w:fill="auto"/>
          </w:tcPr>
          <w:p w14:paraId="24C57572" w14:textId="77777777" w:rsidR="00375569" w:rsidRPr="009D0C3F" w:rsidRDefault="00375569" w:rsidP="00C0793D">
            <w:pPr>
              <w:pStyle w:val="08-Tabelageral"/>
              <w:ind w:left="283" w:hanging="170"/>
              <w:jc w:val="left"/>
              <w:rPr>
                <w:rFonts w:cs="Arial"/>
                <w:b/>
                <w:szCs w:val="14"/>
              </w:rPr>
            </w:pPr>
            <w:r w:rsidRPr="00BC7DA5">
              <w:rPr>
                <w:rFonts w:cs="Arial"/>
                <w:szCs w:val="14"/>
              </w:rPr>
              <w:t>Impostos a compensar</w:t>
            </w:r>
          </w:p>
        </w:tc>
        <w:tc>
          <w:tcPr>
            <w:tcW w:w="437" w:type="dxa"/>
            <w:tcBorders>
              <w:top w:val="nil"/>
              <w:bottom w:val="nil"/>
            </w:tcBorders>
            <w:shd w:val="clear" w:color="auto" w:fill="auto"/>
          </w:tcPr>
          <w:p w14:paraId="463751FB" w14:textId="77777777" w:rsidR="00375569" w:rsidRPr="00BC7DA5" w:rsidRDefault="00375569" w:rsidP="00C0793D">
            <w:pPr>
              <w:pStyle w:val="08-Tabelageral"/>
              <w:jc w:val="center"/>
              <w:rPr>
                <w:rFonts w:cs="Arial"/>
                <w:szCs w:val="14"/>
              </w:rPr>
            </w:pPr>
          </w:p>
        </w:tc>
        <w:tc>
          <w:tcPr>
            <w:tcW w:w="1411" w:type="dxa"/>
            <w:tcBorders>
              <w:top w:val="nil"/>
              <w:bottom w:val="nil"/>
            </w:tcBorders>
            <w:shd w:val="clear" w:color="auto" w:fill="auto"/>
            <w:vAlign w:val="center"/>
          </w:tcPr>
          <w:p w14:paraId="5350F388" w14:textId="77777777" w:rsidR="00375569" w:rsidRDefault="00375569" w:rsidP="00C0793D">
            <w:pPr>
              <w:pStyle w:val="08-Tabelageral"/>
              <w:rPr>
                <w:rFonts w:cs="Arial"/>
                <w:szCs w:val="14"/>
              </w:rPr>
            </w:pPr>
            <w:r>
              <w:rPr>
                <w:rFonts w:cs="Arial"/>
                <w:szCs w:val="14"/>
              </w:rPr>
              <w:t>68.479</w:t>
            </w:r>
          </w:p>
        </w:tc>
        <w:tc>
          <w:tcPr>
            <w:tcW w:w="1412" w:type="dxa"/>
            <w:tcBorders>
              <w:top w:val="nil"/>
              <w:bottom w:val="nil"/>
            </w:tcBorders>
            <w:shd w:val="clear" w:color="auto" w:fill="auto"/>
            <w:vAlign w:val="center"/>
          </w:tcPr>
          <w:p w14:paraId="639B9114" w14:textId="77777777" w:rsidR="00375569" w:rsidRDefault="00375569" w:rsidP="00C0793D">
            <w:pPr>
              <w:pStyle w:val="08-Tabelageral"/>
              <w:rPr>
                <w:rFonts w:cs="Arial"/>
                <w:szCs w:val="14"/>
              </w:rPr>
            </w:pPr>
            <w:r>
              <w:rPr>
                <w:rFonts w:cs="Arial"/>
                <w:szCs w:val="14"/>
              </w:rPr>
              <w:t>85.173</w:t>
            </w:r>
          </w:p>
        </w:tc>
        <w:tc>
          <w:tcPr>
            <w:tcW w:w="283" w:type="dxa"/>
            <w:tcBorders>
              <w:top w:val="nil"/>
              <w:bottom w:val="nil"/>
            </w:tcBorders>
            <w:shd w:val="clear" w:color="auto" w:fill="auto"/>
            <w:vAlign w:val="center"/>
          </w:tcPr>
          <w:p w14:paraId="6219A2F3" w14:textId="77777777" w:rsidR="00375569" w:rsidRPr="00BC7DA5" w:rsidRDefault="00375569" w:rsidP="00C0793D">
            <w:pPr>
              <w:pStyle w:val="08-Tabelageral"/>
              <w:rPr>
                <w:rFonts w:cs="Arial"/>
                <w:szCs w:val="14"/>
              </w:rPr>
            </w:pPr>
          </w:p>
        </w:tc>
        <w:tc>
          <w:tcPr>
            <w:tcW w:w="1417" w:type="dxa"/>
            <w:tcBorders>
              <w:top w:val="nil"/>
              <w:bottom w:val="nil"/>
            </w:tcBorders>
            <w:shd w:val="clear" w:color="auto" w:fill="auto"/>
            <w:vAlign w:val="center"/>
          </w:tcPr>
          <w:p w14:paraId="0C8D39B2" w14:textId="77777777" w:rsidR="00375569" w:rsidRDefault="00375569" w:rsidP="00C0793D">
            <w:pPr>
              <w:pStyle w:val="08-Tabelageral"/>
              <w:rPr>
                <w:rFonts w:cs="Arial"/>
                <w:szCs w:val="14"/>
              </w:rPr>
            </w:pPr>
            <w:r>
              <w:rPr>
                <w:rFonts w:cs="Arial"/>
                <w:szCs w:val="14"/>
              </w:rPr>
              <w:t>98.354</w:t>
            </w:r>
          </w:p>
        </w:tc>
        <w:tc>
          <w:tcPr>
            <w:tcW w:w="1418" w:type="dxa"/>
            <w:tcBorders>
              <w:top w:val="nil"/>
              <w:bottom w:val="nil"/>
            </w:tcBorders>
            <w:shd w:val="clear" w:color="auto" w:fill="auto"/>
            <w:vAlign w:val="center"/>
          </w:tcPr>
          <w:p w14:paraId="20EB06FB" w14:textId="77777777" w:rsidR="00375569" w:rsidRDefault="00375569" w:rsidP="00C0793D">
            <w:pPr>
              <w:pStyle w:val="08-Tabelageral"/>
              <w:rPr>
                <w:rFonts w:cs="Arial"/>
                <w:szCs w:val="14"/>
              </w:rPr>
            </w:pPr>
            <w:r>
              <w:rPr>
                <w:rFonts w:cs="Arial"/>
                <w:szCs w:val="14"/>
              </w:rPr>
              <w:t>141.133</w:t>
            </w:r>
          </w:p>
        </w:tc>
      </w:tr>
      <w:tr w:rsidR="00375569" w:rsidRPr="00BC7DA5" w14:paraId="23BB1167" w14:textId="77777777" w:rsidTr="00725333">
        <w:trPr>
          <w:trHeight w:val="238"/>
          <w:jc w:val="center"/>
        </w:trPr>
        <w:tc>
          <w:tcPr>
            <w:tcW w:w="3261" w:type="dxa"/>
            <w:tcBorders>
              <w:top w:val="nil"/>
              <w:bottom w:val="nil"/>
            </w:tcBorders>
            <w:shd w:val="clear" w:color="auto" w:fill="auto"/>
          </w:tcPr>
          <w:p w14:paraId="4CE38CCE" w14:textId="77777777" w:rsidR="00375569" w:rsidRPr="00BC7DA5" w:rsidRDefault="00375569" w:rsidP="00C0793D">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509D8EFB" w14:textId="77777777" w:rsidR="00375569" w:rsidRPr="00BC7DA5" w:rsidRDefault="00375569" w:rsidP="00C0793D">
            <w:pPr>
              <w:pStyle w:val="08-Tabelageral"/>
              <w:jc w:val="center"/>
              <w:rPr>
                <w:rFonts w:cs="Arial"/>
                <w:szCs w:val="14"/>
              </w:rPr>
            </w:pPr>
          </w:p>
        </w:tc>
        <w:tc>
          <w:tcPr>
            <w:tcW w:w="1411" w:type="dxa"/>
            <w:tcBorders>
              <w:top w:val="nil"/>
              <w:bottom w:val="nil"/>
            </w:tcBorders>
            <w:shd w:val="clear" w:color="auto" w:fill="auto"/>
            <w:vAlign w:val="center"/>
          </w:tcPr>
          <w:p w14:paraId="47830C59" w14:textId="77777777" w:rsidR="00375569" w:rsidRDefault="00375569" w:rsidP="00C0793D">
            <w:pPr>
              <w:pStyle w:val="08-Tabelageral"/>
              <w:rPr>
                <w:rFonts w:cs="Arial"/>
                <w:szCs w:val="14"/>
              </w:rPr>
            </w:pPr>
            <w:r>
              <w:rPr>
                <w:rFonts w:cs="Arial"/>
                <w:szCs w:val="14"/>
              </w:rPr>
              <w:t>(147)</w:t>
            </w:r>
          </w:p>
        </w:tc>
        <w:tc>
          <w:tcPr>
            <w:tcW w:w="1412" w:type="dxa"/>
            <w:tcBorders>
              <w:top w:val="nil"/>
              <w:bottom w:val="nil"/>
            </w:tcBorders>
            <w:shd w:val="clear" w:color="auto" w:fill="auto"/>
            <w:vAlign w:val="center"/>
          </w:tcPr>
          <w:p w14:paraId="097D9205" w14:textId="77777777" w:rsidR="00375569" w:rsidRDefault="00375569" w:rsidP="00C0793D">
            <w:pPr>
              <w:pStyle w:val="08-Tabelageral"/>
              <w:rPr>
                <w:rFonts w:cs="Arial"/>
                <w:szCs w:val="14"/>
              </w:rPr>
            </w:pPr>
            <w:r>
              <w:rPr>
                <w:rFonts w:cs="Arial"/>
                <w:szCs w:val="14"/>
              </w:rPr>
              <w:t>(18)</w:t>
            </w:r>
          </w:p>
        </w:tc>
        <w:tc>
          <w:tcPr>
            <w:tcW w:w="283" w:type="dxa"/>
            <w:tcBorders>
              <w:top w:val="nil"/>
              <w:bottom w:val="nil"/>
            </w:tcBorders>
            <w:shd w:val="clear" w:color="auto" w:fill="auto"/>
            <w:vAlign w:val="center"/>
          </w:tcPr>
          <w:p w14:paraId="31577B92" w14:textId="77777777" w:rsidR="00375569" w:rsidRPr="00BC7DA5" w:rsidRDefault="00375569" w:rsidP="00C0793D">
            <w:pPr>
              <w:pStyle w:val="08-Tabelageral"/>
              <w:rPr>
                <w:rFonts w:cs="Arial"/>
                <w:szCs w:val="14"/>
              </w:rPr>
            </w:pPr>
          </w:p>
        </w:tc>
        <w:tc>
          <w:tcPr>
            <w:tcW w:w="1417" w:type="dxa"/>
            <w:tcBorders>
              <w:top w:val="nil"/>
              <w:bottom w:val="nil"/>
            </w:tcBorders>
            <w:shd w:val="clear" w:color="auto" w:fill="auto"/>
            <w:vAlign w:val="center"/>
          </w:tcPr>
          <w:p w14:paraId="042C5AE5" w14:textId="77777777" w:rsidR="00375569" w:rsidRDefault="00375569" w:rsidP="00C0793D">
            <w:pPr>
              <w:pStyle w:val="08-Tabelageral"/>
              <w:rPr>
                <w:rFonts w:cs="Arial"/>
                <w:szCs w:val="14"/>
              </w:rPr>
            </w:pPr>
            <w:r>
              <w:rPr>
                <w:rFonts w:cs="Arial"/>
                <w:szCs w:val="14"/>
              </w:rPr>
              <w:t>(14.017)</w:t>
            </w:r>
          </w:p>
        </w:tc>
        <w:tc>
          <w:tcPr>
            <w:tcW w:w="1418" w:type="dxa"/>
            <w:tcBorders>
              <w:top w:val="nil"/>
              <w:bottom w:val="nil"/>
            </w:tcBorders>
            <w:shd w:val="clear" w:color="auto" w:fill="auto"/>
            <w:vAlign w:val="center"/>
          </w:tcPr>
          <w:p w14:paraId="34A7C847" w14:textId="77777777" w:rsidR="00375569" w:rsidRDefault="00375569" w:rsidP="00C0793D">
            <w:pPr>
              <w:pStyle w:val="08-Tabelageral"/>
              <w:rPr>
                <w:rFonts w:cs="Arial"/>
                <w:szCs w:val="14"/>
              </w:rPr>
            </w:pPr>
            <w:r>
              <w:rPr>
                <w:rFonts w:cs="Arial"/>
                <w:szCs w:val="14"/>
              </w:rPr>
              <w:t>(26.357)</w:t>
            </w:r>
          </w:p>
        </w:tc>
      </w:tr>
      <w:tr w:rsidR="00375569" w:rsidRPr="00BC7DA5" w14:paraId="5D1770A1" w14:textId="77777777" w:rsidTr="00725333">
        <w:trPr>
          <w:trHeight w:val="238"/>
          <w:jc w:val="center"/>
        </w:trPr>
        <w:tc>
          <w:tcPr>
            <w:tcW w:w="3261" w:type="dxa"/>
            <w:tcBorders>
              <w:top w:val="nil"/>
              <w:bottom w:val="single" w:sz="2" w:space="0" w:color="1F4E79" w:themeColor="accent1" w:themeShade="80"/>
            </w:tcBorders>
            <w:shd w:val="clear" w:color="auto" w:fill="auto"/>
          </w:tcPr>
          <w:p w14:paraId="5A976C71" w14:textId="77777777" w:rsidR="00375569" w:rsidRPr="00BC7DA5" w:rsidRDefault="00375569" w:rsidP="00C0793D">
            <w:pPr>
              <w:pStyle w:val="08-Tabelageral"/>
              <w:jc w:val="left"/>
              <w:rPr>
                <w:rFonts w:cs="Arial"/>
                <w:b/>
                <w:szCs w:val="14"/>
              </w:rPr>
            </w:pPr>
            <w:r w:rsidRPr="00BC7DA5">
              <w:rPr>
                <w:rFonts w:cs="Arial"/>
                <w:b/>
              </w:rPr>
              <w:t xml:space="preserve">Total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7E280496" w14:textId="77777777" w:rsidR="00375569" w:rsidRPr="00BC7DA5" w:rsidRDefault="00375569" w:rsidP="00C0793D">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044F104" w14:textId="77777777" w:rsidR="00375569" w:rsidRPr="00BC7DA5" w:rsidRDefault="00375569" w:rsidP="00C0793D">
            <w:pPr>
              <w:pStyle w:val="08-Tabelageral"/>
              <w:rPr>
                <w:rFonts w:cs="Arial"/>
                <w:b/>
                <w:szCs w:val="14"/>
              </w:rPr>
            </w:pPr>
            <w:r>
              <w:rPr>
                <w:rFonts w:cs="Arial"/>
                <w:b/>
                <w:szCs w:val="14"/>
              </w:rPr>
              <w:t>70.260</w:t>
            </w:r>
          </w:p>
        </w:tc>
        <w:tc>
          <w:tcPr>
            <w:tcW w:w="1412" w:type="dxa"/>
            <w:tcBorders>
              <w:top w:val="nil"/>
              <w:bottom w:val="single" w:sz="2" w:space="0" w:color="1F4E79" w:themeColor="accent1" w:themeShade="80"/>
            </w:tcBorders>
            <w:shd w:val="clear" w:color="auto" w:fill="auto"/>
            <w:vAlign w:val="center"/>
          </w:tcPr>
          <w:p w14:paraId="4FDF107A" w14:textId="77777777" w:rsidR="00375569" w:rsidRPr="00BC7DA5" w:rsidRDefault="00375569" w:rsidP="00C0793D">
            <w:pPr>
              <w:pStyle w:val="08-Tabelageral"/>
              <w:rPr>
                <w:rFonts w:cs="Arial"/>
                <w:b/>
                <w:szCs w:val="14"/>
              </w:rPr>
            </w:pPr>
            <w:r>
              <w:rPr>
                <w:rFonts w:cs="Arial"/>
                <w:b/>
                <w:szCs w:val="14"/>
              </w:rPr>
              <w:t>85.155</w:t>
            </w:r>
          </w:p>
        </w:tc>
        <w:tc>
          <w:tcPr>
            <w:tcW w:w="283" w:type="dxa"/>
            <w:tcBorders>
              <w:top w:val="nil"/>
              <w:bottom w:val="single" w:sz="2" w:space="0" w:color="1F4E79" w:themeColor="accent1" w:themeShade="80"/>
            </w:tcBorders>
            <w:shd w:val="clear" w:color="auto" w:fill="auto"/>
            <w:vAlign w:val="center"/>
          </w:tcPr>
          <w:p w14:paraId="3B87F2FC" w14:textId="77777777" w:rsidR="00375569" w:rsidRPr="00BC7DA5" w:rsidRDefault="00375569" w:rsidP="00C0793D">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69817F24" w14:textId="77777777" w:rsidR="00375569" w:rsidRPr="00BC7DA5" w:rsidRDefault="00375569" w:rsidP="00C0793D">
            <w:pPr>
              <w:pStyle w:val="08-Tabelageral"/>
              <w:rPr>
                <w:rFonts w:cs="Arial"/>
                <w:b/>
                <w:szCs w:val="14"/>
              </w:rPr>
            </w:pPr>
            <w:r>
              <w:rPr>
                <w:rFonts w:cs="Arial"/>
                <w:b/>
                <w:szCs w:val="14"/>
              </w:rPr>
              <w:t>86.265</w:t>
            </w:r>
          </w:p>
        </w:tc>
        <w:tc>
          <w:tcPr>
            <w:tcW w:w="1418" w:type="dxa"/>
            <w:tcBorders>
              <w:top w:val="nil"/>
              <w:bottom w:val="single" w:sz="2" w:space="0" w:color="1F4E79" w:themeColor="accent1" w:themeShade="80"/>
            </w:tcBorders>
            <w:shd w:val="clear" w:color="auto" w:fill="auto"/>
            <w:vAlign w:val="center"/>
          </w:tcPr>
          <w:p w14:paraId="27F780DD" w14:textId="77777777" w:rsidR="00375569" w:rsidRPr="00BC7DA5" w:rsidRDefault="00375569" w:rsidP="00C0793D">
            <w:pPr>
              <w:pStyle w:val="08-Tabelageral"/>
              <w:rPr>
                <w:rFonts w:cs="Arial"/>
                <w:b/>
                <w:szCs w:val="14"/>
              </w:rPr>
            </w:pPr>
            <w:r>
              <w:rPr>
                <w:rFonts w:cs="Arial"/>
                <w:b/>
                <w:szCs w:val="14"/>
              </w:rPr>
              <w:t>114.776</w:t>
            </w:r>
          </w:p>
        </w:tc>
      </w:tr>
    </w:tbl>
    <w:p w14:paraId="6748C23A" w14:textId="3837E5CC" w:rsidR="00375569" w:rsidRPr="00725333" w:rsidRDefault="00375569" w:rsidP="00375569">
      <w:pPr>
        <w:pStyle w:val="PargrafodaLista"/>
        <w:keepNext/>
        <w:keepLines/>
        <w:numPr>
          <w:ilvl w:val="0"/>
          <w:numId w:val="13"/>
        </w:numPr>
        <w:spacing w:after="40" w:line="240" w:lineRule="auto"/>
        <w:ind w:left="284" w:hanging="284"/>
        <w:jc w:val="both"/>
        <w:rPr>
          <w:rFonts w:ascii="Arial" w:hAnsi="Arial" w:cs="Arial"/>
          <w:b/>
          <w:color w:val="1F4E79" w:themeColor="accent1" w:themeShade="80"/>
          <w:sz w:val="14"/>
          <w:szCs w:val="14"/>
        </w:rPr>
      </w:pPr>
      <w:r w:rsidRPr="002F63BE">
        <w:rPr>
          <w:rFonts w:ascii="Arial" w:hAnsi="Arial" w:cs="Arial"/>
          <w:sz w:val="14"/>
          <w:szCs w:val="14"/>
        </w:rPr>
        <w:t>O</w:t>
      </w:r>
      <w:r>
        <w:rPr>
          <w:rFonts w:ascii="Arial" w:hAnsi="Arial" w:cs="Arial"/>
          <w:sz w:val="14"/>
          <w:szCs w:val="14"/>
        </w:rPr>
        <w:t>s</w:t>
      </w:r>
      <w:r w:rsidRPr="002F63BE">
        <w:rPr>
          <w:rFonts w:ascii="Arial" w:hAnsi="Arial" w:cs="Arial"/>
          <w:sz w:val="14"/>
          <w:szCs w:val="14"/>
        </w:rPr>
        <w:t xml:space="preserve"> saldo</w:t>
      </w:r>
      <w:r>
        <w:rPr>
          <w:rFonts w:ascii="Arial" w:hAnsi="Arial" w:cs="Arial"/>
          <w:sz w:val="14"/>
          <w:szCs w:val="14"/>
        </w:rPr>
        <w:t>s</w:t>
      </w:r>
      <w:r w:rsidRPr="002F63BE">
        <w:rPr>
          <w:rFonts w:ascii="Arial" w:hAnsi="Arial" w:cs="Arial"/>
          <w:sz w:val="14"/>
          <w:szCs w:val="14"/>
        </w:rPr>
        <w:t xml:space="preserve"> </w:t>
      </w:r>
      <w:r w:rsidRPr="00F56086">
        <w:rPr>
          <w:rFonts w:ascii="Arial" w:hAnsi="Arial" w:cs="Arial"/>
          <w:sz w:val="14"/>
          <w:szCs w:val="14"/>
        </w:rPr>
        <w:t>em 3</w:t>
      </w:r>
      <w:r>
        <w:rPr>
          <w:rFonts w:ascii="Arial" w:hAnsi="Arial" w:cs="Arial"/>
          <w:sz w:val="14"/>
          <w:szCs w:val="14"/>
        </w:rPr>
        <w:t>1</w:t>
      </w:r>
      <w:r w:rsidRPr="00F56086">
        <w:rPr>
          <w:rFonts w:ascii="Arial" w:hAnsi="Arial" w:cs="Arial"/>
          <w:sz w:val="14"/>
          <w:szCs w:val="14"/>
        </w:rPr>
        <w:t>.</w:t>
      </w:r>
      <w:r>
        <w:rPr>
          <w:rFonts w:ascii="Arial" w:hAnsi="Arial" w:cs="Arial"/>
          <w:sz w:val="14"/>
          <w:szCs w:val="14"/>
        </w:rPr>
        <w:t>12</w:t>
      </w:r>
      <w:r w:rsidRPr="00F56086">
        <w:rPr>
          <w:rFonts w:ascii="Arial" w:hAnsi="Arial" w:cs="Arial"/>
          <w:sz w:val="14"/>
          <w:szCs w:val="14"/>
        </w:rPr>
        <w:t>.2021</w:t>
      </w:r>
      <w:r w:rsidRPr="002F63BE">
        <w:rPr>
          <w:rFonts w:ascii="Arial" w:hAnsi="Arial" w:cs="Arial"/>
          <w:sz w:val="14"/>
          <w:szCs w:val="14"/>
        </w:rPr>
        <w:t xml:space="preserve"> e 31.</w:t>
      </w:r>
      <w:r>
        <w:rPr>
          <w:rFonts w:ascii="Arial" w:hAnsi="Arial" w:cs="Arial"/>
          <w:sz w:val="14"/>
          <w:szCs w:val="14"/>
        </w:rPr>
        <w:t>1</w:t>
      </w:r>
      <w:r w:rsidRPr="002F63BE">
        <w:rPr>
          <w:rFonts w:ascii="Arial" w:hAnsi="Arial" w:cs="Arial"/>
          <w:sz w:val="14"/>
          <w:szCs w:val="14"/>
        </w:rPr>
        <w:t>2.20</w:t>
      </w:r>
      <w:r>
        <w:rPr>
          <w:rFonts w:ascii="Arial" w:hAnsi="Arial" w:cs="Arial"/>
          <w:sz w:val="14"/>
          <w:szCs w:val="14"/>
        </w:rPr>
        <w:t>20</w:t>
      </w:r>
      <w:r w:rsidRPr="002F63BE">
        <w:rPr>
          <w:rFonts w:ascii="Arial" w:hAnsi="Arial" w:cs="Arial"/>
          <w:sz w:val="14"/>
          <w:szCs w:val="14"/>
        </w:rPr>
        <w:t xml:space="preserve"> (controlador e consolidado) referem-se principalmente à IRRF de anos anteriores não compensados/deduzidos. </w:t>
      </w:r>
    </w:p>
    <w:p w14:paraId="53778D4A" w14:textId="77777777" w:rsidR="00725333" w:rsidRPr="00725333" w:rsidRDefault="00725333" w:rsidP="00725333">
      <w:pPr>
        <w:keepNext/>
        <w:keepLines/>
        <w:spacing w:after="40" w:line="240" w:lineRule="auto"/>
        <w:jc w:val="both"/>
        <w:rPr>
          <w:rFonts w:cs="Arial"/>
          <w:b/>
          <w:color w:val="1F4E79" w:themeColor="accent1" w:themeShade="80"/>
          <w:sz w:val="14"/>
          <w:szCs w:val="14"/>
        </w:rPr>
      </w:pPr>
    </w:p>
    <w:p w14:paraId="0EFE1FED" w14:textId="77777777" w:rsidR="00375569" w:rsidRDefault="00375569" w:rsidP="0075135E">
      <w:pPr>
        <w:keepNext/>
        <w:keepLines/>
        <w:spacing w:after="40" w:line="240" w:lineRule="auto"/>
        <w:ind w:left="284" w:hanging="284"/>
        <w:rPr>
          <w:rFonts w:cs="Arial"/>
          <w:b/>
          <w:color w:val="1F4E79" w:themeColor="accent1" w:themeShade="80"/>
          <w:sz w:val="20"/>
          <w:szCs w:val="20"/>
        </w:rPr>
      </w:pPr>
      <w:r w:rsidRPr="00034C98">
        <w:rPr>
          <w:rFonts w:cs="Arial"/>
          <w:b/>
          <w:color w:val="1F4E79" w:themeColor="accent1" w:themeShade="80"/>
          <w:sz w:val="20"/>
          <w:szCs w:val="20"/>
        </w:rPr>
        <w:t>e) Ativos por Impostos Diferidos (Créditos Tributários)</w:t>
      </w:r>
    </w:p>
    <w:p w14:paraId="461B87FC" w14:textId="77777777" w:rsidR="00375569" w:rsidRPr="00FF3D4B" w:rsidRDefault="00375569" w:rsidP="0075135E">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BC7DA5" w14:paraId="716B1CC2" w14:textId="77777777" w:rsidTr="00725333">
        <w:trPr>
          <w:trHeight w:val="238"/>
          <w:jc w:val="center"/>
        </w:trPr>
        <w:tc>
          <w:tcPr>
            <w:tcW w:w="3094" w:type="dxa"/>
            <w:tcBorders>
              <w:top w:val="single" w:sz="2" w:space="0" w:color="1F4E79" w:themeColor="accent1" w:themeShade="80"/>
              <w:bottom w:val="nil"/>
            </w:tcBorders>
            <w:shd w:val="clear" w:color="auto" w:fill="auto"/>
            <w:vAlign w:val="center"/>
          </w:tcPr>
          <w:p w14:paraId="293CB3ED" w14:textId="77777777" w:rsidR="00375569" w:rsidRPr="00BC7DA5" w:rsidRDefault="00375569" w:rsidP="0075135E">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18CF5BB9" w14:textId="77777777" w:rsidR="00375569" w:rsidRPr="00BC7DA5" w:rsidRDefault="00375569" w:rsidP="0075135E">
            <w:pPr>
              <w:keepNext/>
              <w:keepLines/>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65FE8CC4" w14:textId="77777777" w:rsidR="00375569" w:rsidRPr="00BC7DA5" w:rsidRDefault="00375569" w:rsidP="0075135E">
            <w:pPr>
              <w:keepNext/>
              <w:keepLines/>
              <w:spacing w:after="0"/>
              <w:jc w:val="center"/>
              <w:rPr>
                <w:rFonts w:cs="Arial"/>
                <w:b/>
                <w:sz w:val="14"/>
                <w:szCs w:val="14"/>
              </w:rPr>
            </w:pPr>
            <w:r w:rsidRPr="00BC7DA5">
              <w:rPr>
                <w:rFonts w:cs="Arial"/>
                <w:b/>
                <w:sz w:val="14"/>
                <w:szCs w:val="14"/>
              </w:rPr>
              <w:t>Controlador</w:t>
            </w:r>
          </w:p>
        </w:tc>
      </w:tr>
      <w:tr w:rsidR="00375569" w:rsidRPr="00BC7DA5" w14:paraId="0A6C7DAD" w14:textId="77777777" w:rsidTr="00725333">
        <w:trPr>
          <w:trHeight w:val="238"/>
          <w:jc w:val="center"/>
        </w:trPr>
        <w:tc>
          <w:tcPr>
            <w:tcW w:w="3094" w:type="dxa"/>
            <w:tcBorders>
              <w:top w:val="nil"/>
              <w:bottom w:val="single" w:sz="2" w:space="0" w:color="1F4E79" w:themeColor="accent1" w:themeShade="80"/>
            </w:tcBorders>
            <w:shd w:val="clear" w:color="auto" w:fill="auto"/>
            <w:vAlign w:val="center"/>
          </w:tcPr>
          <w:p w14:paraId="353B2B59" w14:textId="77777777" w:rsidR="00375569" w:rsidRPr="00BC7DA5" w:rsidRDefault="00375569" w:rsidP="0075135E">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39FACC53" w14:textId="77777777" w:rsidR="00375569" w:rsidRPr="00BC7DA5" w:rsidRDefault="00375569" w:rsidP="0075135E">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57D6192" w14:textId="77777777" w:rsidR="00375569" w:rsidRPr="00BC7DA5" w:rsidRDefault="00375569" w:rsidP="006810B1">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0</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614FA94" w14:textId="77777777" w:rsidR="00375569" w:rsidRPr="00BC7DA5" w:rsidRDefault="00375569" w:rsidP="0075135E">
            <w:pPr>
              <w:pStyle w:val="08-Tabelageral"/>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3DDDBFC1" w14:textId="77777777" w:rsidR="00375569" w:rsidRPr="00BC7DA5" w:rsidRDefault="00375569" w:rsidP="0075135E">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F122D98" w14:textId="77777777" w:rsidR="00375569" w:rsidRPr="00BC7DA5" w:rsidRDefault="00375569" w:rsidP="0075135E">
            <w:pPr>
              <w:pStyle w:val="08-Tabelageral"/>
              <w:rPr>
                <w:rFonts w:cs="Arial"/>
                <w:b/>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76C224B" w14:textId="77777777" w:rsidR="00375569" w:rsidRPr="00BC7DA5" w:rsidRDefault="00375569" w:rsidP="00245A58">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21</w:t>
            </w:r>
          </w:p>
        </w:tc>
      </w:tr>
      <w:tr w:rsidR="00375569" w:rsidRPr="00BC7DA5" w14:paraId="4F2181AB" w14:textId="77777777" w:rsidTr="00725333">
        <w:trPr>
          <w:trHeight w:val="238"/>
          <w:jc w:val="center"/>
        </w:trPr>
        <w:tc>
          <w:tcPr>
            <w:tcW w:w="3094" w:type="dxa"/>
            <w:tcBorders>
              <w:top w:val="single" w:sz="2" w:space="0" w:color="1F4E79" w:themeColor="accent1" w:themeShade="80"/>
            </w:tcBorders>
            <w:shd w:val="clear" w:color="auto" w:fill="auto"/>
          </w:tcPr>
          <w:p w14:paraId="7F1E1502" w14:textId="77777777" w:rsidR="00375569" w:rsidRPr="00BC7DA5" w:rsidRDefault="00375569" w:rsidP="0075135E">
            <w:pPr>
              <w:pStyle w:val="08-Tabelageral"/>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4018F2A6" w14:textId="77777777" w:rsidR="00375569" w:rsidRPr="00BC7DA5" w:rsidRDefault="00375569" w:rsidP="0075135E">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1821AD23" w14:textId="77777777" w:rsidR="00375569" w:rsidRPr="00BC7DA5" w:rsidRDefault="00375569" w:rsidP="0075135E">
            <w:pPr>
              <w:pStyle w:val="08-Tabelageral"/>
              <w:rPr>
                <w:rFonts w:cs="Arial"/>
                <w:b/>
                <w:bCs/>
                <w:szCs w:val="14"/>
              </w:rPr>
            </w:pPr>
          </w:p>
        </w:tc>
        <w:tc>
          <w:tcPr>
            <w:tcW w:w="1412" w:type="dxa"/>
            <w:tcBorders>
              <w:top w:val="single" w:sz="2" w:space="0" w:color="1F4E79" w:themeColor="accent1" w:themeShade="80"/>
            </w:tcBorders>
            <w:shd w:val="clear" w:color="auto" w:fill="auto"/>
          </w:tcPr>
          <w:p w14:paraId="5EFBE198" w14:textId="77777777" w:rsidR="00375569" w:rsidRPr="00BC7DA5" w:rsidRDefault="00375569" w:rsidP="0075135E">
            <w:pPr>
              <w:pStyle w:val="08-Tabelageral"/>
              <w:rPr>
                <w:rFonts w:cs="Arial"/>
                <w:b/>
                <w:bCs/>
                <w:szCs w:val="14"/>
              </w:rPr>
            </w:pPr>
          </w:p>
        </w:tc>
        <w:tc>
          <w:tcPr>
            <w:tcW w:w="283" w:type="dxa"/>
            <w:tcBorders>
              <w:top w:val="single" w:sz="2" w:space="0" w:color="1F4E79" w:themeColor="accent1" w:themeShade="80"/>
            </w:tcBorders>
            <w:shd w:val="clear" w:color="auto" w:fill="auto"/>
          </w:tcPr>
          <w:p w14:paraId="000A61CF" w14:textId="77777777" w:rsidR="00375569" w:rsidRPr="00BC7DA5" w:rsidRDefault="00375569" w:rsidP="0075135E">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2956F0A8" w14:textId="77777777" w:rsidR="00375569" w:rsidRPr="00BC7DA5" w:rsidRDefault="00375569" w:rsidP="0075135E">
            <w:pPr>
              <w:pStyle w:val="08-Tabelageral"/>
              <w:rPr>
                <w:rFonts w:cs="Arial"/>
                <w:b/>
                <w:bCs/>
                <w:szCs w:val="14"/>
              </w:rPr>
            </w:pPr>
          </w:p>
        </w:tc>
        <w:tc>
          <w:tcPr>
            <w:tcW w:w="1418" w:type="dxa"/>
            <w:tcBorders>
              <w:top w:val="single" w:sz="2" w:space="0" w:color="1F4E79" w:themeColor="accent1" w:themeShade="80"/>
            </w:tcBorders>
            <w:shd w:val="clear" w:color="auto" w:fill="auto"/>
          </w:tcPr>
          <w:p w14:paraId="075B2831" w14:textId="77777777" w:rsidR="00375569" w:rsidRPr="00BC7DA5" w:rsidRDefault="00375569" w:rsidP="0075135E">
            <w:pPr>
              <w:pStyle w:val="08-Tabelageral"/>
              <w:rPr>
                <w:rFonts w:cs="Arial"/>
                <w:b/>
                <w:bCs/>
                <w:szCs w:val="14"/>
              </w:rPr>
            </w:pPr>
          </w:p>
        </w:tc>
      </w:tr>
      <w:tr w:rsidR="00375569" w:rsidRPr="00BC7DA5" w14:paraId="75DA1953" w14:textId="77777777" w:rsidTr="00725333">
        <w:trPr>
          <w:trHeight w:val="238"/>
          <w:jc w:val="center"/>
        </w:trPr>
        <w:tc>
          <w:tcPr>
            <w:tcW w:w="3094" w:type="dxa"/>
            <w:shd w:val="clear" w:color="auto" w:fill="auto"/>
          </w:tcPr>
          <w:p w14:paraId="53785ADB" w14:textId="77777777" w:rsidR="00375569" w:rsidRPr="00BC7DA5" w:rsidRDefault="00375569" w:rsidP="006810B1">
            <w:pPr>
              <w:pStyle w:val="08-Tabelageral"/>
              <w:ind w:left="113"/>
              <w:jc w:val="left"/>
              <w:rPr>
                <w:rFonts w:cs="Arial"/>
                <w:szCs w:val="14"/>
              </w:rPr>
            </w:pPr>
            <w:r w:rsidRPr="00BC7DA5">
              <w:rPr>
                <w:rFonts w:cs="Arial"/>
                <w:szCs w:val="14"/>
              </w:rPr>
              <w:t>Prejuízo fiscal/Base negativa</w:t>
            </w:r>
          </w:p>
        </w:tc>
        <w:tc>
          <w:tcPr>
            <w:tcW w:w="604" w:type="dxa"/>
            <w:shd w:val="clear" w:color="auto" w:fill="auto"/>
          </w:tcPr>
          <w:p w14:paraId="4B426650" w14:textId="77777777" w:rsidR="00375569" w:rsidRPr="00BC7DA5" w:rsidRDefault="00375569" w:rsidP="006810B1">
            <w:pPr>
              <w:pStyle w:val="08-Tabelageral"/>
              <w:ind w:left="113"/>
              <w:jc w:val="center"/>
              <w:rPr>
                <w:rFonts w:cs="Arial"/>
                <w:szCs w:val="14"/>
              </w:rPr>
            </w:pPr>
          </w:p>
        </w:tc>
        <w:tc>
          <w:tcPr>
            <w:tcW w:w="1411" w:type="dxa"/>
            <w:shd w:val="clear" w:color="auto" w:fill="auto"/>
          </w:tcPr>
          <w:p w14:paraId="4D5BF456" w14:textId="77777777" w:rsidR="00375569" w:rsidRPr="00BC7DA5" w:rsidRDefault="00375569" w:rsidP="006810B1">
            <w:pPr>
              <w:pStyle w:val="08-Tabelageral"/>
              <w:ind w:left="113"/>
              <w:rPr>
                <w:rFonts w:cs="Arial"/>
                <w:szCs w:val="14"/>
              </w:rPr>
            </w:pPr>
            <w:r>
              <w:rPr>
                <w:rFonts w:cs="Arial"/>
                <w:szCs w:val="14"/>
              </w:rPr>
              <w:t>1.227</w:t>
            </w:r>
          </w:p>
        </w:tc>
        <w:tc>
          <w:tcPr>
            <w:tcW w:w="1412" w:type="dxa"/>
            <w:shd w:val="clear" w:color="auto" w:fill="auto"/>
          </w:tcPr>
          <w:p w14:paraId="5BB968F3" w14:textId="77777777" w:rsidR="00375569" w:rsidRPr="00BC7DA5" w:rsidRDefault="00375569" w:rsidP="006810B1">
            <w:pPr>
              <w:pStyle w:val="08-Tabelageral"/>
              <w:rPr>
                <w:rFonts w:cs="Arial"/>
              </w:rPr>
            </w:pPr>
            <w:r>
              <w:rPr>
                <w:rFonts w:cs="Arial"/>
              </w:rPr>
              <w:t>--</w:t>
            </w:r>
          </w:p>
        </w:tc>
        <w:tc>
          <w:tcPr>
            <w:tcW w:w="283" w:type="dxa"/>
            <w:shd w:val="clear" w:color="auto" w:fill="auto"/>
          </w:tcPr>
          <w:p w14:paraId="72FC06B8" w14:textId="77777777" w:rsidR="00375569" w:rsidRPr="00BC7DA5" w:rsidRDefault="00375569" w:rsidP="006810B1">
            <w:pPr>
              <w:pStyle w:val="08-Tabelageral"/>
              <w:ind w:left="113"/>
              <w:rPr>
                <w:rFonts w:cs="Arial"/>
                <w:szCs w:val="14"/>
              </w:rPr>
            </w:pPr>
          </w:p>
        </w:tc>
        <w:tc>
          <w:tcPr>
            <w:tcW w:w="1417" w:type="dxa"/>
            <w:shd w:val="clear" w:color="auto" w:fill="auto"/>
          </w:tcPr>
          <w:p w14:paraId="499AB5E2" w14:textId="77777777" w:rsidR="00375569" w:rsidRPr="00BC7DA5" w:rsidRDefault="00375569" w:rsidP="006810B1">
            <w:pPr>
              <w:pStyle w:val="08-Tabelageral"/>
              <w:ind w:left="113"/>
              <w:rPr>
                <w:rFonts w:cs="Arial"/>
                <w:szCs w:val="14"/>
              </w:rPr>
            </w:pPr>
            <w:r>
              <w:rPr>
                <w:rFonts w:cs="Arial"/>
                <w:szCs w:val="14"/>
              </w:rPr>
              <w:t>(1.227)</w:t>
            </w:r>
          </w:p>
        </w:tc>
        <w:tc>
          <w:tcPr>
            <w:tcW w:w="1418" w:type="dxa"/>
            <w:shd w:val="clear" w:color="auto" w:fill="auto"/>
          </w:tcPr>
          <w:p w14:paraId="4F406E73" w14:textId="77777777" w:rsidR="00375569" w:rsidRPr="00BC7DA5" w:rsidRDefault="00375569" w:rsidP="006810B1">
            <w:pPr>
              <w:pStyle w:val="08-Tabelageral"/>
              <w:ind w:left="113"/>
              <w:rPr>
                <w:rFonts w:cs="Arial"/>
                <w:szCs w:val="14"/>
              </w:rPr>
            </w:pPr>
            <w:r>
              <w:rPr>
                <w:rFonts w:cs="Arial"/>
                <w:szCs w:val="14"/>
              </w:rPr>
              <w:t>--</w:t>
            </w:r>
          </w:p>
        </w:tc>
      </w:tr>
      <w:tr w:rsidR="00375569" w:rsidRPr="00BC7DA5" w14:paraId="176467F4" w14:textId="77777777" w:rsidTr="00725333">
        <w:trPr>
          <w:trHeight w:val="238"/>
          <w:jc w:val="center"/>
        </w:trPr>
        <w:tc>
          <w:tcPr>
            <w:tcW w:w="3094" w:type="dxa"/>
            <w:shd w:val="clear" w:color="auto" w:fill="auto"/>
          </w:tcPr>
          <w:p w14:paraId="4B0A8667" w14:textId="77777777" w:rsidR="00375569" w:rsidRPr="00BC7DA5" w:rsidRDefault="00375569" w:rsidP="006810B1">
            <w:pPr>
              <w:pStyle w:val="08-Tabelageral"/>
              <w:ind w:left="113"/>
              <w:jc w:val="left"/>
              <w:rPr>
                <w:rFonts w:cs="Arial"/>
                <w:szCs w:val="14"/>
              </w:rPr>
            </w:pPr>
            <w:r w:rsidRPr="00BC7DA5">
              <w:rPr>
                <w:rFonts w:cs="Arial"/>
                <w:szCs w:val="14"/>
              </w:rPr>
              <w:t>Provisões passivas</w:t>
            </w:r>
          </w:p>
        </w:tc>
        <w:tc>
          <w:tcPr>
            <w:tcW w:w="604" w:type="dxa"/>
            <w:shd w:val="clear" w:color="auto" w:fill="auto"/>
          </w:tcPr>
          <w:p w14:paraId="6DD303FE" w14:textId="77777777" w:rsidR="00375569" w:rsidRPr="00BC7DA5" w:rsidRDefault="00375569" w:rsidP="006810B1">
            <w:pPr>
              <w:pStyle w:val="08-Tabelageral"/>
              <w:jc w:val="center"/>
              <w:rPr>
                <w:rFonts w:cs="Arial"/>
                <w:szCs w:val="14"/>
              </w:rPr>
            </w:pPr>
          </w:p>
        </w:tc>
        <w:tc>
          <w:tcPr>
            <w:tcW w:w="1411" w:type="dxa"/>
            <w:shd w:val="clear" w:color="auto" w:fill="auto"/>
          </w:tcPr>
          <w:p w14:paraId="534D1AAA" w14:textId="77777777" w:rsidR="00375569" w:rsidRPr="00BC7DA5" w:rsidRDefault="00375569" w:rsidP="006810B1">
            <w:pPr>
              <w:pStyle w:val="08-Tabelageral"/>
              <w:rPr>
                <w:rFonts w:cs="Arial"/>
                <w:szCs w:val="14"/>
              </w:rPr>
            </w:pPr>
            <w:r>
              <w:rPr>
                <w:rFonts w:cs="Arial"/>
                <w:szCs w:val="14"/>
              </w:rPr>
              <w:t>78</w:t>
            </w:r>
          </w:p>
        </w:tc>
        <w:tc>
          <w:tcPr>
            <w:tcW w:w="1412" w:type="dxa"/>
            <w:shd w:val="clear" w:color="auto" w:fill="auto"/>
          </w:tcPr>
          <w:p w14:paraId="5004BB1B" w14:textId="77777777" w:rsidR="00375569" w:rsidRPr="00BC7DA5" w:rsidRDefault="00375569" w:rsidP="006810B1">
            <w:pPr>
              <w:pStyle w:val="08-Tabelageral"/>
              <w:rPr>
                <w:rFonts w:cs="Arial"/>
              </w:rPr>
            </w:pPr>
            <w:r>
              <w:rPr>
                <w:rFonts w:cs="Arial"/>
              </w:rPr>
              <w:t>20</w:t>
            </w:r>
          </w:p>
        </w:tc>
        <w:tc>
          <w:tcPr>
            <w:tcW w:w="283" w:type="dxa"/>
            <w:shd w:val="clear" w:color="auto" w:fill="auto"/>
          </w:tcPr>
          <w:p w14:paraId="608AE25C" w14:textId="77777777" w:rsidR="00375569" w:rsidRPr="00BC7DA5" w:rsidRDefault="00375569" w:rsidP="006810B1">
            <w:pPr>
              <w:pStyle w:val="08-Tabelageral"/>
              <w:rPr>
                <w:rFonts w:cs="Arial"/>
                <w:szCs w:val="14"/>
              </w:rPr>
            </w:pPr>
          </w:p>
        </w:tc>
        <w:tc>
          <w:tcPr>
            <w:tcW w:w="1417" w:type="dxa"/>
            <w:shd w:val="clear" w:color="auto" w:fill="auto"/>
          </w:tcPr>
          <w:p w14:paraId="4B1ABE4F" w14:textId="77777777" w:rsidR="00375569" w:rsidRPr="00BC7DA5" w:rsidRDefault="00375569" w:rsidP="006810B1">
            <w:pPr>
              <w:pStyle w:val="08-Tabelageral"/>
              <w:rPr>
                <w:rFonts w:cs="Arial"/>
                <w:szCs w:val="14"/>
              </w:rPr>
            </w:pPr>
            <w:r>
              <w:rPr>
                <w:rFonts w:cs="Arial"/>
                <w:szCs w:val="14"/>
              </w:rPr>
              <w:t>(88)</w:t>
            </w:r>
          </w:p>
        </w:tc>
        <w:tc>
          <w:tcPr>
            <w:tcW w:w="1418" w:type="dxa"/>
            <w:shd w:val="clear" w:color="auto" w:fill="auto"/>
          </w:tcPr>
          <w:p w14:paraId="5C03C333" w14:textId="77777777" w:rsidR="00375569" w:rsidRPr="00BC7DA5" w:rsidRDefault="00375569" w:rsidP="006810B1">
            <w:pPr>
              <w:pStyle w:val="08-Tabelageral"/>
              <w:rPr>
                <w:rFonts w:cs="Arial"/>
                <w:szCs w:val="14"/>
              </w:rPr>
            </w:pPr>
            <w:r>
              <w:rPr>
                <w:rFonts w:cs="Arial"/>
                <w:szCs w:val="14"/>
              </w:rPr>
              <w:t>10</w:t>
            </w:r>
          </w:p>
        </w:tc>
      </w:tr>
      <w:tr w:rsidR="00375569" w:rsidRPr="00BC7DA5" w14:paraId="68BAA8AF" w14:textId="77777777" w:rsidTr="00725333">
        <w:trPr>
          <w:trHeight w:val="238"/>
          <w:jc w:val="center"/>
        </w:trPr>
        <w:tc>
          <w:tcPr>
            <w:tcW w:w="3094" w:type="dxa"/>
            <w:shd w:val="clear" w:color="auto" w:fill="auto"/>
          </w:tcPr>
          <w:p w14:paraId="01F4A8C0" w14:textId="77777777" w:rsidR="00375569" w:rsidRPr="00BC7DA5" w:rsidRDefault="00375569" w:rsidP="006810B1">
            <w:pPr>
              <w:pStyle w:val="08-Tabelageral"/>
              <w:jc w:val="left"/>
              <w:rPr>
                <w:rFonts w:cs="Arial"/>
                <w:b/>
              </w:rPr>
            </w:pPr>
            <w:r w:rsidRPr="00BC7DA5">
              <w:rPr>
                <w:rFonts w:cs="Arial"/>
                <w:b/>
              </w:rPr>
              <w:t>Total dos Créditos Tributários Ativados</w:t>
            </w:r>
          </w:p>
        </w:tc>
        <w:tc>
          <w:tcPr>
            <w:tcW w:w="604" w:type="dxa"/>
            <w:shd w:val="clear" w:color="auto" w:fill="auto"/>
          </w:tcPr>
          <w:p w14:paraId="21FA8E91" w14:textId="77777777" w:rsidR="00375569" w:rsidRPr="00BC7DA5" w:rsidRDefault="00375569" w:rsidP="006810B1">
            <w:pPr>
              <w:pStyle w:val="08-Tabelageral"/>
              <w:jc w:val="center"/>
              <w:rPr>
                <w:rFonts w:cs="Arial"/>
                <w:b/>
                <w:szCs w:val="14"/>
              </w:rPr>
            </w:pPr>
          </w:p>
        </w:tc>
        <w:tc>
          <w:tcPr>
            <w:tcW w:w="1411" w:type="dxa"/>
            <w:shd w:val="clear" w:color="auto" w:fill="auto"/>
          </w:tcPr>
          <w:p w14:paraId="243C08BA" w14:textId="77777777" w:rsidR="00375569" w:rsidRPr="00BC7DA5" w:rsidRDefault="00375569" w:rsidP="006810B1">
            <w:pPr>
              <w:pStyle w:val="08-Tabelageral"/>
              <w:rPr>
                <w:rFonts w:cs="Arial"/>
                <w:b/>
                <w:szCs w:val="14"/>
              </w:rPr>
            </w:pPr>
            <w:r>
              <w:rPr>
                <w:rFonts w:cs="Arial"/>
                <w:b/>
                <w:szCs w:val="14"/>
              </w:rPr>
              <w:t>1.305</w:t>
            </w:r>
          </w:p>
        </w:tc>
        <w:tc>
          <w:tcPr>
            <w:tcW w:w="1412" w:type="dxa"/>
            <w:shd w:val="clear" w:color="auto" w:fill="auto"/>
          </w:tcPr>
          <w:p w14:paraId="2E278CF5" w14:textId="77777777" w:rsidR="00375569" w:rsidRPr="00BC7DA5" w:rsidRDefault="00375569" w:rsidP="006810B1">
            <w:pPr>
              <w:pStyle w:val="08-Tabelageral"/>
              <w:rPr>
                <w:rFonts w:cs="Arial"/>
                <w:b/>
              </w:rPr>
            </w:pPr>
            <w:r>
              <w:rPr>
                <w:rFonts w:cs="Arial"/>
                <w:b/>
              </w:rPr>
              <w:t>20</w:t>
            </w:r>
          </w:p>
        </w:tc>
        <w:tc>
          <w:tcPr>
            <w:tcW w:w="283" w:type="dxa"/>
            <w:shd w:val="clear" w:color="auto" w:fill="auto"/>
          </w:tcPr>
          <w:p w14:paraId="3E574E1F" w14:textId="77777777" w:rsidR="00375569" w:rsidRPr="00BC7DA5" w:rsidRDefault="00375569" w:rsidP="006810B1">
            <w:pPr>
              <w:pStyle w:val="08-Tabelageral"/>
              <w:rPr>
                <w:rFonts w:cs="Arial"/>
                <w:b/>
                <w:szCs w:val="14"/>
              </w:rPr>
            </w:pPr>
          </w:p>
        </w:tc>
        <w:tc>
          <w:tcPr>
            <w:tcW w:w="1417" w:type="dxa"/>
            <w:shd w:val="clear" w:color="auto" w:fill="auto"/>
          </w:tcPr>
          <w:p w14:paraId="365CE12A" w14:textId="77777777" w:rsidR="00375569" w:rsidRPr="00BC7DA5" w:rsidRDefault="00375569" w:rsidP="006810B1">
            <w:pPr>
              <w:pStyle w:val="08-Tabelageral"/>
              <w:rPr>
                <w:rFonts w:cs="Arial"/>
                <w:b/>
                <w:szCs w:val="14"/>
              </w:rPr>
            </w:pPr>
            <w:r>
              <w:rPr>
                <w:rFonts w:cs="Arial"/>
                <w:b/>
                <w:szCs w:val="14"/>
              </w:rPr>
              <w:t>(1.315)</w:t>
            </w:r>
          </w:p>
        </w:tc>
        <w:tc>
          <w:tcPr>
            <w:tcW w:w="1418" w:type="dxa"/>
            <w:shd w:val="clear" w:color="auto" w:fill="auto"/>
          </w:tcPr>
          <w:p w14:paraId="2436E34C" w14:textId="77777777" w:rsidR="00375569" w:rsidRPr="00BC7DA5" w:rsidRDefault="00375569" w:rsidP="006810B1">
            <w:pPr>
              <w:pStyle w:val="08-Tabelageral"/>
              <w:rPr>
                <w:rFonts w:cs="Arial"/>
                <w:b/>
                <w:szCs w:val="14"/>
              </w:rPr>
            </w:pPr>
            <w:r>
              <w:rPr>
                <w:rFonts w:cs="Arial"/>
                <w:b/>
                <w:szCs w:val="14"/>
              </w:rPr>
              <w:t>10</w:t>
            </w:r>
          </w:p>
        </w:tc>
      </w:tr>
      <w:tr w:rsidR="00375569" w:rsidRPr="00BC7DA5" w14:paraId="0BB95A7E" w14:textId="77777777" w:rsidTr="00725333">
        <w:trPr>
          <w:trHeight w:val="238"/>
          <w:jc w:val="center"/>
        </w:trPr>
        <w:tc>
          <w:tcPr>
            <w:tcW w:w="3094" w:type="dxa"/>
            <w:tcBorders>
              <w:bottom w:val="nil"/>
            </w:tcBorders>
            <w:shd w:val="clear" w:color="auto" w:fill="auto"/>
          </w:tcPr>
          <w:p w14:paraId="5BE625C1" w14:textId="77777777" w:rsidR="00375569" w:rsidRPr="00BC7DA5" w:rsidRDefault="00375569" w:rsidP="006810B1">
            <w:pPr>
              <w:pStyle w:val="08-Tabelageral"/>
              <w:ind w:left="113"/>
              <w:jc w:val="left"/>
              <w:rPr>
                <w:rFonts w:cs="Arial"/>
              </w:rPr>
            </w:pPr>
            <w:r w:rsidRPr="00BC7DA5">
              <w:rPr>
                <w:rFonts w:cs="Arial"/>
              </w:rPr>
              <w:t>Imposto de renda</w:t>
            </w:r>
          </w:p>
        </w:tc>
        <w:tc>
          <w:tcPr>
            <w:tcW w:w="604" w:type="dxa"/>
            <w:tcBorders>
              <w:bottom w:val="nil"/>
            </w:tcBorders>
            <w:shd w:val="clear" w:color="auto" w:fill="auto"/>
          </w:tcPr>
          <w:p w14:paraId="27433156" w14:textId="77777777" w:rsidR="00375569" w:rsidRPr="00BC7DA5" w:rsidRDefault="00375569" w:rsidP="006810B1">
            <w:pPr>
              <w:pStyle w:val="08-Tabelageral"/>
              <w:jc w:val="center"/>
              <w:rPr>
                <w:rFonts w:cs="Arial"/>
                <w:szCs w:val="14"/>
              </w:rPr>
            </w:pPr>
          </w:p>
        </w:tc>
        <w:tc>
          <w:tcPr>
            <w:tcW w:w="1411" w:type="dxa"/>
            <w:tcBorders>
              <w:bottom w:val="nil"/>
            </w:tcBorders>
            <w:shd w:val="clear" w:color="auto" w:fill="auto"/>
          </w:tcPr>
          <w:p w14:paraId="57C86A03" w14:textId="77777777" w:rsidR="00375569" w:rsidRPr="00BC7DA5" w:rsidRDefault="00375569" w:rsidP="006810B1">
            <w:pPr>
              <w:pStyle w:val="08-Tabelageral"/>
              <w:rPr>
                <w:rFonts w:cs="Arial"/>
                <w:szCs w:val="14"/>
              </w:rPr>
            </w:pPr>
            <w:r>
              <w:rPr>
                <w:rFonts w:cs="Arial"/>
                <w:szCs w:val="14"/>
              </w:rPr>
              <w:t>961</w:t>
            </w:r>
          </w:p>
        </w:tc>
        <w:tc>
          <w:tcPr>
            <w:tcW w:w="1412" w:type="dxa"/>
            <w:tcBorders>
              <w:bottom w:val="nil"/>
            </w:tcBorders>
            <w:shd w:val="clear" w:color="auto" w:fill="auto"/>
          </w:tcPr>
          <w:p w14:paraId="3E97D0A7" w14:textId="77777777" w:rsidR="00375569" w:rsidRPr="00BC7DA5" w:rsidRDefault="00375569" w:rsidP="006810B1">
            <w:pPr>
              <w:pStyle w:val="08-Tabelageral"/>
              <w:rPr>
                <w:rFonts w:cs="Arial"/>
              </w:rPr>
            </w:pPr>
            <w:r>
              <w:rPr>
                <w:rFonts w:cs="Arial"/>
              </w:rPr>
              <w:t>15</w:t>
            </w:r>
          </w:p>
        </w:tc>
        <w:tc>
          <w:tcPr>
            <w:tcW w:w="283" w:type="dxa"/>
            <w:tcBorders>
              <w:bottom w:val="nil"/>
            </w:tcBorders>
            <w:shd w:val="clear" w:color="auto" w:fill="auto"/>
          </w:tcPr>
          <w:p w14:paraId="612C6F28" w14:textId="77777777" w:rsidR="00375569" w:rsidRPr="00BC7DA5" w:rsidRDefault="00375569" w:rsidP="006810B1">
            <w:pPr>
              <w:pStyle w:val="08-Tabelageral"/>
              <w:rPr>
                <w:rFonts w:cs="Arial"/>
                <w:szCs w:val="14"/>
              </w:rPr>
            </w:pPr>
          </w:p>
        </w:tc>
        <w:tc>
          <w:tcPr>
            <w:tcW w:w="1417" w:type="dxa"/>
            <w:tcBorders>
              <w:bottom w:val="nil"/>
            </w:tcBorders>
            <w:shd w:val="clear" w:color="auto" w:fill="auto"/>
          </w:tcPr>
          <w:p w14:paraId="00B13F3B" w14:textId="77777777" w:rsidR="00375569" w:rsidRPr="00BC7DA5" w:rsidRDefault="00375569" w:rsidP="00C13553">
            <w:pPr>
              <w:pStyle w:val="08-Tabelageral"/>
              <w:rPr>
                <w:rFonts w:cs="Arial"/>
                <w:szCs w:val="14"/>
              </w:rPr>
            </w:pPr>
            <w:r>
              <w:rPr>
                <w:rFonts w:cs="Arial"/>
                <w:szCs w:val="14"/>
              </w:rPr>
              <w:t>(969)</w:t>
            </w:r>
          </w:p>
        </w:tc>
        <w:tc>
          <w:tcPr>
            <w:tcW w:w="1418" w:type="dxa"/>
            <w:tcBorders>
              <w:bottom w:val="nil"/>
            </w:tcBorders>
            <w:shd w:val="clear" w:color="auto" w:fill="auto"/>
          </w:tcPr>
          <w:p w14:paraId="2AD36AEA" w14:textId="77777777" w:rsidR="00375569" w:rsidRPr="00BC7DA5" w:rsidRDefault="00375569" w:rsidP="006810B1">
            <w:pPr>
              <w:pStyle w:val="08-Tabelageral"/>
              <w:rPr>
                <w:rFonts w:cs="Arial"/>
                <w:szCs w:val="14"/>
              </w:rPr>
            </w:pPr>
            <w:r>
              <w:rPr>
                <w:rFonts w:cs="Arial"/>
                <w:szCs w:val="14"/>
              </w:rPr>
              <w:t>7</w:t>
            </w:r>
          </w:p>
        </w:tc>
      </w:tr>
      <w:tr w:rsidR="00375569" w:rsidRPr="00BC7DA5" w14:paraId="2CBE528B" w14:textId="77777777" w:rsidTr="00725333">
        <w:trPr>
          <w:trHeight w:val="238"/>
          <w:jc w:val="center"/>
        </w:trPr>
        <w:tc>
          <w:tcPr>
            <w:tcW w:w="3094" w:type="dxa"/>
            <w:tcBorders>
              <w:top w:val="nil"/>
              <w:bottom w:val="single" w:sz="2" w:space="0" w:color="1F4E79" w:themeColor="accent1" w:themeShade="80"/>
            </w:tcBorders>
            <w:shd w:val="clear" w:color="auto" w:fill="auto"/>
          </w:tcPr>
          <w:p w14:paraId="60D15DB0" w14:textId="77777777" w:rsidR="00375569" w:rsidRPr="00BC7DA5" w:rsidRDefault="00375569" w:rsidP="006810B1">
            <w:pPr>
              <w:pStyle w:val="08-Tabelageral"/>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5B041D30" w14:textId="77777777" w:rsidR="00375569" w:rsidRPr="00BC7DA5" w:rsidRDefault="00375569" w:rsidP="006810B1">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47E0A057" w14:textId="77777777" w:rsidR="00375569" w:rsidRPr="00BC7DA5" w:rsidRDefault="00375569" w:rsidP="006810B1">
            <w:pPr>
              <w:pStyle w:val="08-Tabelageral"/>
              <w:rPr>
                <w:rFonts w:cs="Arial"/>
                <w:szCs w:val="14"/>
              </w:rPr>
            </w:pPr>
            <w:r>
              <w:rPr>
                <w:rFonts w:cs="Arial"/>
                <w:szCs w:val="14"/>
              </w:rPr>
              <w:t>344</w:t>
            </w:r>
          </w:p>
        </w:tc>
        <w:tc>
          <w:tcPr>
            <w:tcW w:w="1412" w:type="dxa"/>
            <w:tcBorders>
              <w:top w:val="nil"/>
              <w:bottom w:val="single" w:sz="2" w:space="0" w:color="1F4E79" w:themeColor="accent1" w:themeShade="80"/>
            </w:tcBorders>
            <w:shd w:val="clear" w:color="auto" w:fill="auto"/>
          </w:tcPr>
          <w:p w14:paraId="0F7404A6" w14:textId="77777777" w:rsidR="00375569" w:rsidRPr="00BC7DA5" w:rsidRDefault="00375569" w:rsidP="006810B1">
            <w:pPr>
              <w:pStyle w:val="08-Tabelageral"/>
              <w:rPr>
                <w:rFonts w:cs="Arial"/>
              </w:rPr>
            </w:pPr>
            <w:r>
              <w:rPr>
                <w:rFonts w:cs="Arial"/>
              </w:rPr>
              <w:t>5</w:t>
            </w:r>
          </w:p>
        </w:tc>
        <w:tc>
          <w:tcPr>
            <w:tcW w:w="283" w:type="dxa"/>
            <w:tcBorders>
              <w:top w:val="nil"/>
              <w:bottom w:val="single" w:sz="2" w:space="0" w:color="1F4E79" w:themeColor="accent1" w:themeShade="80"/>
            </w:tcBorders>
            <w:shd w:val="clear" w:color="auto" w:fill="auto"/>
          </w:tcPr>
          <w:p w14:paraId="70E2FC04" w14:textId="77777777" w:rsidR="00375569" w:rsidRPr="00BC7DA5" w:rsidRDefault="00375569" w:rsidP="006810B1">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4EEB09A2" w14:textId="77777777" w:rsidR="00375569" w:rsidRPr="00BC7DA5" w:rsidRDefault="00375569" w:rsidP="006810B1">
            <w:pPr>
              <w:pStyle w:val="08-Tabelageral"/>
              <w:rPr>
                <w:rFonts w:cs="Arial"/>
                <w:szCs w:val="14"/>
              </w:rPr>
            </w:pPr>
            <w:r>
              <w:rPr>
                <w:rFonts w:cs="Arial"/>
                <w:szCs w:val="14"/>
              </w:rPr>
              <w:t>(346)</w:t>
            </w:r>
          </w:p>
        </w:tc>
        <w:tc>
          <w:tcPr>
            <w:tcW w:w="1418" w:type="dxa"/>
            <w:tcBorders>
              <w:top w:val="nil"/>
              <w:bottom w:val="single" w:sz="2" w:space="0" w:color="1F4E79" w:themeColor="accent1" w:themeShade="80"/>
            </w:tcBorders>
            <w:shd w:val="clear" w:color="auto" w:fill="auto"/>
          </w:tcPr>
          <w:p w14:paraId="29DD6026" w14:textId="77777777" w:rsidR="00375569" w:rsidRPr="00BC7DA5" w:rsidRDefault="00375569" w:rsidP="006810B1">
            <w:pPr>
              <w:pStyle w:val="08-Tabelageral"/>
              <w:rPr>
                <w:rFonts w:cs="Arial"/>
                <w:szCs w:val="14"/>
              </w:rPr>
            </w:pPr>
            <w:r>
              <w:rPr>
                <w:rFonts w:cs="Arial"/>
                <w:szCs w:val="14"/>
              </w:rPr>
              <w:t>3</w:t>
            </w:r>
          </w:p>
        </w:tc>
      </w:tr>
    </w:tbl>
    <w:p w14:paraId="1C7175F1" w14:textId="77777777" w:rsidR="00375569" w:rsidRDefault="00375569">
      <w:pPr>
        <w:rPr>
          <w:rFonts w:cs="Arial"/>
          <w:b/>
          <w:color w:val="1F4E79" w:themeColor="accent1" w:themeShade="80"/>
          <w:szCs w:val="18"/>
        </w:rPr>
      </w:pPr>
    </w:p>
    <w:p w14:paraId="47C6510D" w14:textId="77777777" w:rsidR="00375569" w:rsidRPr="00FF3D4B" w:rsidRDefault="00375569" w:rsidP="00725333">
      <w:pPr>
        <w:keepNext/>
        <w:keepLines/>
        <w:pageBreakBefore/>
        <w:spacing w:after="0" w:line="240" w:lineRule="auto"/>
        <w:jc w:val="right"/>
        <w:rPr>
          <w:rFonts w:cs="Arial"/>
          <w:b/>
          <w:sz w:val="14"/>
          <w:lang w:eastAsia="pt-BR"/>
        </w:rPr>
      </w:pPr>
      <w:r w:rsidRPr="00FF3D4B">
        <w:rPr>
          <w:rFonts w:cs="Arial"/>
          <w:b/>
          <w:sz w:val="14"/>
          <w:lang w:eastAsia="pt-BR"/>
        </w:rPr>
        <w:lastRenderedPageBreak/>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BC7DA5" w14:paraId="1A73279E" w14:textId="77777777" w:rsidTr="00725333">
        <w:trPr>
          <w:trHeight w:val="238"/>
          <w:jc w:val="center"/>
        </w:trPr>
        <w:tc>
          <w:tcPr>
            <w:tcW w:w="3094" w:type="dxa"/>
            <w:tcBorders>
              <w:top w:val="single" w:sz="2" w:space="0" w:color="1F4E79" w:themeColor="accent1" w:themeShade="80"/>
              <w:bottom w:val="nil"/>
            </w:tcBorders>
            <w:shd w:val="clear" w:color="auto" w:fill="auto"/>
          </w:tcPr>
          <w:p w14:paraId="1E2049E6" w14:textId="77777777" w:rsidR="00375569" w:rsidRPr="00BC7DA5" w:rsidRDefault="00375569" w:rsidP="003D210E">
            <w:pPr>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57BFBECA" w14:textId="77777777" w:rsidR="00375569" w:rsidRPr="00BC7DA5" w:rsidRDefault="00375569" w:rsidP="003D210E">
            <w:pPr>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72073B19" w14:textId="77777777" w:rsidR="00375569" w:rsidRPr="00BC7DA5" w:rsidRDefault="00375569" w:rsidP="003D210E">
            <w:pPr>
              <w:spacing w:after="0"/>
              <w:jc w:val="center"/>
              <w:rPr>
                <w:rFonts w:cs="Arial"/>
                <w:b/>
                <w:sz w:val="14"/>
                <w:szCs w:val="14"/>
              </w:rPr>
            </w:pPr>
            <w:r w:rsidRPr="00BC7DA5">
              <w:rPr>
                <w:rFonts w:cs="Arial"/>
                <w:b/>
                <w:sz w:val="14"/>
                <w:szCs w:val="14"/>
              </w:rPr>
              <w:t>Consolidado</w:t>
            </w:r>
          </w:p>
        </w:tc>
      </w:tr>
      <w:tr w:rsidR="00375569" w:rsidRPr="00BC7DA5" w14:paraId="4BBCEE2C" w14:textId="77777777" w:rsidTr="00725333">
        <w:trPr>
          <w:trHeight w:val="238"/>
          <w:jc w:val="center"/>
        </w:trPr>
        <w:tc>
          <w:tcPr>
            <w:tcW w:w="3094" w:type="dxa"/>
            <w:tcBorders>
              <w:top w:val="nil"/>
              <w:bottom w:val="single" w:sz="2" w:space="0" w:color="1F4E79" w:themeColor="accent1" w:themeShade="80"/>
            </w:tcBorders>
            <w:shd w:val="clear" w:color="auto" w:fill="auto"/>
          </w:tcPr>
          <w:p w14:paraId="4EC3A3DA" w14:textId="77777777" w:rsidR="00375569" w:rsidRPr="00BC7DA5" w:rsidRDefault="00375569" w:rsidP="003D210E">
            <w:pPr>
              <w:pStyle w:val="08-Tabelageral"/>
              <w:rPr>
                <w:rFonts w:cs="Arial"/>
                <w:b/>
              </w:rPr>
            </w:pPr>
          </w:p>
        </w:tc>
        <w:tc>
          <w:tcPr>
            <w:tcW w:w="604" w:type="dxa"/>
            <w:tcBorders>
              <w:top w:val="nil"/>
              <w:bottom w:val="single" w:sz="2" w:space="0" w:color="1F4E79" w:themeColor="accent1" w:themeShade="80"/>
            </w:tcBorders>
            <w:shd w:val="clear" w:color="auto" w:fill="auto"/>
          </w:tcPr>
          <w:p w14:paraId="4271B8AA" w14:textId="77777777" w:rsidR="00375569" w:rsidRPr="00BC7DA5" w:rsidRDefault="00375569" w:rsidP="003D210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FC61CC3" w14:textId="77777777" w:rsidR="00375569" w:rsidRPr="00BC7DA5" w:rsidRDefault="00375569" w:rsidP="003D210E">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0</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0E4A37DD" w14:textId="77777777" w:rsidR="00375569" w:rsidRPr="00BC7DA5" w:rsidRDefault="00375569" w:rsidP="003D210E">
            <w:pPr>
              <w:pStyle w:val="08-Tabelageral"/>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04DD6A7" w14:textId="77777777" w:rsidR="00375569" w:rsidRPr="00BC7DA5" w:rsidRDefault="00375569" w:rsidP="003D210E">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5309571" w14:textId="77777777" w:rsidR="00375569" w:rsidRPr="00BC7DA5" w:rsidRDefault="00375569" w:rsidP="003D210E">
            <w:pPr>
              <w:pStyle w:val="08-Tabelageral"/>
              <w:rPr>
                <w:rFonts w:cs="Arial"/>
                <w:b/>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3E1E28C" w14:textId="77777777" w:rsidR="00375569" w:rsidRPr="00BC7DA5" w:rsidRDefault="00375569" w:rsidP="00924F14">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21</w:t>
            </w:r>
          </w:p>
        </w:tc>
      </w:tr>
      <w:tr w:rsidR="00375569" w:rsidRPr="00BC7DA5" w14:paraId="77FA6227" w14:textId="77777777" w:rsidTr="00725333">
        <w:trPr>
          <w:trHeight w:val="238"/>
          <w:jc w:val="center"/>
        </w:trPr>
        <w:tc>
          <w:tcPr>
            <w:tcW w:w="3094" w:type="dxa"/>
            <w:tcBorders>
              <w:top w:val="single" w:sz="2" w:space="0" w:color="1F4E79" w:themeColor="accent1" w:themeShade="80"/>
            </w:tcBorders>
            <w:shd w:val="clear" w:color="auto" w:fill="auto"/>
          </w:tcPr>
          <w:p w14:paraId="2A09FB9B" w14:textId="77777777" w:rsidR="00375569" w:rsidRPr="00BC7DA5" w:rsidRDefault="00375569" w:rsidP="003D210E">
            <w:pPr>
              <w:pStyle w:val="08-Tabelageral"/>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5C06392E" w14:textId="77777777" w:rsidR="00375569" w:rsidRPr="00BC7DA5" w:rsidRDefault="00375569" w:rsidP="003D210E">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75CC8BAD" w14:textId="77777777" w:rsidR="00375569" w:rsidRPr="00BC7DA5" w:rsidRDefault="00375569" w:rsidP="003D210E">
            <w:pPr>
              <w:pStyle w:val="08-Tabelageral"/>
              <w:rPr>
                <w:rFonts w:cs="Arial"/>
                <w:b/>
                <w:bCs/>
                <w:szCs w:val="14"/>
              </w:rPr>
            </w:pPr>
          </w:p>
        </w:tc>
        <w:tc>
          <w:tcPr>
            <w:tcW w:w="1412" w:type="dxa"/>
            <w:tcBorders>
              <w:top w:val="single" w:sz="2" w:space="0" w:color="1F4E79" w:themeColor="accent1" w:themeShade="80"/>
            </w:tcBorders>
            <w:shd w:val="clear" w:color="auto" w:fill="auto"/>
          </w:tcPr>
          <w:p w14:paraId="43175040" w14:textId="77777777" w:rsidR="00375569" w:rsidRPr="00BC7DA5" w:rsidRDefault="00375569" w:rsidP="003D210E">
            <w:pPr>
              <w:pStyle w:val="08-Tabelageral"/>
              <w:rPr>
                <w:rFonts w:cs="Arial"/>
                <w:b/>
                <w:bCs/>
                <w:szCs w:val="14"/>
              </w:rPr>
            </w:pPr>
          </w:p>
        </w:tc>
        <w:tc>
          <w:tcPr>
            <w:tcW w:w="283" w:type="dxa"/>
            <w:tcBorders>
              <w:top w:val="single" w:sz="2" w:space="0" w:color="1F4E79" w:themeColor="accent1" w:themeShade="80"/>
            </w:tcBorders>
            <w:shd w:val="clear" w:color="auto" w:fill="auto"/>
          </w:tcPr>
          <w:p w14:paraId="706E905F" w14:textId="77777777" w:rsidR="00375569" w:rsidRPr="00BC7DA5" w:rsidRDefault="00375569" w:rsidP="003D210E">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5CA586A5" w14:textId="77777777" w:rsidR="00375569" w:rsidRPr="00BC7DA5" w:rsidRDefault="00375569" w:rsidP="003D210E">
            <w:pPr>
              <w:pStyle w:val="08-Tabelageral"/>
              <w:jc w:val="left"/>
              <w:rPr>
                <w:rFonts w:cs="Arial"/>
                <w:b/>
                <w:bCs/>
                <w:szCs w:val="14"/>
              </w:rPr>
            </w:pPr>
          </w:p>
        </w:tc>
        <w:tc>
          <w:tcPr>
            <w:tcW w:w="1418" w:type="dxa"/>
            <w:tcBorders>
              <w:top w:val="single" w:sz="2" w:space="0" w:color="1F4E79" w:themeColor="accent1" w:themeShade="80"/>
            </w:tcBorders>
            <w:shd w:val="clear" w:color="auto" w:fill="auto"/>
          </w:tcPr>
          <w:p w14:paraId="552B44C7" w14:textId="77777777" w:rsidR="00375569" w:rsidRPr="00BC7DA5" w:rsidRDefault="00375569" w:rsidP="003D210E">
            <w:pPr>
              <w:pStyle w:val="08-Tabelageral"/>
              <w:rPr>
                <w:rFonts w:cs="Arial"/>
                <w:b/>
                <w:bCs/>
                <w:szCs w:val="14"/>
              </w:rPr>
            </w:pPr>
          </w:p>
        </w:tc>
      </w:tr>
      <w:tr w:rsidR="00375569" w:rsidRPr="00BC7DA5" w14:paraId="3DA2F673" w14:textId="77777777" w:rsidTr="00725333">
        <w:trPr>
          <w:trHeight w:val="238"/>
          <w:jc w:val="center"/>
        </w:trPr>
        <w:tc>
          <w:tcPr>
            <w:tcW w:w="3094" w:type="dxa"/>
            <w:shd w:val="clear" w:color="auto" w:fill="auto"/>
          </w:tcPr>
          <w:p w14:paraId="5B946688" w14:textId="77777777" w:rsidR="00375569" w:rsidRPr="00BC7DA5" w:rsidRDefault="00375569" w:rsidP="003D210E">
            <w:pPr>
              <w:pStyle w:val="08-Tabelageral"/>
              <w:ind w:left="113"/>
              <w:jc w:val="left"/>
              <w:rPr>
                <w:rFonts w:cs="Arial"/>
                <w:szCs w:val="14"/>
              </w:rPr>
            </w:pPr>
            <w:r w:rsidRPr="00BC7DA5">
              <w:rPr>
                <w:rFonts w:cs="Arial"/>
                <w:szCs w:val="14"/>
              </w:rPr>
              <w:t>Prejuízo fiscal/Base negativa</w:t>
            </w:r>
          </w:p>
        </w:tc>
        <w:tc>
          <w:tcPr>
            <w:tcW w:w="604" w:type="dxa"/>
            <w:shd w:val="clear" w:color="auto" w:fill="auto"/>
          </w:tcPr>
          <w:p w14:paraId="672E4CB1" w14:textId="77777777" w:rsidR="00375569" w:rsidRPr="00BC7DA5" w:rsidRDefault="00375569" w:rsidP="003D210E">
            <w:pPr>
              <w:pStyle w:val="08-Tabelageral"/>
              <w:ind w:left="113"/>
              <w:jc w:val="center"/>
              <w:rPr>
                <w:rFonts w:cs="Arial"/>
                <w:szCs w:val="14"/>
              </w:rPr>
            </w:pPr>
          </w:p>
        </w:tc>
        <w:tc>
          <w:tcPr>
            <w:tcW w:w="1411" w:type="dxa"/>
            <w:shd w:val="clear" w:color="auto" w:fill="auto"/>
          </w:tcPr>
          <w:p w14:paraId="7641019B" w14:textId="77777777" w:rsidR="00375569" w:rsidRPr="00BC7DA5" w:rsidRDefault="00375569" w:rsidP="003D210E">
            <w:pPr>
              <w:pStyle w:val="08-Tabelageral"/>
              <w:ind w:left="113"/>
              <w:rPr>
                <w:rFonts w:cs="Arial"/>
                <w:szCs w:val="14"/>
              </w:rPr>
            </w:pPr>
            <w:r>
              <w:rPr>
                <w:rFonts w:cs="Arial"/>
                <w:szCs w:val="14"/>
              </w:rPr>
              <w:t>1.227</w:t>
            </w:r>
          </w:p>
        </w:tc>
        <w:tc>
          <w:tcPr>
            <w:tcW w:w="1412" w:type="dxa"/>
            <w:shd w:val="clear" w:color="auto" w:fill="auto"/>
          </w:tcPr>
          <w:p w14:paraId="36E7994F" w14:textId="77777777" w:rsidR="00375569" w:rsidRPr="00BC7DA5" w:rsidRDefault="00375569" w:rsidP="003D210E">
            <w:pPr>
              <w:pStyle w:val="08-Tabelageral"/>
              <w:ind w:left="113"/>
              <w:rPr>
                <w:rFonts w:cs="Arial"/>
              </w:rPr>
            </w:pPr>
            <w:r>
              <w:rPr>
                <w:rFonts w:cs="Arial"/>
              </w:rPr>
              <w:t>--</w:t>
            </w:r>
          </w:p>
        </w:tc>
        <w:tc>
          <w:tcPr>
            <w:tcW w:w="283" w:type="dxa"/>
            <w:shd w:val="clear" w:color="auto" w:fill="auto"/>
          </w:tcPr>
          <w:p w14:paraId="6DF14B3B" w14:textId="77777777" w:rsidR="00375569" w:rsidRPr="00BC7DA5" w:rsidRDefault="00375569" w:rsidP="003D210E">
            <w:pPr>
              <w:pStyle w:val="08-Tabelageral"/>
              <w:ind w:left="113"/>
              <w:rPr>
                <w:rFonts w:cs="Arial"/>
                <w:szCs w:val="14"/>
              </w:rPr>
            </w:pPr>
          </w:p>
        </w:tc>
        <w:tc>
          <w:tcPr>
            <w:tcW w:w="1417" w:type="dxa"/>
            <w:shd w:val="clear" w:color="auto" w:fill="auto"/>
          </w:tcPr>
          <w:p w14:paraId="5CE006F9" w14:textId="77777777" w:rsidR="00375569" w:rsidRPr="00BC7DA5" w:rsidRDefault="00375569" w:rsidP="003D210E">
            <w:pPr>
              <w:pStyle w:val="08-Tabelageral"/>
              <w:ind w:left="113"/>
              <w:rPr>
                <w:rFonts w:cs="Arial"/>
                <w:szCs w:val="14"/>
              </w:rPr>
            </w:pPr>
            <w:r>
              <w:rPr>
                <w:rFonts w:cs="Arial"/>
                <w:szCs w:val="14"/>
              </w:rPr>
              <w:t>(1.227)</w:t>
            </w:r>
          </w:p>
        </w:tc>
        <w:tc>
          <w:tcPr>
            <w:tcW w:w="1418" w:type="dxa"/>
            <w:shd w:val="clear" w:color="auto" w:fill="auto"/>
          </w:tcPr>
          <w:p w14:paraId="19787811" w14:textId="77777777" w:rsidR="00375569" w:rsidRPr="00BC7DA5" w:rsidRDefault="00375569" w:rsidP="003D210E">
            <w:pPr>
              <w:pStyle w:val="08-Tabelageral"/>
              <w:ind w:left="113"/>
              <w:rPr>
                <w:rFonts w:cs="Arial"/>
                <w:szCs w:val="14"/>
              </w:rPr>
            </w:pPr>
            <w:r>
              <w:rPr>
                <w:rFonts w:cs="Arial"/>
                <w:szCs w:val="14"/>
              </w:rPr>
              <w:t>--</w:t>
            </w:r>
          </w:p>
        </w:tc>
      </w:tr>
      <w:tr w:rsidR="00375569" w:rsidRPr="00BC7DA5" w14:paraId="669D3B5B" w14:textId="77777777" w:rsidTr="00725333">
        <w:trPr>
          <w:trHeight w:val="238"/>
          <w:jc w:val="center"/>
        </w:trPr>
        <w:tc>
          <w:tcPr>
            <w:tcW w:w="3094" w:type="dxa"/>
            <w:shd w:val="clear" w:color="auto" w:fill="auto"/>
          </w:tcPr>
          <w:p w14:paraId="2FD55E30" w14:textId="77777777" w:rsidR="00375569" w:rsidRPr="00BC7DA5" w:rsidRDefault="00375569" w:rsidP="003D210E">
            <w:pPr>
              <w:pStyle w:val="08-Tabelageral"/>
              <w:ind w:left="113"/>
              <w:jc w:val="left"/>
              <w:rPr>
                <w:rFonts w:cs="Arial"/>
                <w:szCs w:val="14"/>
              </w:rPr>
            </w:pPr>
            <w:r w:rsidRPr="00BC7DA5">
              <w:rPr>
                <w:rFonts w:cs="Arial"/>
                <w:szCs w:val="14"/>
              </w:rPr>
              <w:t>Provisões passivas</w:t>
            </w:r>
          </w:p>
        </w:tc>
        <w:tc>
          <w:tcPr>
            <w:tcW w:w="604" w:type="dxa"/>
            <w:shd w:val="clear" w:color="auto" w:fill="auto"/>
          </w:tcPr>
          <w:p w14:paraId="278B2B0F" w14:textId="77777777" w:rsidR="00375569" w:rsidRPr="00BC7DA5" w:rsidRDefault="00375569" w:rsidP="003D210E">
            <w:pPr>
              <w:pStyle w:val="08-Tabelageral"/>
              <w:ind w:left="113"/>
              <w:jc w:val="center"/>
              <w:rPr>
                <w:rFonts w:cs="Arial"/>
                <w:szCs w:val="14"/>
              </w:rPr>
            </w:pPr>
          </w:p>
        </w:tc>
        <w:tc>
          <w:tcPr>
            <w:tcW w:w="1411" w:type="dxa"/>
            <w:shd w:val="clear" w:color="auto" w:fill="auto"/>
          </w:tcPr>
          <w:p w14:paraId="20FFAD33" w14:textId="77777777" w:rsidR="00375569" w:rsidRPr="00BC7DA5" w:rsidRDefault="00375569" w:rsidP="003D210E">
            <w:pPr>
              <w:pStyle w:val="08-Tabelageral"/>
              <w:ind w:left="113"/>
              <w:rPr>
                <w:rFonts w:cs="Arial"/>
                <w:szCs w:val="14"/>
              </w:rPr>
            </w:pPr>
            <w:r>
              <w:rPr>
                <w:rFonts w:cs="Arial"/>
                <w:szCs w:val="14"/>
              </w:rPr>
              <w:t>13.354</w:t>
            </w:r>
          </w:p>
        </w:tc>
        <w:tc>
          <w:tcPr>
            <w:tcW w:w="1412" w:type="dxa"/>
            <w:shd w:val="clear" w:color="auto" w:fill="auto"/>
          </w:tcPr>
          <w:p w14:paraId="0BA453B3" w14:textId="77777777" w:rsidR="00375569" w:rsidRPr="00BC7DA5" w:rsidRDefault="00375569" w:rsidP="003D210E">
            <w:pPr>
              <w:pStyle w:val="08-Tabelageral"/>
              <w:ind w:left="113"/>
              <w:rPr>
                <w:rFonts w:cs="Arial"/>
              </w:rPr>
            </w:pPr>
            <w:r>
              <w:rPr>
                <w:rFonts w:cs="Arial"/>
              </w:rPr>
              <w:t>36.016</w:t>
            </w:r>
          </w:p>
        </w:tc>
        <w:tc>
          <w:tcPr>
            <w:tcW w:w="283" w:type="dxa"/>
            <w:shd w:val="clear" w:color="auto" w:fill="auto"/>
          </w:tcPr>
          <w:p w14:paraId="3A2BA928" w14:textId="77777777" w:rsidR="00375569" w:rsidRPr="00BC7DA5" w:rsidRDefault="00375569" w:rsidP="003D210E">
            <w:pPr>
              <w:pStyle w:val="08-Tabelageral"/>
              <w:ind w:left="113"/>
              <w:rPr>
                <w:rFonts w:cs="Arial"/>
                <w:szCs w:val="14"/>
              </w:rPr>
            </w:pPr>
          </w:p>
        </w:tc>
        <w:tc>
          <w:tcPr>
            <w:tcW w:w="1417" w:type="dxa"/>
            <w:shd w:val="clear" w:color="auto" w:fill="auto"/>
          </w:tcPr>
          <w:p w14:paraId="38054709" w14:textId="77777777" w:rsidR="00375569" w:rsidRPr="00BC7DA5" w:rsidRDefault="00375569" w:rsidP="003D210E">
            <w:pPr>
              <w:pStyle w:val="08-Tabelageral"/>
              <w:ind w:left="113"/>
              <w:rPr>
                <w:rFonts w:cs="Arial"/>
                <w:szCs w:val="14"/>
              </w:rPr>
            </w:pPr>
            <w:r>
              <w:rPr>
                <w:rFonts w:cs="Arial"/>
                <w:szCs w:val="14"/>
              </w:rPr>
              <w:t>(17.003)</w:t>
            </w:r>
          </w:p>
        </w:tc>
        <w:tc>
          <w:tcPr>
            <w:tcW w:w="1418" w:type="dxa"/>
            <w:shd w:val="clear" w:color="auto" w:fill="auto"/>
          </w:tcPr>
          <w:p w14:paraId="3D830680" w14:textId="77777777" w:rsidR="00375569" w:rsidRPr="00BC7DA5" w:rsidRDefault="00375569" w:rsidP="003D210E">
            <w:pPr>
              <w:pStyle w:val="08-Tabelageral"/>
              <w:ind w:left="113"/>
              <w:rPr>
                <w:rFonts w:cs="Arial"/>
                <w:szCs w:val="14"/>
              </w:rPr>
            </w:pPr>
            <w:r>
              <w:rPr>
                <w:rFonts w:cs="Arial"/>
                <w:szCs w:val="14"/>
              </w:rPr>
              <w:t>32.367</w:t>
            </w:r>
          </w:p>
        </w:tc>
      </w:tr>
      <w:tr w:rsidR="00375569" w:rsidRPr="00BC7DA5" w14:paraId="6DC4F5E3" w14:textId="77777777" w:rsidTr="00725333">
        <w:trPr>
          <w:trHeight w:val="238"/>
          <w:jc w:val="center"/>
        </w:trPr>
        <w:tc>
          <w:tcPr>
            <w:tcW w:w="3094" w:type="dxa"/>
            <w:shd w:val="clear" w:color="auto" w:fill="auto"/>
          </w:tcPr>
          <w:p w14:paraId="38FB109D" w14:textId="77777777" w:rsidR="00375569" w:rsidRPr="00BC7DA5" w:rsidRDefault="00375569" w:rsidP="003D210E">
            <w:pPr>
              <w:pStyle w:val="08-Tabelageral"/>
              <w:ind w:left="113"/>
              <w:jc w:val="left"/>
              <w:rPr>
                <w:rFonts w:cs="Arial"/>
                <w:szCs w:val="14"/>
              </w:rPr>
            </w:pPr>
            <w:r w:rsidRPr="00BC7DA5">
              <w:rPr>
                <w:rFonts w:cs="Arial"/>
                <w:szCs w:val="14"/>
              </w:rPr>
              <w:t>Amortização de ágio</w:t>
            </w:r>
          </w:p>
        </w:tc>
        <w:tc>
          <w:tcPr>
            <w:tcW w:w="604" w:type="dxa"/>
            <w:shd w:val="clear" w:color="auto" w:fill="auto"/>
          </w:tcPr>
          <w:p w14:paraId="12B928DC" w14:textId="77777777" w:rsidR="00375569" w:rsidRPr="00BC7DA5" w:rsidRDefault="00375569" w:rsidP="003D210E">
            <w:pPr>
              <w:pStyle w:val="08-Tabelageral"/>
              <w:ind w:left="113"/>
              <w:jc w:val="center"/>
              <w:rPr>
                <w:rFonts w:cs="Arial"/>
                <w:szCs w:val="14"/>
              </w:rPr>
            </w:pPr>
          </w:p>
        </w:tc>
        <w:tc>
          <w:tcPr>
            <w:tcW w:w="1411" w:type="dxa"/>
            <w:shd w:val="clear" w:color="auto" w:fill="auto"/>
          </w:tcPr>
          <w:p w14:paraId="646140E2" w14:textId="77777777" w:rsidR="00375569" w:rsidRPr="00BC7DA5" w:rsidRDefault="00375569" w:rsidP="003D210E">
            <w:pPr>
              <w:pStyle w:val="08-Tabelageral"/>
              <w:ind w:left="113"/>
              <w:rPr>
                <w:rFonts w:cs="Arial"/>
                <w:szCs w:val="14"/>
              </w:rPr>
            </w:pPr>
            <w:r>
              <w:rPr>
                <w:rFonts w:cs="Arial"/>
                <w:szCs w:val="14"/>
              </w:rPr>
              <w:t>3.053</w:t>
            </w:r>
          </w:p>
        </w:tc>
        <w:tc>
          <w:tcPr>
            <w:tcW w:w="1412" w:type="dxa"/>
            <w:shd w:val="clear" w:color="auto" w:fill="auto"/>
          </w:tcPr>
          <w:p w14:paraId="02030A74" w14:textId="77777777" w:rsidR="00375569" w:rsidRPr="00BC7DA5" w:rsidRDefault="00375569" w:rsidP="003D210E">
            <w:pPr>
              <w:pStyle w:val="08-Tabelageral"/>
              <w:ind w:left="113"/>
              <w:rPr>
                <w:rFonts w:cs="Arial"/>
              </w:rPr>
            </w:pPr>
            <w:r>
              <w:rPr>
                <w:rFonts w:cs="Arial"/>
              </w:rPr>
              <w:t>--</w:t>
            </w:r>
          </w:p>
        </w:tc>
        <w:tc>
          <w:tcPr>
            <w:tcW w:w="283" w:type="dxa"/>
            <w:shd w:val="clear" w:color="auto" w:fill="auto"/>
          </w:tcPr>
          <w:p w14:paraId="49B4AA47" w14:textId="77777777" w:rsidR="00375569" w:rsidRPr="00BC7DA5" w:rsidRDefault="00375569" w:rsidP="003D210E">
            <w:pPr>
              <w:pStyle w:val="08-Tabelageral"/>
              <w:ind w:left="113"/>
              <w:rPr>
                <w:rFonts w:cs="Arial"/>
                <w:szCs w:val="14"/>
              </w:rPr>
            </w:pPr>
          </w:p>
        </w:tc>
        <w:tc>
          <w:tcPr>
            <w:tcW w:w="1417" w:type="dxa"/>
            <w:shd w:val="clear" w:color="auto" w:fill="auto"/>
          </w:tcPr>
          <w:p w14:paraId="32F55118" w14:textId="77777777" w:rsidR="00375569" w:rsidRPr="00BC7DA5" w:rsidRDefault="00375569" w:rsidP="003D210E">
            <w:pPr>
              <w:pStyle w:val="08-Tabelageral"/>
              <w:ind w:left="113"/>
              <w:rPr>
                <w:rFonts w:cs="Arial"/>
                <w:szCs w:val="14"/>
              </w:rPr>
            </w:pPr>
            <w:r>
              <w:rPr>
                <w:rFonts w:cs="Arial"/>
                <w:szCs w:val="14"/>
              </w:rPr>
              <w:t>--</w:t>
            </w:r>
          </w:p>
        </w:tc>
        <w:tc>
          <w:tcPr>
            <w:tcW w:w="1418" w:type="dxa"/>
            <w:shd w:val="clear" w:color="auto" w:fill="auto"/>
          </w:tcPr>
          <w:p w14:paraId="0834D466" w14:textId="77777777" w:rsidR="00375569" w:rsidRPr="00BC7DA5" w:rsidRDefault="00375569" w:rsidP="003D210E">
            <w:pPr>
              <w:pStyle w:val="08-Tabelageral"/>
              <w:ind w:left="113"/>
              <w:rPr>
                <w:rFonts w:cs="Arial"/>
                <w:szCs w:val="14"/>
              </w:rPr>
            </w:pPr>
            <w:r>
              <w:rPr>
                <w:rFonts w:cs="Arial"/>
                <w:szCs w:val="14"/>
              </w:rPr>
              <w:t>3.053</w:t>
            </w:r>
          </w:p>
        </w:tc>
      </w:tr>
      <w:tr w:rsidR="00375569" w:rsidRPr="00BC7DA5" w14:paraId="532362AA" w14:textId="77777777" w:rsidTr="00725333">
        <w:trPr>
          <w:trHeight w:val="238"/>
          <w:jc w:val="center"/>
        </w:trPr>
        <w:tc>
          <w:tcPr>
            <w:tcW w:w="3094" w:type="dxa"/>
            <w:shd w:val="clear" w:color="auto" w:fill="auto"/>
          </w:tcPr>
          <w:p w14:paraId="381A0571" w14:textId="77777777" w:rsidR="00375569" w:rsidRPr="00BC7DA5" w:rsidRDefault="00375569" w:rsidP="003D210E">
            <w:pPr>
              <w:pStyle w:val="08-Tabelageral"/>
              <w:jc w:val="left"/>
              <w:rPr>
                <w:rFonts w:cs="Arial"/>
                <w:b/>
              </w:rPr>
            </w:pPr>
            <w:r w:rsidRPr="00BC7DA5">
              <w:rPr>
                <w:rFonts w:cs="Arial"/>
                <w:b/>
              </w:rPr>
              <w:t>Total dos Créditos Tributários Ativados</w:t>
            </w:r>
          </w:p>
        </w:tc>
        <w:tc>
          <w:tcPr>
            <w:tcW w:w="604" w:type="dxa"/>
            <w:shd w:val="clear" w:color="auto" w:fill="auto"/>
          </w:tcPr>
          <w:p w14:paraId="594FA32E" w14:textId="77777777" w:rsidR="00375569" w:rsidRPr="00BC7DA5" w:rsidRDefault="00375569" w:rsidP="003D210E">
            <w:pPr>
              <w:pStyle w:val="08-Tabelageral"/>
              <w:jc w:val="center"/>
              <w:rPr>
                <w:rFonts w:cs="Arial"/>
                <w:b/>
                <w:szCs w:val="14"/>
              </w:rPr>
            </w:pPr>
          </w:p>
        </w:tc>
        <w:tc>
          <w:tcPr>
            <w:tcW w:w="1411" w:type="dxa"/>
            <w:shd w:val="clear" w:color="auto" w:fill="auto"/>
          </w:tcPr>
          <w:p w14:paraId="5F340176" w14:textId="77777777" w:rsidR="00375569" w:rsidRPr="00BC7DA5" w:rsidRDefault="00375569" w:rsidP="003D210E">
            <w:pPr>
              <w:pStyle w:val="08-Tabelageral"/>
              <w:rPr>
                <w:rFonts w:cs="Arial"/>
                <w:b/>
                <w:szCs w:val="14"/>
              </w:rPr>
            </w:pPr>
            <w:r>
              <w:rPr>
                <w:rFonts w:cs="Arial"/>
                <w:b/>
                <w:szCs w:val="14"/>
              </w:rPr>
              <w:t>17.634</w:t>
            </w:r>
          </w:p>
        </w:tc>
        <w:tc>
          <w:tcPr>
            <w:tcW w:w="1412" w:type="dxa"/>
            <w:shd w:val="clear" w:color="auto" w:fill="auto"/>
          </w:tcPr>
          <w:p w14:paraId="6928FF54" w14:textId="77777777" w:rsidR="00375569" w:rsidRPr="00BC7DA5" w:rsidRDefault="00375569" w:rsidP="003D210E">
            <w:pPr>
              <w:pStyle w:val="08-Tabelageral"/>
              <w:rPr>
                <w:rFonts w:cs="Arial"/>
                <w:b/>
              </w:rPr>
            </w:pPr>
            <w:r>
              <w:rPr>
                <w:rFonts w:cs="Arial"/>
                <w:b/>
              </w:rPr>
              <w:t>36.016</w:t>
            </w:r>
          </w:p>
        </w:tc>
        <w:tc>
          <w:tcPr>
            <w:tcW w:w="283" w:type="dxa"/>
            <w:shd w:val="clear" w:color="auto" w:fill="auto"/>
          </w:tcPr>
          <w:p w14:paraId="64D83632" w14:textId="77777777" w:rsidR="00375569" w:rsidRPr="00BC7DA5" w:rsidRDefault="00375569" w:rsidP="003D210E">
            <w:pPr>
              <w:pStyle w:val="08-Tabelageral"/>
              <w:rPr>
                <w:rFonts w:cs="Arial"/>
                <w:b/>
                <w:szCs w:val="14"/>
              </w:rPr>
            </w:pPr>
          </w:p>
        </w:tc>
        <w:tc>
          <w:tcPr>
            <w:tcW w:w="1417" w:type="dxa"/>
            <w:shd w:val="clear" w:color="auto" w:fill="auto"/>
          </w:tcPr>
          <w:p w14:paraId="55A3FF98" w14:textId="77777777" w:rsidR="00375569" w:rsidRPr="00BC7DA5" w:rsidRDefault="00375569" w:rsidP="003D210E">
            <w:pPr>
              <w:pStyle w:val="08-Tabelageral"/>
              <w:rPr>
                <w:rFonts w:cs="Arial"/>
                <w:b/>
                <w:szCs w:val="14"/>
              </w:rPr>
            </w:pPr>
            <w:r>
              <w:rPr>
                <w:rFonts w:cs="Arial"/>
                <w:b/>
                <w:szCs w:val="14"/>
              </w:rPr>
              <w:t>(18.230)</w:t>
            </w:r>
          </w:p>
        </w:tc>
        <w:tc>
          <w:tcPr>
            <w:tcW w:w="1418" w:type="dxa"/>
            <w:shd w:val="clear" w:color="auto" w:fill="auto"/>
          </w:tcPr>
          <w:p w14:paraId="0F91457C" w14:textId="77777777" w:rsidR="00375569" w:rsidRPr="00BC7DA5" w:rsidRDefault="00375569" w:rsidP="003D210E">
            <w:pPr>
              <w:pStyle w:val="08-Tabelageral"/>
              <w:rPr>
                <w:rFonts w:cs="Arial"/>
                <w:b/>
                <w:szCs w:val="14"/>
              </w:rPr>
            </w:pPr>
            <w:r>
              <w:rPr>
                <w:rFonts w:cs="Arial"/>
                <w:b/>
                <w:szCs w:val="14"/>
              </w:rPr>
              <w:t>35.420</w:t>
            </w:r>
          </w:p>
        </w:tc>
      </w:tr>
      <w:tr w:rsidR="00375569" w:rsidRPr="00BC7DA5" w14:paraId="00AAA530" w14:textId="77777777" w:rsidTr="00725333">
        <w:trPr>
          <w:trHeight w:val="238"/>
          <w:jc w:val="center"/>
        </w:trPr>
        <w:tc>
          <w:tcPr>
            <w:tcW w:w="3094" w:type="dxa"/>
            <w:tcBorders>
              <w:bottom w:val="nil"/>
            </w:tcBorders>
            <w:shd w:val="clear" w:color="auto" w:fill="auto"/>
          </w:tcPr>
          <w:p w14:paraId="0F8CEB94" w14:textId="77777777" w:rsidR="00375569" w:rsidRPr="00BC7DA5" w:rsidRDefault="00375569" w:rsidP="003D210E">
            <w:pPr>
              <w:pStyle w:val="08-Tabelageral"/>
              <w:ind w:left="113"/>
              <w:jc w:val="left"/>
              <w:rPr>
                <w:rFonts w:cs="Arial"/>
              </w:rPr>
            </w:pPr>
            <w:r w:rsidRPr="00BC7DA5">
              <w:rPr>
                <w:rFonts w:cs="Arial"/>
              </w:rPr>
              <w:t>Imposto de renda</w:t>
            </w:r>
          </w:p>
        </w:tc>
        <w:tc>
          <w:tcPr>
            <w:tcW w:w="604" w:type="dxa"/>
            <w:tcBorders>
              <w:bottom w:val="nil"/>
            </w:tcBorders>
            <w:shd w:val="clear" w:color="auto" w:fill="auto"/>
          </w:tcPr>
          <w:p w14:paraId="2C363BBF" w14:textId="77777777" w:rsidR="00375569" w:rsidRPr="00BC7DA5" w:rsidRDefault="00375569" w:rsidP="003D210E">
            <w:pPr>
              <w:pStyle w:val="08-Tabelageral"/>
              <w:jc w:val="center"/>
              <w:rPr>
                <w:rFonts w:cs="Arial"/>
                <w:szCs w:val="14"/>
              </w:rPr>
            </w:pPr>
          </w:p>
        </w:tc>
        <w:tc>
          <w:tcPr>
            <w:tcW w:w="1411" w:type="dxa"/>
            <w:tcBorders>
              <w:bottom w:val="nil"/>
            </w:tcBorders>
            <w:shd w:val="clear" w:color="auto" w:fill="auto"/>
          </w:tcPr>
          <w:p w14:paraId="379EE3F5" w14:textId="77777777" w:rsidR="00375569" w:rsidRPr="00BC7DA5" w:rsidRDefault="00375569" w:rsidP="003D210E">
            <w:pPr>
              <w:pStyle w:val="08-Tabelageral"/>
              <w:rPr>
                <w:rFonts w:cs="Arial"/>
                <w:szCs w:val="14"/>
              </w:rPr>
            </w:pPr>
            <w:r>
              <w:rPr>
                <w:rFonts w:cs="Arial"/>
                <w:szCs w:val="14"/>
              </w:rPr>
              <w:t>13.775</w:t>
            </w:r>
          </w:p>
        </w:tc>
        <w:tc>
          <w:tcPr>
            <w:tcW w:w="1412" w:type="dxa"/>
            <w:tcBorders>
              <w:bottom w:val="nil"/>
            </w:tcBorders>
            <w:shd w:val="clear" w:color="auto" w:fill="auto"/>
          </w:tcPr>
          <w:p w14:paraId="659BF21D" w14:textId="77777777" w:rsidR="00375569" w:rsidRPr="00BC7DA5" w:rsidRDefault="00375569" w:rsidP="003D210E">
            <w:pPr>
              <w:pStyle w:val="08-Tabelageral"/>
              <w:rPr>
                <w:rFonts w:cs="Arial"/>
              </w:rPr>
            </w:pPr>
            <w:r>
              <w:rPr>
                <w:rFonts w:cs="Arial"/>
              </w:rPr>
              <w:t>26.482</w:t>
            </w:r>
          </w:p>
        </w:tc>
        <w:tc>
          <w:tcPr>
            <w:tcW w:w="283" w:type="dxa"/>
            <w:tcBorders>
              <w:bottom w:val="nil"/>
            </w:tcBorders>
            <w:shd w:val="clear" w:color="auto" w:fill="auto"/>
          </w:tcPr>
          <w:p w14:paraId="2AA420A6" w14:textId="77777777" w:rsidR="00375569" w:rsidRPr="00BC7DA5" w:rsidRDefault="00375569" w:rsidP="003D210E">
            <w:pPr>
              <w:pStyle w:val="08-Tabelageral"/>
              <w:rPr>
                <w:rFonts w:cs="Arial"/>
                <w:szCs w:val="14"/>
              </w:rPr>
            </w:pPr>
          </w:p>
        </w:tc>
        <w:tc>
          <w:tcPr>
            <w:tcW w:w="1417" w:type="dxa"/>
            <w:tcBorders>
              <w:bottom w:val="nil"/>
            </w:tcBorders>
            <w:shd w:val="clear" w:color="auto" w:fill="auto"/>
          </w:tcPr>
          <w:p w14:paraId="7585392C" w14:textId="77777777" w:rsidR="00375569" w:rsidRPr="00BC7DA5" w:rsidRDefault="00375569" w:rsidP="003D210E">
            <w:pPr>
              <w:pStyle w:val="08-Tabelageral"/>
              <w:rPr>
                <w:rFonts w:cs="Arial"/>
                <w:szCs w:val="14"/>
              </w:rPr>
            </w:pPr>
            <w:r>
              <w:rPr>
                <w:rFonts w:cs="Arial"/>
                <w:szCs w:val="14"/>
              </w:rPr>
              <w:t>(13.406)</w:t>
            </w:r>
          </w:p>
        </w:tc>
        <w:tc>
          <w:tcPr>
            <w:tcW w:w="1418" w:type="dxa"/>
            <w:tcBorders>
              <w:bottom w:val="nil"/>
            </w:tcBorders>
            <w:shd w:val="clear" w:color="auto" w:fill="auto"/>
          </w:tcPr>
          <w:p w14:paraId="12EF4805" w14:textId="77777777" w:rsidR="00375569" w:rsidRPr="00BC7DA5" w:rsidRDefault="00375569" w:rsidP="003D210E">
            <w:pPr>
              <w:pStyle w:val="08-Tabelageral"/>
              <w:rPr>
                <w:rFonts w:cs="Arial"/>
                <w:szCs w:val="14"/>
              </w:rPr>
            </w:pPr>
            <w:r>
              <w:rPr>
                <w:rFonts w:cs="Arial"/>
                <w:szCs w:val="14"/>
              </w:rPr>
              <w:t>26.851</w:t>
            </w:r>
          </w:p>
        </w:tc>
      </w:tr>
      <w:tr w:rsidR="00375569" w:rsidRPr="00BC7DA5" w14:paraId="11EA693F" w14:textId="77777777" w:rsidTr="00725333">
        <w:trPr>
          <w:trHeight w:val="238"/>
          <w:jc w:val="center"/>
        </w:trPr>
        <w:tc>
          <w:tcPr>
            <w:tcW w:w="3094" w:type="dxa"/>
            <w:tcBorders>
              <w:top w:val="nil"/>
              <w:bottom w:val="single" w:sz="2" w:space="0" w:color="1F4E79" w:themeColor="accent1" w:themeShade="80"/>
            </w:tcBorders>
            <w:shd w:val="clear" w:color="auto" w:fill="auto"/>
          </w:tcPr>
          <w:p w14:paraId="2D8FCCD9" w14:textId="77777777" w:rsidR="00375569" w:rsidRPr="00BC7DA5" w:rsidRDefault="00375569" w:rsidP="003D210E">
            <w:pPr>
              <w:pStyle w:val="08-Tabelageral"/>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00B27355" w14:textId="77777777" w:rsidR="00375569" w:rsidRPr="00BC7DA5" w:rsidRDefault="00375569" w:rsidP="003D210E">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58FF4255" w14:textId="77777777" w:rsidR="00375569" w:rsidRPr="00BC7DA5" w:rsidRDefault="00375569" w:rsidP="003D210E">
            <w:pPr>
              <w:pStyle w:val="08-Tabelageral"/>
              <w:rPr>
                <w:rFonts w:cs="Arial"/>
                <w:szCs w:val="14"/>
              </w:rPr>
            </w:pPr>
            <w:r>
              <w:rPr>
                <w:rFonts w:cs="Arial"/>
                <w:szCs w:val="14"/>
              </w:rPr>
              <w:t>3.859</w:t>
            </w:r>
          </w:p>
        </w:tc>
        <w:tc>
          <w:tcPr>
            <w:tcW w:w="1412" w:type="dxa"/>
            <w:tcBorders>
              <w:top w:val="nil"/>
              <w:bottom w:val="single" w:sz="2" w:space="0" w:color="1F4E79" w:themeColor="accent1" w:themeShade="80"/>
            </w:tcBorders>
            <w:shd w:val="clear" w:color="auto" w:fill="auto"/>
          </w:tcPr>
          <w:p w14:paraId="53A08CC9" w14:textId="77777777" w:rsidR="00375569" w:rsidRPr="00BC7DA5" w:rsidRDefault="00375569" w:rsidP="003D210E">
            <w:pPr>
              <w:pStyle w:val="08-Tabelageral"/>
              <w:rPr>
                <w:rFonts w:cs="Arial"/>
              </w:rPr>
            </w:pPr>
            <w:r>
              <w:rPr>
                <w:rFonts w:cs="Arial"/>
              </w:rPr>
              <w:t>9.534</w:t>
            </w:r>
          </w:p>
        </w:tc>
        <w:tc>
          <w:tcPr>
            <w:tcW w:w="283" w:type="dxa"/>
            <w:tcBorders>
              <w:top w:val="nil"/>
              <w:bottom w:val="single" w:sz="2" w:space="0" w:color="1F4E79" w:themeColor="accent1" w:themeShade="80"/>
            </w:tcBorders>
            <w:shd w:val="clear" w:color="auto" w:fill="auto"/>
          </w:tcPr>
          <w:p w14:paraId="5145D6CE" w14:textId="77777777" w:rsidR="00375569" w:rsidRPr="00BC7DA5" w:rsidRDefault="00375569" w:rsidP="003D210E">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7F4E8A3A" w14:textId="77777777" w:rsidR="00375569" w:rsidRPr="00BC7DA5" w:rsidRDefault="00375569" w:rsidP="003D210E">
            <w:pPr>
              <w:pStyle w:val="08-Tabelageral"/>
              <w:rPr>
                <w:rFonts w:cs="Arial"/>
                <w:szCs w:val="14"/>
              </w:rPr>
            </w:pPr>
            <w:r>
              <w:rPr>
                <w:rFonts w:cs="Arial"/>
                <w:szCs w:val="14"/>
              </w:rPr>
              <w:t>(4.824)</w:t>
            </w:r>
          </w:p>
        </w:tc>
        <w:tc>
          <w:tcPr>
            <w:tcW w:w="1418" w:type="dxa"/>
            <w:tcBorders>
              <w:top w:val="nil"/>
              <w:bottom w:val="single" w:sz="2" w:space="0" w:color="1F4E79" w:themeColor="accent1" w:themeShade="80"/>
            </w:tcBorders>
            <w:shd w:val="clear" w:color="auto" w:fill="auto"/>
          </w:tcPr>
          <w:p w14:paraId="0319DAC5" w14:textId="77777777" w:rsidR="00375569" w:rsidRPr="00BC7DA5" w:rsidRDefault="00375569" w:rsidP="003D210E">
            <w:pPr>
              <w:pStyle w:val="08-Tabelageral"/>
              <w:rPr>
                <w:rFonts w:cs="Arial"/>
                <w:szCs w:val="14"/>
              </w:rPr>
            </w:pPr>
            <w:r>
              <w:rPr>
                <w:rFonts w:cs="Arial"/>
                <w:szCs w:val="14"/>
              </w:rPr>
              <w:t>8.569</w:t>
            </w:r>
          </w:p>
        </w:tc>
      </w:tr>
    </w:tbl>
    <w:p w14:paraId="3584E123" w14:textId="77777777" w:rsidR="00375569" w:rsidRDefault="00375569">
      <w:pPr>
        <w:rPr>
          <w:rFonts w:cs="Arial"/>
          <w:b/>
          <w:color w:val="1F4E79" w:themeColor="accent1" w:themeShade="80"/>
          <w:szCs w:val="18"/>
        </w:rPr>
      </w:pPr>
    </w:p>
    <w:p w14:paraId="45BDDE3F" w14:textId="77777777" w:rsidR="00375569" w:rsidRPr="00034C98" w:rsidRDefault="00375569" w:rsidP="00D061BE">
      <w:pPr>
        <w:keepNext/>
        <w:keepLines/>
        <w:spacing w:after="40"/>
        <w:rPr>
          <w:rFonts w:cs="Arial"/>
          <w:b/>
          <w:color w:val="1F4E79" w:themeColor="accent1" w:themeShade="80"/>
          <w:sz w:val="20"/>
          <w:szCs w:val="20"/>
        </w:rPr>
      </w:pPr>
      <w:r w:rsidRPr="00034C98">
        <w:rPr>
          <w:rFonts w:cs="Arial"/>
          <w:b/>
          <w:color w:val="1F4E79" w:themeColor="accent1" w:themeShade="80"/>
          <w:sz w:val="20"/>
          <w:szCs w:val="20"/>
        </w:rPr>
        <w:t>f) Expectativa de Realização</w:t>
      </w:r>
    </w:p>
    <w:p w14:paraId="2003EB42" w14:textId="77777777" w:rsidR="00375569" w:rsidRPr="00FF3D4B" w:rsidRDefault="00375569" w:rsidP="005B40B4">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786B75" w14:paraId="2F83DF23" w14:textId="77777777" w:rsidTr="00725333">
        <w:trPr>
          <w:trHeight w:val="238"/>
          <w:jc w:val="center"/>
        </w:trPr>
        <w:tc>
          <w:tcPr>
            <w:tcW w:w="3094" w:type="dxa"/>
            <w:tcBorders>
              <w:top w:val="single" w:sz="2" w:space="0" w:color="1F4E79" w:themeColor="accent1" w:themeShade="80"/>
              <w:bottom w:val="nil"/>
            </w:tcBorders>
            <w:shd w:val="clear" w:color="auto" w:fill="auto"/>
          </w:tcPr>
          <w:p w14:paraId="51650AAF" w14:textId="77777777" w:rsidR="00375569" w:rsidRPr="00786B75" w:rsidRDefault="00375569" w:rsidP="00D061BE">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2C57AEE5" w14:textId="77777777" w:rsidR="00375569" w:rsidRPr="00786B75" w:rsidRDefault="00375569" w:rsidP="00D061BE">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3ADD606F" w14:textId="77777777" w:rsidR="00375569" w:rsidRPr="00786B75" w:rsidRDefault="00375569" w:rsidP="00D061BE">
            <w:pPr>
              <w:keepNext/>
              <w:keepLines/>
              <w:spacing w:after="0"/>
              <w:jc w:val="center"/>
              <w:rPr>
                <w:rFonts w:cs="Arial"/>
                <w:b/>
                <w:sz w:val="14"/>
                <w:szCs w:val="18"/>
              </w:rPr>
            </w:pPr>
            <w:r w:rsidRPr="00786B75">
              <w:rPr>
                <w:rFonts w:cs="Arial"/>
                <w:b/>
                <w:sz w:val="14"/>
                <w:szCs w:val="18"/>
              </w:rPr>
              <w:t>Controlador</w:t>
            </w:r>
          </w:p>
        </w:tc>
        <w:tc>
          <w:tcPr>
            <w:tcW w:w="283" w:type="dxa"/>
            <w:tcBorders>
              <w:top w:val="single" w:sz="2" w:space="0" w:color="1F4E79" w:themeColor="accent1" w:themeShade="80"/>
              <w:bottom w:val="nil"/>
            </w:tcBorders>
            <w:shd w:val="clear" w:color="auto" w:fill="auto"/>
          </w:tcPr>
          <w:p w14:paraId="59C9429D" w14:textId="77777777" w:rsidR="00375569" w:rsidRPr="00786B75" w:rsidRDefault="00375569" w:rsidP="00D061BE">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tcPr>
          <w:p w14:paraId="190D5508" w14:textId="77777777" w:rsidR="00375569" w:rsidRPr="00786B75" w:rsidRDefault="00375569" w:rsidP="00D061BE">
            <w:pPr>
              <w:keepNext/>
              <w:keepLines/>
              <w:spacing w:after="0"/>
              <w:jc w:val="center"/>
              <w:rPr>
                <w:rFonts w:cs="Arial"/>
                <w:b/>
                <w:szCs w:val="18"/>
              </w:rPr>
            </w:pPr>
            <w:r w:rsidRPr="00786B75">
              <w:rPr>
                <w:rFonts w:cs="Arial"/>
                <w:b/>
                <w:sz w:val="14"/>
                <w:szCs w:val="18"/>
              </w:rPr>
              <w:t>Consolidado</w:t>
            </w:r>
          </w:p>
        </w:tc>
      </w:tr>
      <w:tr w:rsidR="00375569" w:rsidRPr="00786B75" w14:paraId="595356AC" w14:textId="77777777" w:rsidTr="00725333">
        <w:trPr>
          <w:trHeight w:val="238"/>
          <w:jc w:val="center"/>
        </w:trPr>
        <w:tc>
          <w:tcPr>
            <w:tcW w:w="3094" w:type="dxa"/>
            <w:tcBorders>
              <w:top w:val="nil"/>
              <w:bottom w:val="single" w:sz="2" w:space="0" w:color="1F4E79" w:themeColor="accent1" w:themeShade="80"/>
            </w:tcBorders>
            <w:shd w:val="clear" w:color="auto" w:fill="auto"/>
          </w:tcPr>
          <w:p w14:paraId="71140346" w14:textId="77777777" w:rsidR="00375569" w:rsidRPr="00786B75" w:rsidRDefault="00375569" w:rsidP="00D061BE">
            <w:pPr>
              <w:pStyle w:val="08-Tabelageral"/>
              <w:rPr>
                <w:rFonts w:cs="Arial"/>
                <w:b/>
              </w:rPr>
            </w:pPr>
          </w:p>
        </w:tc>
        <w:tc>
          <w:tcPr>
            <w:tcW w:w="604" w:type="dxa"/>
            <w:tcBorders>
              <w:top w:val="nil"/>
              <w:bottom w:val="single" w:sz="2" w:space="0" w:color="1F4E79" w:themeColor="accent1" w:themeShade="80"/>
            </w:tcBorders>
            <w:shd w:val="clear" w:color="auto" w:fill="auto"/>
          </w:tcPr>
          <w:p w14:paraId="27CE9229" w14:textId="77777777" w:rsidR="00375569" w:rsidRPr="00786B75" w:rsidRDefault="00375569" w:rsidP="00D061B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3ACA00F1" w14:textId="77777777" w:rsidR="00375569" w:rsidRPr="00786B75" w:rsidRDefault="00375569" w:rsidP="00D061BE">
            <w:pPr>
              <w:pStyle w:val="08-Tabelageral"/>
              <w:rPr>
                <w:rFonts w:cs="Arial"/>
                <w:b/>
              </w:rPr>
            </w:pPr>
            <w:r w:rsidRPr="00786B75">
              <w:rPr>
                <w:rFonts w:cs="Arial"/>
                <w:b/>
              </w:rPr>
              <w:t>Valor Nominal</w:t>
            </w:r>
          </w:p>
        </w:tc>
        <w:tc>
          <w:tcPr>
            <w:tcW w:w="1412" w:type="dxa"/>
            <w:tcBorders>
              <w:top w:val="single" w:sz="2" w:space="0" w:color="1F4E79" w:themeColor="accent1" w:themeShade="80"/>
              <w:bottom w:val="single" w:sz="2" w:space="0" w:color="1F4E79" w:themeColor="accent1" w:themeShade="80"/>
            </w:tcBorders>
            <w:shd w:val="clear" w:color="auto" w:fill="auto"/>
          </w:tcPr>
          <w:p w14:paraId="7292F36A" w14:textId="77777777" w:rsidR="00375569" w:rsidRPr="00786B75" w:rsidRDefault="00375569" w:rsidP="00D061BE">
            <w:pPr>
              <w:pStyle w:val="08-Tabelageral"/>
              <w:rPr>
                <w:rFonts w:cs="Arial"/>
                <w:b/>
              </w:rPr>
            </w:pPr>
            <w:r w:rsidRPr="00786B75">
              <w:rPr>
                <w:rFonts w:cs="Arial"/>
                <w:b/>
              </w:rPr>
              <w:t>Valor Presente</w:t>
            </w:r>
          </w:p>
        </w:tc>
        <w:tc>
          <w:tcPr>
            <w:tcW w:w="283" w:type="dxa"/>
            <w:tcBorders>
              <w:top w:val="nil"/>
              <w:bottom w:val="single" w:sz="2" w:space="0" w:color="1F4E79" w:themeColor="accent1" w:themeShade="80"/>
            </w:tcBorders>
            <w:shd w:val="clear" w:color="auto" w:fill="auto"/>
          </w:tcPr>
          <w:p w14:paraId="0A912FDC" w14:textId="77777777" w:rsidR="00375569" w:rsidRPr="00786B75" w:rsidRDefault="00375569" w:rsidP="00D061BE">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7EE5B241" w14:textId="77777777" w:rsidR="00375569" w:rsidRPr="00786B75" w:rsidRDefault="00375569" w:rsidP="00D061BE">
            <w:pPr>
              <w:pStyle w:val="08-Tabelageral"/>
              <w:rPr>
                <w:rFonts w:cs="Arial"/>
                <w:b/>
              </w:rPr>
            </w:pPr>
            <w:r w:rsidRPr="00786B75">
              <w:rPr>
                <w:rFonts w:cs="Arial"/>
                <w:b/>
              </w:rPr>
              <w:t>Valor Nominal</w:t>
            </w:r>
          </w:p>
        </w:tc>
        <w:tc>
          <w:tcPr>
            <w:tcW w:w="1418" w:type="dxa"/>
            <w:tcBorders>
              <w:top w:val="single" w:sz="2" w:space="0" w:color="1F4E79" w:themeColor="accent1" w:themeShade="80"/>
              <w:bottom w:val="single" w:sz="2" w:space="0" w:color="1F4E79" w:themeColor="accent1" w:themeShade="80"/>
            </w:tcBorders>
            <w:shd w:val="clear" w:color="auto" w:fill="auto"/>
          </w:tcPr>
          <w:p w14:paraId="4CF475AD" w14:textId="77777777" w:rsidR="00375569" w:rsidRPr="00786B75" w:rsidRDefault="00375569" w:rsidP="00D061BE">
            <w:pPr>
              <w:pStyle w:val="08-Tabelageral"/>
              <w:rPr>
                <w:rFonts w:cs="Arial"/>
                <w:b/>
              </w:rPr>
            </w:pPr>
            <w:r w:rsidRPr="00786B75">
              <w:rPr>
                <w:rFonts w:cs="Arial"/>
                <w:b/>
              </w:rPr>
              <w:t>Valor Presente</w:t>
            </w:r>
          </w:p>
        </w:tc>
      </w:tr>
      <w:tr w:rsidR="00375569" w:rsidRPr="00786B75" w14:paraId="6D112495" w14:textId="77777777" w:rsidTr="00725333">
        <w:trPr>
          <w:trHeight w:val="238"/>
          <w:jc w:val="center"/>
        </w:trPr>
        <w:tc>
          <w:tcPr>
            <w:tcW w:w="3094" w:type="dxa"/>
            <w:tcBorders>
              <w:top w:val="single" w:sz="2" w:space="0" w:color="1F4E79" w:themeColor="accent1" w:themeShade="80"/>
            </w:tcBorders>
            <w:shd w:val="clear" w:color="auto" w:fill="auto"/>
          </w:tcPr>
          <w:p w14:paraId="6D30E2BE" w14:textId="77777777" w:rsidR="00375569" w:rsidRPr="00786B75" w:rsidRDefault="00375569" w:rsidP="00523862">
            <w:pPr>
              <w:pStyle w:val="08-Tabelageral"/>
              <w:ind w:left="113"/>
              <w:jc w:val="left"/>
              <w:rPr>
                <w:rFonts w:cs="Arial"/>
                <w:szCs w:val="14"/>
              </w:rPr>
            </w:pPr>
            <w:r w:rsidRPr="00786B75">
              <w:rPr>
                <w:rFonts w:cs="Arial"/>
                <w:szCs w:val="14"/>
              </w:rPr>
              <w:t>Em 202</w:t>
            </w:r>
            <w:r>
              <w:rPr>
                <w:rFonts w:cs="Arial"/>
                <w:szCs w:val="14"/>
              </w:rPr>
              <w:t>2</w:t>
            </w:r>
          </w:p>
        </w:tc>
        <w:tc>
          <w:tcPr>
            <w:tcW w:w="604" w:type="dxa"/>
            <w:tcBorders>
              <w:top w:val="single" w:sz="2" w:space="0" w:color="1F4E79" w:themeColor="accent1" w:themeShade="80"/>
            </w:tcBorders>
            <w:shd w:val="clear" w:color="auto" w:fill="auto"/>
          </w:tcPr>
          <w:p w14:paraId="07778033" w14:textId="77777777" w:rsidR="00375569" w:rsidRPr="00786B75" w:rsidRDefault="00375569" w:rsidP="00D061BE">
            <w:pPr>
              <w:pStyle w:val="08-Tabelageral"/>
              <w:ind w:left="113"/>
              <w:jc w:val="center"/>
              <w:rPr>
                <w:rFonts w:cs="Arial"/>
                <w:szCs w:val="14"/>
              </w:rPr>
            </w:pPr>
          </w:p>
        </w:tc>
        <w:tc>
          <w:tcPr>
            <w:tcW w:w="1411" w:type="dxa"/>
            <w:tcBorders>
              <w:top w:val="single" w:sz="2" w:space="0" w:color="1F4E79" w:themeColor="accent1" w:themeShade="80"/>
            </w:tcBorders>
            <w:shd w:val="clear" w:color="auto" w:fill="auto"/>
          </w:tcPr>
          <w:p w14:paraId="0E7DCAAB" w14:textId="77777777" w:rsidR="00375569" w:rsidRPr="00786B75" w:rsidRDefault="00375569" w:rsidP="00D061BE">
            <w:pPr>
              <w:pStyle w:val="08-Tabelageral"/>
              <w:ind w:left="113"/>
              <w:rPr>
                <w:rFonts w:cs="Arial"/>
                <w:szCs w:val="14"/>
              </w:rPr>
            </w:pPr>
            <w:r>
              <w:rPr>
                <w:rFonts w:cs="Arial"/>
                <w:szCs w:val="14"/>
              </w:rPr>
              <w:t>10</w:t>
            </w:r>
          </w:p>
        </w:tc>
        <w:tc>
          <w:tcPr>
            <w:tcW w:w="1412" w:type="dxa"/>
            <w:tcBorders>
              <w:top w:val="single" w:sz="2" w:space="0" w:color="1F4E79" w:themeColor="accent1" w:themeShade="80"/>
            </w:tcBorders>
            <w:shd w:val="clear" w:color="auto" w:fill="auto"/>
          </w:tcPr>
          <w:p w14:paraId="0AD4C70F" w14:textId="77777777" w:rsidR="00375569" w:rsidRPr="00786B75" w:rsidRDefault="00375569" w:rsidP="00D061BE">
            <w:pPr>
              <w:pStyle w:val="08-Tabelageral"/>
              <w:rPr>
                <w:rFonts w:cs="Arial"/>
              </w:rPr>
            </w:pPr>
            <w:r>
              <w:rPr>
                <w:rFonts w:cs="Arial"/>
              </w:rPr>
              <w:t>8</w:t>
            </w:r>
          </w:p>
        </w:tc>
        <w:tc>
          <w:tcPr>
            <w:tcW w:w="283" w:type="dxa"/>
            <w:tcBorders>
              <w:top w:val="single" w:sz="2" w:space="0" w:color="1F4E79" w:themeColor="accent1" w:themeShade="80"/>
            </w:tcBorders>
            <w:shd w:val="clear" w:color="auto" w:fill="auto"/>
          </w:tcPr>
          <w:p w14:paraId="1FE54220" w14:textId="77777777" w:rsidR="00375569" w:rsidRPr="00786B75" w:rsidRDefault="00375569" w:rsidP="00D061BE">
            <w:pPr>
              <w:pStyle w:val="08-Tabelageral"/>
              <w:ind w:left="113"/>
              <w:rPr>
                <w:rFonts w:cs="Arial"/>
                <w:szCs w:val="14"/>
              </w:rPr>
            </w:pPr>
          </w:p>
        </w:tc>
        <w:tc>
          <w:tcPr>
            <w:tcW w:w="1417" w:type="dxa"/>
            <w:tcBorders>
              <w:top w:val="single" w:sz="2" w:space="0" w:color="1F4E79" w:themeColor="accent1" w:themeShade="80"/>
            </w:tcBorders>
            <w:shd w:val="clear" w:color="auto" w:fill="auto"/>
          </w:tcPr>
          <w:p w14:paraId="39267787" w14:textId="77777777" w:rsidR="00375569" w:rsidRPr="00786B75" w:rsidRDefault="00375569" w:rsidP="00D061BE">
            <w:pPr>
              <w:pStyle w:val="08-Tabelageral"/>
              <w:ind w:left="113"/>
              <w:rPr>
                <w:rFonts w:cs="Arial"/>
                <w:szCs w:val="14"/>
              </w:rPr>
            </w:pPr>
            <w:r>
              <w:rPr>
                <w:rFonts w:cs="Arial"/>
                <w:szCs w:val="14"/>
              </w:rPr>
              <w:t>10</w:t>
            </w:r>
          </w:p>
        </w:tc>
        <w:tc>
          <w:tcPr>
            <w:tcW w:w="1418" w:type="dxa"/>
            <w:tcBorders>
              <w:top w:val="single" w:sz="2" w:space="0" w:color="1F4E79" w:themeColor="accent1" w:themeShade="80"/>
            </w:tcBorders>
            <w:shd w:val="clear" w:color="auto" w:fill="auto"/>
          </w:tcPr>
          <w:p w14:paraId="13C44ED6" w14:textId="77777777" w:rsidR="00375569" w:rsidRPr="00786B75" w:rsidRDefault="00375569" w:rsidP="00D061BE">
            <w:pPr>
              <w:pStyle w:val="08-Tabelageral"/>
              <w:rPr>
                <w:rFonts w:cs="Arial"/>
              </w:rPr>
            </w:pPr>
            <w:r>
              <w:rPr>
                <w:rFonts w:cs="Arial"/>
              </w:rPr>
              <w:t>8</w:t>
            </w:r>
          </w:p>
        </w:tc>
      </w:tr>
      <w:tr w:rsidR="00375569" w:rsidRPr="00786B75" w14:paraId="487F6267" w14:textId="77777777" w:rsidTr="00725333">
        <w:trPr>
          <w:trHeight w:val="238"/>
          <w:jc w:val="center"/>
        </w:trPr>
        <w:tc>
          <w:tcPr>
            <w:tcW w:w="3094" w:type="dxa"/>
            <w:shd w:val="clear" w:color="auto" w:fill="auto"/>
          </w:tcPr>
          <w:p w14:paraId="45B554DA" w14:textId="77777777" w:rsidR="00375569" w:rsidRPr="00786B75" w:rsidRDefault="00375569" w:rsidP="00523862">
            <w:pPr>
              <w:pStyle w:val="08-Tabelageral"/>
              <w:ind w:left="113"/>
              <w:jc w:val="left"/>
              <w:rPr>
                <w:rFonts w:cs="Arial"/>
                <w:szCs w:val="14"/>
              </w:rPr>
            </w:pPr>
            <w:r w:rsidRPr="00786B75">
              <w:rPr>
                <w:rFonts w:cs="Arial"/>
                <w:szCs w:val="14"/>
              </w:rPr>
              <w:t>Em 202</w:t>
            </w:r>
            <w:r>
              <w:rPr>
                <w:rFonts w:cs="Arial"/>
                <w:szCs w:val="14"/>
              </w:rPr>
              <w:t>3</w:t>
            </w:r>
          </w:p>
        </w:tc>
        <w:tc>
          <w:tcPr>
            <w:tcW w:w="604" w:type="dxa"/>
            <w:shd w:val="clear" w:color="auto" w:fill="auto"/>
          </w:tcPr>
          <w:p w14:paraId="5884F840" w14:textId="77777777" w:rsidR="00375569" w:rsidRPr="00786B75" w:rsidRDefault="00375569" w:rsidP="00D061BE">
            <w:pPr>
              <w:pStyle w:val="08-Tabelageral"/>
              <w:ind w:left="113"/>
              <w:jc w:val="center"/>
              <w:rPr>
                <w:rFonts w:cs="Arial"/>
                <w:szCs w:val="14"/>
              </w:rPr>
            </w:pPr>
          </w:p>
        </w:tc>
        <w:tc>
          <w:tcPr>
            <w:tcW w:w="1411" w:type="dxa"/>
            <w:shd w:val="clear" w:color="auto" w:fill="auto"/>
          </w:tcPr>
          <w:p w14:paraId="00348CEA" w14:textId="77777777" w:rsidR="00375569" w:rsidRPr="00786B75" w:rsidRDefault="00375569" w:rsidP="00D061BE">
            <w:pPr>
              <w:pStyle w:val="08-Tabelageral"/>
              <w:ind w:left="113"/>
              <w:rPr>
                <w:rFonts w:cs="Arial"/>
                <w:szCs w:val="14"/>
              </w:rPr>
            </w:pPr>
            <w:r>
              <w:rPr>
                <w:rFonts w:cs="Arial"/>
                <w:szCs w:val="14"/>
              </w:rPr>
              <w:t>--</w:t>
            </w:r>
          </w:p>
        </w:tc>
        <w:tc>
          <w:tcPr>
            <w:tcW w:w="1412" w:type="dxa"/>
            <w:shd w:val="clear" w:color="auto" w:fill="auto"/>
          </w:tcPr>
          <w:p w14:paraId="7B0EA26E" w14:textId="77777777" w:rsidR="00375569" w:rsidRPr="00786B75" w:rsidRDefault="00375569" w:rsidP="00D061BE">
            <w:pPr>
              <w:pStyle w:val="08-Tabelageral"/>
              <w:rPr>
                <w:rFonts w:cs="Arial"/>
              </w:rPr>
            </w:pPr>
            <w:r>
              <w:rPr>
                <w:rFonts w:cs="Arial"/>
              </w:rPr>
              <w:t>--</w:t>
            </w:r>
          </w:p>
        </w:tc>
        <w:tc>
          <w:tcPr>
            <w:tcW w:w="283" w:type="dxa"/>
            <w:shd w:val="clear" w:color="auto" w:fill="auto"/>
          </w:tcPr>
          <w:p w14:paraId="7B7A435B" w14:textId="77777777" w:rsidR="00375569" w:rsidRPr="00786B75" w:rsidRDefault="00375569" w:rsidP="00D061BE">
            <w:pPr>
              <w:pStyle w:val="08-Tabelageral"/>
              <w:ind w:left="113"/>
              <w:rPr>
                <w:rFonts w:cs="Arial"/>
                <w:szCs w:val="14"/>
              </w:rPr>
            </w:pPr>
          </w:p>
        </w:tc>
        <w:tc>
          <w:tcPr>
            <w:tcW w:w="1417" w:type="dxa"/>
            <w:shd w:val="clear" w:color="auto" w:fill="auto"/>
          </w:tcPr>
          <w:p w14:paraId="1C76E9C7" w14:textId="77777777" w:rsidR="00375569" w:rsidRPr="00786B75" w:rsidRDefault="00375569" w:rsidP="00D061BE">
            <w:pPr>
              <w:pStyle w:val="08-Tabelageral"/>
              <w:ind w:left="113"/>
              <w:rPr>
                <w:rFonts w:cs="Arial"/>
                <w:szCs w:val="14"/>
              </w:rPr>
            </w:pPr>
            <w:r>
              <w:rPr>
                <w:rFonts w:cs="Arial"/>
                <w:szCs w:val="14"/>
              </w:rPr>
              <w:t>32.058</w:t>
            </w:r>
          </w:p>
        </w:tc>
        <w:tc>
          <w:tcPr>
            <w:tcW w:w="1418" w:type="dxa"/>
            <w:shd w:val="clear" w:color="auto" w:fill="auto"/>
          </w:tcPr>
          <w:p w14:paraId="18F34A8A" w14:textId="77777777" w:rsidR="00375569" w:rsidRPr="00786B75" w:rsidRDefault="00375569" w:rsidP="00D061BE">
            <w:pPr>
              <w:pStyle w:val="08-Tabelageral"/>
              <w:rPr>
                <w:rFonts w:cs="Arial"/>
              </w:rPr>
            </w:pPr>
            <w:r>
              <w:rPr>
                <w:rFonts w:cs="Arial"/>
              </w:rPr>
              <w:t>24.741</w:t>
            </w:r>
          </w:p>
        </w:tc>
      </w:tr>
      <w:tr w:rsidR="00375569" w:rsidRPr="00786B75" w14:paraId="1A27F3B1" w14:textId="77777777" w:rsidTr="00725333">
        <w:trPr>
          <w:trHeight w:val="238"/>
          <w:jc w:val="center"/>
        </w:trPr>
        <w:tc>
          <w:tcPr>
            <w:tcW w:w="3094" w:type="dxa"/>
            <w:shd w:val="clear" w:color="auto" w:fill="auto"/>
          </w:tcPr>
          <w:p w14:paraId="59EEF431" w14:textId="77777777" w:rsidR="00375569" w:rsidRPr="00786B75" w:rsidRDefault="00375569" w:rsidP="00523862">
            <w:pPr>
              <w:pStyle w:val="08-Tabelageral"/>
              <w:ind w:left="113"/>
              <w:jc w:val="left"/>
              <w:rPr>
                <w:rFonts w:cs="Arial"/>
                <w:szCs w:val="14"/>
              </w:rPr>
            </w:pPr>
            <w:r w:rsidRPr="00786B75">
              <w:rPr>
                <w:rFonts w:cs="Arial"/>
                <w:szCs w:val="14"/>
              </w:rPr>
              <w:t>Em 202</w:t>
            </w:r>
            <w:r>
              <w:rPr>
                <w:rFonts w:cs="Arial"/>
                <w:szCs w:val="14"/>
              </w:rPr>
              <w:t>4</w:t>
            </w:r>
          </w:p>
        </w:tc>
        <w:tc>
          <w:tcPr>
            <w:tcW w:w="604" w:type="dxa"/>
            <w:shd w:val="clear" w:color="auto" w:fill="auto"/>
          </w:tcPr>
          <w:p w14:paraId="3F1ACF6C" w14:textId="77777777" w:rsidR="00375569" w:rsidRPr="00786B75" w:rsidRDefault="00375569" w:rsidP="00D061BE">
            <w:pPr>
              <w:pStyle w:val="08-Tabelageral"/>
              <w:ind w:left="113"/>
              <w:jc w:val="center"/>
              <w:rPr>
                <w:rFonts w:cs="Arial"/>
                <w:szCs w:val="14"/>
              </w:rPr>
            </w:pPr>
          </w:p>
        </w:tc>
        <w:tc>
          <w:tcPr>
            <w:tcW w:w="1411" w:type="dxa"/>
            <w:shd w:val="clear" w:color="auto" w:fill="auto"/>
          </w:tcPr>
          <w:p w14:paraId="029430FD" w14:textId="77777777" w:rsidR="00375569" w:rsidRPr="00786B75" w:rsidRDefault="00375569" w:rsidP="00D061BE">
            <w:pPr>
              <w:pStyle w:val="08-Tabelageral"/>
              <w:ind w:left="113"/>
              <w:rPr>
                <w:rFonts w:cs="Arial"/>
                <w:szCs w:val="14"/>
              </w:rPr>
            </w:pPr>
            <w:r>
              <w:rPr>
                <w:rFonts w:cs="Arial"/>
                <w:szCs w:val="14"/>
              </w:rPr>
              <w:t>--</w:t>
            </w:r>
          </w:p>
        </w:tc>
        <w:tc>
          <w:tcPr>
            <w:tcW w:w="1412" w:type="dxa"/>
            <w:shd w:val="clear" w:color="auto" w:fill="auto"/>
          </w:tcPr>
          <w:p w14:paraId="0A2809B8" w14:textId="77777777" w:rsidR="00375569" w:rsidRPr="00786B75" w:rsidRDefault="00375569" w:rsidP="00D061BE">
            <w:pPr>
              <w:pStyle w:val="08-Tabelageral"/>
              <w:rPr>
                <w:rFonts w:cs="Arial"/>
              </w:rPr>
            </w:pPr>
            <w:r>
              <w:rPr>
                <w:rFonts w:cs="Arial"/>
              </w:rPr>
              <w:t>--</w:t>
            </w:r>
          </w:p>
        </w:tc>
        <w:tc>
          <w:tcPr>
            <w:tcW w:w="283" w:type="dxa"/>
            <w:shd w:val="clear" w:color="auto" w:fill="auto"/>
          </w:tcPr>
          <w:p w14:paraId="3D0986FA" w14:textId="77777777" w:rsidR="00375569" w:rsidRPr="00786B75" w:rsidRDefault="00375569" w:rsidP="00D061BE">
            <w:pPr>
              <w:pStyle w:val="08-Tabelageral"/>
              <w:ind w:left="113"/>
              <w:rPr>
                <w:rFonts w:cs="Arial"/>
                <w:szCs w:val="14"/>
              </w:rPr>
            </w:pPr>
          </w:p>
        </w:tc>
        <w:tc>
          <w:tcPr>
            <w:tcW w:w="1417" w:type="dxa"/>
            <w:shd w:val="clear" w:color="auto" w:fill="auto"/>
          </w:tcPr>
          <w:p w14:paraId="318BF8F5" w14:textId="77777777" w:rsidR="00375569" w:rsidRPr="00786B75" w:rsidRDefault="00375569" w:rsidP="00D061BE">
            <w:pPr>
              <w:pStyle w:val="08-Tabelageral"/>
              <w:ind w:left="113"/>
              <w:rPr>
                <w:rFonts w:cs="Arial"/>
                <w:szCs w:val="14"/>
              </w:rPr>
            </w:pPr>
            <w:r>
              <w:rPr>
                <w:rFonts w:cs="Arial"/>
                <w:szCs w:val="14"/>
              </w:rPr>
              <w:t>--</w:t>
            </w:r>
          </w:p>
        </w:tc>
        <w:tc>
          <w:tcPr>
            <w:tcW w:w="1418" w:type="dxa"/>
            <w:shd w:val="clear" w:color="auto" w:fill="auto"/>
          </w:tcPr>
          <w:p w14:paraId="61DA98E2" w14:textId="77777777" w:rsidR="00375569" w:rsidRPr="00786B75" w:rsidRDefault="00375569" w:rsidP="00D061BE">
            <w:pPr>
              <w:pStyle w:val="08-Tabelageral"/>
              <w:rPr>
                <w:rFonts w:cs="Arial"/>
              </w:rPr>
            </w:pPr>
            <w:r>
              <w:rPr>
                <w:rFonts w:cs="Arial"/>
              </w:rPr>
              <w:t>--</w:t>
            </w:r>
          </w:p>
        </w:tc>
      </w:tr>
      <w:tr w:rsidR="00375569" w:rsidRPr="00786B75" w14:paraId="6F89E508" w14:textId="77777777" w:rsidTr="00725333">
        <w:trPr>
          <w:trHeight w:val="238"/>
          <w:jc w:val="center"/>
        </w:trPr>
        <w:tc>
          <w:tcPr>
            <w:tcW w:w="3094" w:type="dxa"/>
            <w:shd w:val="clear" w:color="auto" w:fill="auto"/>
          </w:tcPr>
          <w:p w14:paraId="09BC7BC3" w14:textId="77777777" w:rsidR="00375569" w:rsidRPr="00786B75" w:rsidRDefault="00375569" w:rsidP="00523862">
            <w:pPr>
              <w:pStyle w:val="08-Tabelageral"/>
              <w:ind w:left="113"/>
              <w:jc w:val="left"/>
              <w:rPr>
                <w:rFonts w:cs="Arial"/>
                <w:szCs w:val="14"/>
              </w:rPr>
            </w:pPr>
            <w:r w:rsidRPr="00786B75">
              <w:rPr>
                <w:rFonts w:cs="Arial"/>
                <w:szCs w:val="14"/>
              </w:rPr>
              <w:t>Em 202</w:t>
            </w:r>
            <w:r>
              <w:rPr>
                <w:rFonts w:cs="Arial"/>
                <w:szCs w:val="14"/>
              </w:rPr>
              <w:t>5</w:t>
            </w:r>
          </w:p>
        </w:tc>
        <w:tc>
          <w:tcPr>
            <w:tcW w:w="604" w:type="dxa"/>
            <w:shd w:val="clear" w:color="auto" w:fill="auto"/>
          </w:tcPr>
          <w:p w14:paraId="1EE48CA2" w14:textId="77777777" w:rsidR="00375569" w:rsidRPr="00786B75" w:rsidRDefault="00375569" w:rsidP="00D061BE">
            <w:pPr>
              <w:pStyle w:val="08-Tabelageral"/>
              <w:ind w:left="113"/>
              <w:jc w:val="center"/>
              <w:rPr>
                <w:rFonts w:cs="Arial"/>
                <w:szCs w:val="14"/>
              </w:rPr>
            </w:pPr>
          </w:p>
        </w:tc>
        <w:tc>
          <w:tcPr>
            <w:tcW w:w="1411" w:type="dxa"/>
            <w:shd w:val="clear" w:color="auto" w:fill="auto"/>
          </w:tcPr>
          <w:p w14:paraId="40F3DD72" w14:textId="77777777" w:rsidR="00375569" w:rsidRPr="00786B75" w:rsidRDefault="00375569" w:rsidP="00D061BE">
            <w:pPr>
              <w:pStyle w:val="08-Tabelageral"/>
              <w:ind w:left="113"/>
              <w:rPr>
                <w:rFonts w:cs="Arial"/>
                <w:szCs w:val="14"/>
              </w:rPr>
            </w:pPr>
            <w:r>
              <w:rPr>
                <w:rFonts w:cs="Arial"/>
                <w:szCs w:val="14"/>
              </w:rPr>
              <w:t>--</w:t>
            </w:r>
          </w:p>
        </w:tc>
        <w:tc>
          <w:tcPr>
            <w:tcW w:w="1412" w:type="dxa"/>
            <w:shd w:val="clear" w:color="auto" w:fill="auto"/>
          </w:tcPr>
          <w:p w14:paraId="668339E6" w14:textId="77777777" w:rsidR="00375569" w:rsidRPr="00786B75" w:rsidRDefault="00375569" w:rsidP="00D061BE">
            <w:pPr>
              <w:pStyle w:val="08-Tabelageral"/>
              <w:rPr>
                <w:rFonts w:cs="Arial"/>
              </w:rPr>
            </w:pPr>
            <w:r>
              <w:rPr>
                <w:rFonts w:cs="Arial"/>
              </w:rPr>
              <w:t>--</w:t>
            </w:r>
          </w:p>
        </w:tc>
        <w:tc>
          <w:tcPr>
            <w:tcW w:w="283" w:type="dxa"/>
            <w:shd w:val="clear" w:color="auto" w:fill="auto"/>
          </w:tcPr>
          <w:p w14:paraId="53512470" w14:textId="77777777" w:rsidR="00375569" w:rsidRPr="00786B75" w:rsidRDefault="00375569" w:rsidP="00D061BE">
            <w:pPr>
              <w:pStyle w:val="08-Tabelageral"/>
              <w:ind w:left="113"/>
              <w:rPr>
                <w:rFonts w:cs="Arial"/>
                <w:szCs w:val="14"/>
              </w:rPr>
            </w:pPr>
          </w:p>
        </w:tc>
        <w:tc>
          <w:tcPr>
            <w:tcW w:w="1417" w:type="dxa"/>
            <w:shd w:val="clear" w:color="auto" w:fill="auto"/>
          </w:tcPr>
          <w:p w14:paraId="6AEFCE80" w14:textId="77777777" w:rsidR="00375569" w:rsidRPr="00786B75" w:rsidRDefault="00375569" w:rsidP="00D061BE">
            <w:pPr>
              <w:pStyle w:val="08-Tabelageral"/>
              <w:ind w:left="113"/>
              <w:rPr>
                <w:rFonts w:cs="Arial"/>
                <w:szCs w:val="14"/>
              </w:rPr>
            </w:pPr>
            <w:r>
              <w:rPr>
                <w:rFonts w:cs="Arial"/>
                <w:szCs w:val="14"/>
              </w:rPr>
              <w:t>--</w:t>
            </w:r>
          </w:p>
        </w:tc>
        <w:tc>
          <w:tcPr>
            <w:tcW w:w="1418" w:type="dxa"/>
            <w:shd w:val="clear" w:color="auto" w:fill="auto"/>
          </w:tcPr>
          <w:p w14:paraId="0CD20156" w14:textId="77777777" w:rsidR="00375569" w:rsidRPr="00786B75" w:rsidRDefault="00375569" w:rsidP="00D061BE">
            <w:pPr>
              <w:pStyle w:val="08-Tabelageral"/>
              <w:rPr>
                <w:rFonts w:cs="Arial"/>
              </w:rPr>
            </w:pPr>
            <w:r>
              <w:rPr>
                <w:rFonts w:cs="Arial"/>
              </w:rPr>
              <w:t>--</w:t>
            </w:r>
          </w:p>
        </w:tc>
      </w:tr>
      <w:tr w:rsidR="00375569" w:rsidRPr="00786B75" w14:paraId="4B71DB14" w14:textId="77777777" w:rsidTr="00725333">
        <w:trPr>
          <w:trHeight w:val="238"/>
          <w:jc w:val="center"/>
        </w:trPr>
        <w:tc>
          <w:tcPr>
            <w:tcW w:w="3094" w:type="dxa"/>
            <w:shd w:val="clear" w:color="auto" w:fill="auto"/>
          </w:tcPr>
          <w:p w14:paraId="182444DE" w14:textId="77777777" w:rsidR="00375569" w:rsidRPr="00786B75" w:rsidRDefault="00375569" w:rsidP="00523862">
            <w:pPr>
              <w:pStyle w:val="08-Tabelageral"/>
              <w:ind w:left="113"/>
              <w:jc w:val="left"/>
              <w:rPr>
                <w:rFonts w:cs="Arial"/>
                <w:szCs w:val="14"/>
              </w:rPr>
            </w:pPr>
            <w:r w:rsidRPr="00786B75">
              <w:rPr>
                <w:rFonts w:cs="Arial"/>
                <w:szCs w:val="14"/>
              </w:rPr>
              <w:t>Em 202</w:t>
            </w:r>
            <w:r>
              <w:rPr>
                <w:rFonts w:cs="Arial"/>
                <w:szCs w:val="14"/>
              </w:rPr>
              <w:t>6</w:t>
            </w:r>
          </w:p>
        </w:tc>
        <w:tc>
          <w:tcPr>
            <w:tcW w:w="604" w:type="dxa"/>
            <w:shd w:val="clear" w:color="auto" w:fill="auto"/>
          </w:tcPr>
          <w:p w14:paraId="4272ADEC" w14:textId="77777777" w:rsidR="00375569" w:rsidRPr="00786B75" w:rsidRDefault="00375569" w:rsidP="00D061BE">
            <w:pPr>
              <w:pStyle w:val="08-Tabelageral"/>
              <w:ind w:left="113"/>
              <w:jc w:val="center"/>
              <w:rPr>
                <w:rFonts w:cs="Arial"/>
                <w:szCs w:val="14"/>
              </w:rPr>
            </w:pPr>
          </w:p>
        </w:tc>
        <w:tc>
          <w:tcPr>
            <w:tcW w:w="1411" w:type="dxa"/>
            <w:shd w:val="clear" w:color="auto" w:fill="auto"/>
          </w:tcPr>
          <w:p w14:paraId="44871631" w14:textId="77777777" w:rsidR="00375569" w:rsidRPr="00786B75" w:rsidRDefault="00375569" w:rsidP="00D061BE">
            <w:pPr>
              <w:pStyle w:val="08-Tabelageral"/>
              <w:ind w:left="113"/>
              <w:rPr>
                <w:rFonts w:cs="Arial"/>
                <w:szCs w:val="14"/>
              </w:rPr>
            </w:pPr>
            <w:r>
              <w:rPr>
                <w:rFonts w:cs="Arial"/>
                <w:szCs w:val="14"/>
              </w:rPr>
              <w:t>--</w:t>
            </w:r>
          </w:p>
        </w:tc>
        <w:tc>
          <w:tcPr>
            <w:tcW w:w="1412" w:type="dxa"/>
            <w:shd w:val="clear" w:color="auto" w:fill="auto"/>
          </w:tcPr>
          <w:p w14:paraId="0D6B3F61" w14:textId="77777777" w:rsidR="00375569" w:rsidRPr="00786B75" w:rsidRDefault="00375569" w:rsidP="00D061BE">
            <w:pPr>
              <w:pStyle w:val="08-Tabelageral"/>
              <w:rPr>
                <w:rFonts w:cs="Arial"/>
              </w:rPr>
            </w:pPr>
            <w:r>
              <w:rPr>
                <w:rFonts w:cs="Arial"/>
              </w:rPr>
              <w:t>--</w:t>
            </w:r>
          </w:p>
        </w:tc>
        <w:tc>
          <w:tcPr>
            <w:tcW w:w="283" w:type="dxa"/>
            <w:shd w:val="clear" w:color="auto" w:fill="auto"/>
          </w:tcPr>
          <w:p w14:paraId="666B1D17" w14:textId="77777777" w:rsidR="00375569" w:rsidRPr="00786B75" w:rsidRDefault="00375569" w:rsidP="00D061BE">
            <w:pPr>
              <w:pStyle w:val="08-Tabelageral"/>
              <w:ind w:left="113"/>
              <w:rPr>
                <w:rFonts w:cs="Arial"/>
                <w:szCs w:val="14"/>
              </w:rPr>
            </w:pPr>
          </w:p>
        </w:tc>
        <w:tc>
          <w:tcPr>
            <w:tcW w:w="1417" w:type="dxa"/>
            <w:shd w:val="clear" w:color="auto" w:fill="auto"/>
          </w:tcPr>
          <w:p w14:paraId="3647E5AE" w14:textId="77777777" w:rsidR="00375569" w:rsidRPr="00786B75" w:rsidRDefault="00375569" w:rsidP="00D061BE">
            <w:pPr>
              <w:pStyle w:val="08-Tabelageral"/>
              <w:ind w:left="113"/>
              <w:rPr>
                <w:rFonts w:cs="Arial"/>
                <w:szCs w:val="14"/>
              </w:rPr>
            </w:pPr>
            <w:r>
              <w:rPr>
                <w:rFonts w:cs="Arial"/>
                <w:szCs w:val="14"/>
              </w:rPr>
              <w:t>--</w:t>
            </w:r>
          </w:p>
        </w:tc>
        <w:tc>
          <w:tcPr>
            <w:tcW w:w="1418" w:type="dxa"/>
            <w:shd w:val="clear" w:color="auto" w:fill="auto"/>
          </w:tcPr>
          <w:p w14:paraId="7F431461" w14:textId="77777777" w:rsidR="00375569" w:rsidRPr="00786B75" w:rsidRDefault="00375569" w:rsidP="00D061BE">
            <w:pPr>
              <w:pStyle w:val="08-Tabelageral"/>
              <w:rPr>
                <w:rFonts w:cs="Arial"/>
              </w:rPr>
            </w:pPr>
            <w:r>
              <w:rPr>
                <w:rFonts w:cs="Arial"/>
              </w:rPr>
              <w:t>--</w:t>
            </w:r>
          </w:p>
        </w:tc>
      </w:tr>
      <w:tr w:rsidR="00375569" w:rsidRPr="00786B75" w14:paraId="24F933FD" w14:textId="77777777" w:rsidTr="00725333">
        <w:trPr>
          <w:trHeight w:val="238"/>
          <w:jc w:val="center"/>
        </w:trPr>
        <w:tc>
          <w:tcPr>
            <w:tcW w:w="3094" w:type="dxa"/>
            <w:tcBorders>
              <w:bottom w:val="nil"/>
            </w:tcBorders>
            <w:shd w:val="clear" w:color="auto" w:fill="auto"/>
          </w:tcPr>
          <w:p w14:paraId="69EE6242" w14:textId="77777777" w:rsidR="00375569" w:rsidRPr="00786B75" w:rsidRDefault="00375569" w:rsidP="00523862">
            <w:pPr>
              <w:pStyle w:val="08-Tabelageral"/>
              <w:ind w:left="113"/>
              <w:jc w:val="left"/>
              <w:rPr>
                <w:rFonts w:cs="Arial"/>
                <w:szCs w:val="14"/>
              </w:rPr>
            </w:pPr>
            <w:r w:rsidRPr="00786B75">
              <w:rPr>
                <w:rFonts w:cs="Arial"/>
                <w:szCs w:val="14"/>
              </w:rPr>
              <w:t>Após 202</w:t>
            </w:r>
            <w:r>
              <w:rPr>
                <w:rFonts w:cs="Arial"/>
                <w:szCs w:val="14"/>
              </w:rPr>
              <w:t>6</w:t>
            </w:r>
          </w:p>
        </w:tc>
        <w:tc>
          <w:tcPr>
            <w:tcW w:w="604" w:type="dxa"/>
            <w:tcBorders>
              <w:bottom w:val="nil"/>
            </w:tcBorders>
            <w:shd w:val="clear" w:color="auto" w:fill="auto"/>
          </w:tcPr>
          <w:p w14:paraId="793C6F91" w14:textId="77777777" w:rsidR="00375569" w:rsidRPr="00786B75" w:rsidRDefault="00375569" w:rsidP="00D061BE">
            <w:pPr>
              <w:pStyle w:val="08-Tabelageral"/>
              <w:jc w:val="center"/>
              <w:rPr>
                <w:rFonts w:cs="Arial"/>
                <w:szCs w:val="14"/>
              </w:rPr>
            </w:pPr>
          </w:p>
        </w:tc>
        <w:tc>
          <w:tcPr>
            <w:tcW w:w="1411" w:type="dxa"/>
            <w:tcBorders>
              <w:bottom w:val="nil"/>
            </w:tcBorders>
            <w:shd w:val="clear" w:color="auto" w:fill="auto"/>
          </w:tcPr>
          <w:p w14:paraId="1E90F59B" w14:textId="77777777" w:rsidR="00375569" w:rsidRPr="00786B75" w:rsidRDefault="00375569" w:rsidP="00D061BE">
            <w:pPr>
              <w:pStyle w:val="08-Tabelageral"/>
              <w:rPr>
                <w:rFonts w:cs="Arial"/>
                <w:szCs w:val="14"/>
              </w:rPr>
            </w:pPr>
            <w:r>
              <w:rPr>
                <w:rFonts w:cs="Arial"/>
                <w:szCs w:val="14"/>
              </w:rPr>
              <w:t>--</w:t>
            </w:r>
          </w:p>
        </w:tc>
        <w:tc>
          <w:tcPr>
            <w:tcW w:w="1412" w:type="dxa"/>
            <w:tcBorders>
              <w:bottom w:val="nil"/>
            </w:tcBorders>
            <w:shd w:val="clear" w:color="auto" w:fill="auto"/>
          </w:tcPr>
          <w:p w14:paraId="3A2AEC63" w14:textId="77777777" w:rsidR="00375569" w:rsidRPr="00786B75" w:rsidRDefault="00375569" w:rsidP="00D061BE">
            <w:pPr>
              <w:pStyle w:val="08-Tabelageral"/>
              <w:rPr>
                <w:rFonts w:cs="Arial"/>
              </w:rPr>
            </w:pPr>
            <w:r>
              <w:rPr>
                <w:rFonts w:cs="Arial"/>
              </w:rPr>
              <w:t>--</w:t>
            </w:r>
          </w:p>
        </w:tc>
        <w:tc>
          <w:tcPr>
            <w:tcW w:w="283" w:type="dxa"/>
            <w:tcBorders>
              <w:bottom w:val="nil"/>
            </w:tcBorders>
            <w:shd w:val="clear" w:color="auto" w:fill="auto"/>
          </w:tcPr>
          <w:p w14:paraId="1BBB6AD5" w14:textId="77777777" w:rsidR="00375569" w:rsidRPr="00786B75" w:rsidRDefault="00375569" w:rsidP="00D061BE">
            <w:pPr>
              <w:pStyle w:val="08-Tabelageral"/>
              <w:rPr>
                <w:rFonts w:cs="Arial"/>
                <w:szCs w:val="14"/>
              </w:rPr>
            </w:pPr>
          </w:p>
        </w:tc>
        <w:tc>
          <w:tcPr>
            <w:tcW w:w="1417" w:type="dxa"/>
            <w:tcBorders>
              <w:bottom w:val="nil"/>
            </w:tcBorders>
            <w:shd w:val="clear" w:color="auto" w:fill="auto"/>
          </w:tcPr>
          <w:p w14:paraId="7FFE312F" w14:textId="77777777" w:rsidR="00375569" w:rsidRPr="00786B75" w:rsidRDefault="00375569" w:rsidP="00D061BE">
            <w:pPr>
              <w:pStyle w:val="08-Tabelageral"/>
              <w:rPr>
                <w:rFonts w:cs="Arial"/>
                <w:szCs w:val="14"/>
              </w:rPr>
            </w:pPr>
            <w:r>
              <w:rPr>
                <w:rFonts w:cs="Arial"/>
                <w:szCs w:val="14"/>
              </w:rPr>
              <w:t>3.352</w:t>
            </w:r>
          </w:p>
        </w:tc>
        <w:tc>
          <w:tcPr>
            <w:tcW w:w="1418" w:type="dxa"/>
            <w:tcBorders>
              <w:bottom w:val="nil"/>
            </w:tcBorders>
            <w:shd w:val="clear" w:color="auto" w:fill="auto"/>
          </w:tcPr>
          <w:p w14:paraId="55B1E709" w14:textId="77777777" w:rsidR="00375569" w:rsidRPr="00786B75" w:rsidRDefault="00375569" w:rsidP="00D061BE">
            <w:pPr>
              <w:pStyle w:val="08-Tabelageral"/>
              <w:rPr>
                <w:rFonts w:cs="Arial"/>
              </w:rPr>
            </w:pPr>
            <w:r>
              <w:rPr>
                <w:rFonts w:cs="Arial"/>
              </w:rPr>
              <w:t>1.541</w:t>
            </w:r>
          </w:p>
        </w:tc>
      </w:tr>
      <w:tr w:rsidR="00375569" w:rsidRPr="00786B75" w14:paraId="05D07101" w14:textId="77777777" w:rsidTr="00725333">
        <w:trPr>
          <w:trHeight w:val="238"/>
          <w:jc w:val="center"/>
        </w:trPr>
        <w:tc>
          <w:tcPr>
            <w:tcW w:w="3094" w:type="dxa"/>
            <w:tcBorders>
              <w:top w:val="nil"/>
              <w:bottom w:val="single" w:sz="2" w:space="0" w:color="1F4E79" w:themeColor="accent1" w:themeShade="80"/>
            </w:tcBorders>
            <w:shd w:val="clear" w:color="auto" w:fill="auto"/>
          </w:tcPr>
          <w:p w14:paraId="074C4416" w14:textId="77777777" w:rsidR="00375569" w:rsidRPr="00786B75" w:rsidRDefault="00375569" w:rsidP="00D061BE">
            <w:pPr>
              <w:pStyle w:val="08-Tabelageral"/>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13DCA4EF" w14:textId="77777777" w:rsidR="00375569" w:rsidRPr="00786B75" w:rsidRDefault="00375569" w:rsidP="00D061BE">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tcPr>
          <w:p w14:paraId="12B02D5C" w14:textId="77777777" w:rsidR="00375569" w:rsidRPr="00786B75" w:rsidRDefault="00375569" w:rsidP="00D061BE">
            <w:pPr>
              <w:pStyle w:val="08-Tabelageral"/>
              <w:rPr>
                <w:rFonts w:cs="Arial"/>
                <w:b/>
                <w:szCs w:val="14"/>
              </w:rPr>
            </w:pPr>
            <w:r>
              <w:rPr>
                <w:rFonts w:cs="Arial"/>
                <w:b/>
                <w:szCs w:val="14"/>
              </w:rPr>
              <w:t>10</w:t>
            </w:r>
          </w:p>
        </w:tc>
        <w:tc>
          <w:tcPr>
            <w:tcW w:w="1412" w:type="dxa"/>
            <w:tcBorders>
              <w:top w:val="nil"/>
              <w:bottom w:val="single" w:sz="2" w:space="0" w:color="1F4E79" w:themeColor="accent1" w:themeShade="80"/>
            </w:tcBorders>
            <w:shd w:val="clear" w:color="auto" w:fill="auto"/>
          </w:tcPr>
          <w:p w14:paraId="0BC8CF4F" w14:textId="77777777" w:rsidR="00375569" w:rsidRPr="00786B75" w:rsidRDefault="00375569" w:rsidP="00D061BE">
            <w:pPr>
              <w:pStyle w:val="08-Tabelageral"/>
              <w:rPr>
                <w:rFonts w:cs="Arial"/>
                <w:b/>
              </w:rPr>
            </w:pPr>
            <w:r>
              <w:rPr>
                <w:rFonts w:cs="Arial"/>
                <w:b/>
              </w:rPr>
              <w:t>8</w:t>
            </w:r>
          </w:p>
        </w:tc>
        <w:tc>
          <w:tcPr>
            <w:tcW w:w="283" w:type="dxa"/>
            <w:tcBorders>
              <w:top w:val="nil"/>
              <w:bottom w:val="single" w:sz="2" w:space="0" w:color="1F4E79" w:themeColor="accent1" w:themeShade="80"/>
            </w:tcBorders>
            <w:shd w:val="clear" w:color="auto" w:fill="auto"/>
          </w:tcPr>
          <w:p w14:paraId="31C5B59C" w14:textId="77777777" w:rsidR="00375569" w:rsidRPr="00786B75" w:rsidRDefault="00375569" w:rsidP="00D061BE">
            <w:pPr>
              <w:pStyle w:val="08-Tabelageral"/>
              <w:rPr>
                <w:rFonts w:cs="Arial"/>
                <w:b/>
                <w:szCs w:val="14"/>
              </w:rPr>
            </w:pPr>
          </w:p>
        </w:tc>
        <w:tc>
          <w:tcPr>
            <w:tcW w:w="1417" w:type="dxa"/>
            <w:tcBorders>
              <w:top w:val="nil"/>
              <w:bottom w:val="single" w:sz="2" w:space="0" w:color="1F4E79" w:themeColor="accent1" w:themeShade="80"/>
            </w:tcBorders>
            <w:shd w:val="clear" w:color="auto" w:fill="auto"/>
          </w:tcPr>
          <w:p w14:paraId="08D4E616" w14:textId="77777777" w:rsidR="00375569" w:rsidRPr="00786B75" w:rsidRDefault="00375569" w:rsidP="00D061BE">
            <w:pPr>
              <w:pStyle w:val="08-Tabelageral"/>
              <w:rPr>
                <w:rFonts w:cs="Arial"/>
                <w:b/>
                <w:szCs w:val="14"/>
              </w:rPr>
            </w:pPr>
            <w:r>
              <w:rPr>
                <w:rFonts w:cs="Arial"/>
                <w:b/>
                <w:szCs w:val="14"/>
              </w:rPr>
              <w:t>35.420</w:t>
            </w:r>
          </w:p>
        </w:tc>
        <w:tc>
          <w:tcPr>
            <w:tcW w:w="1418" w:type="dxa"/>
            <w:tcBorders>
              <w:top w:val="nil"/>
              <w:bottom w:val="single" w:sz="2" w:space="0" w:color="1F4E79" w:themeColor="accent1" w:themeShade="80"/>
            </w:tcBorders>
            <w:shd w:val="clear" w:color="auto" w:fill="auto"/>
          </w:tcPr>
          <w:p w14:paraId="6A8B873F" w14:textId="77777777" w:rsidR="00375569" w:rsidRPr="00786B75" w:rsidRDefault="00375569" w:rsidP="00D061BE">
            <w:pPr>
              <w:pStyle w:val="08-Tabelageral"/>
              <w:rPr>
                <w:rFonts w:cs="Arial"/>
                <w:b/>
              </w:rPr>
            </w:pPr>
            <w:r>
              <w:rPr>
                <w:rFonts w:cs="Arial"/>
                <w:b/>
              </w:rPr>
              <w:t>26.290</w:t>
            </w:r>
          </w:p>
        </w:tc>
      </w:tr>
    </w:tbl>
    <w:p w14:paraId="288BE32B" w14:textId="77777777" w:rsidR="00375569" w:rsidRDefault="00375569" w:rsidP="00D061BE">
      <w:pPr>
        <w:pStyle w:val="05-Textonormal"/>
        <w:keepNext/>
        <w:keepLines/>
      </w:pPr>
      <w:r>
        <w:t xml:space="preserve">A expectativa de realização dos ativos fiscais diferidos (créditos tributários) respalda-se em estudo </w:t>
      </w:r>
      <w:r w:rsidRPr="00B70DAA">
        <w:t xml:space="preserve">técnico </w:t>
      </w:r>
      <w:r>
        <w:t>elaborado para a data base de</w:t>
      </w:r>
      <w:r w:rsidRPr="00B70DAA">
        <w:t xml:space="preserve"> </w:t>
      </w:r>
      <w:r w:rsidRPr="00881F10">
        <w:t>31.12.2021,</w:t>
      </w:r>
      <w:r w:rsidRPr="00B70DAA">
        <w:t xml:space="preserve"> sendo o valor presente</w:t>
      </w:r>
      <w:r>
        <w:t xml:space="preserve"> descontado da Taxa Média Selic (TMS) projetada para cada período de apuração.</w:t>
      </w:r>
    </w:p>
    <w:p w14:paraId="1996BE1E" w14:textId="4A84AC5B" w:rsidR="00375569" w:rsidRDefault="00375569" w:rsidP="00D061BE">
      <w:pPr>
        <w:pStyle w:val="05-Textonormal"/>
        <w:keepNext/>
        <w:keepLines/>
        <w:rPr>
          <w:rFonts w:cs="Arial"/>
        </w:rPr>
      </w:pPr>
      <w:r>
        <w:rPr>
          <w:rFonts w:cs="Arial"/>
        </w:rPr>
        <w:t xml:space="preserve">Durante o exercício de 2021, </w:t>
      </w:r>
      <w:r w:rsidRPr="00EF1D87">
        <w:rPr>
          <w:rFonts w:cs="Arial"/>
        </w:rPr>
        <w:t xml:space="preserve">observou-se a realização de parte dos créditos tributários no montante de R$ </w:t>
      </w:r>
      <w:r>
        <w:rPr>
          <w:rFonts w:cs="Arial"/>
        </w:rPr>
        <w:t xml:space="preserve">1.315 </w:t>
      </w:r>
      <w:r w:rsidRPr="00EF1D87">
        <w:rPr>
          <w:rFonts w:cs="Arial"/>
        </w:rPr>
        <w:t xml:space="preserve">mil no controlador e de R$ </w:t>
      </w:r>
      <w:r>
        <w:rPr>
          <w:rFonts w:cs="Arial"/>
        </w:rPr>
        <w:t>18.230</w:t>
      </w:r>
      <w:r w:rsidRPr="00EF1D87">
        <w:rPr>
          <w:rFonts w:cs="Arial"/>
        </w:rPr>
        <w:t xml:space="preserve"> mil no consolidado.</w:t>
      </w:r>
    </w:p>
    <w:p w14:paraId="5ED5051C" w14:textId="77777777" w:rsidR="00725333" w:rsidRDefault="00725333" w:rsidP="00D061BE">
      <w:pPr>
        <w:pStyle w:val="05-Textonormal"/>
        <w:keepNext/>
        <w:keepLines/>
        <w:rPr>
          <w:rFonts w:cs="Arial"/>
        </w:rPr>
      </w:pPr>
    </w:p>
    <w:p w14:paraId="4708420A" w14:textId="77777777" w:rsidR="00375569" w:rsidRPr="00034C98" w:rsidRDefault="00375569" w:rsidP="00AF39FB">
      <w:pPr>
        <w:keepNext/>
        <w:keepLines/>
        <w:spacing w:after="40"/>
        <w:rPr>
          <w:rFonts w:cs="Arial"/>
          <w:b/>
          <w:color w:val="1F4E79" w:themeColor="accent1" w:themeShade="80"/>
          <w:sz w:val="20"/>
          <w:szCs w:val="20"/>
        </w:rPr>
      </w:pPr>
      <w:r w:rsidRPr="00034C98">
        <w:rPr>
          <w:rFonts w:cs="Arial"/>
          <w:b/>
          <w:color w:val="1F4E79" w:themeColor="accent1" w:themeShade="80"/>
          <w:sz w:val="20"/>
          <w:szCs w:val="20"/>
        </w:rPr>
        <w:t>g) Passivos por Impostos Correntes</w:t>
      </w:r>
    </w:p>
    <w:p w14:paraId="22DA5BDE" w14:textId="77777777" w:rsidR="00375569" w:rsidRPr="00FF3D4B" w:rsidRDefault="00375569" w:rsidP="00AF39FB">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375569" w:rsidRPr="00E16069" w14:paraId="19EB703C" w14:textId="77777777" w:rsidTr="00725333">
        <w:trPr>
          <w:trHeight w:val="238"/>
          <w:jc w:val="center"/>
        </w:trPr>
        <w:tc>
          <w:tcPr>
            <w:tcW w:w="3402" w:type="dxa"/>
            <w:tcBorders>
              <w:top w:val="single" w:sz="2" w:space="0" w:color="1F4E79" w:themeColor="accent1" w:themeShade="80"/>
              <w:bottom w:val="nil"/>
            </w:tcBorders>
            <w:shd w:val="clear" w:color="auto" w:fill="auto"/>
          </w:tcPr>
          <w:p w14:paraId="2E030C25" w14:textId="77777777" w:rsidR="00375569" w:rsidRPr="00E16069" w:rsidRDefault="00375569" w:rsidP="00AF39FB">
            <w:pPr>
              <w:keepNext/>
              <w:keepLines/>
              <w:spacing w:after="0"/>
              <w:jc w:val="center"/>
              <w:rPr>
                <w:rFonts w:cs="Arial"/>
                <w:b/>
                <w:szCs w:val="18"/>
              </w:rPr>
            </w:pPr>
          </w:p>
        </w:tc>
        <w:tc>
          <w:tcPr>
            <w:tcW w:w="296" w:type="dxa"/>
            <w:tcBorders>
              <w:top w:val="single" w:sz="2" w:space="0" w:color="1F4E79" w:themeColor="accent1" w:themeShade="80"/>
              <w:bottom w:val="nil"/>
            </w:tcBorders>
            <w:shd w:val="clear" w:color="auto" w:fill="auto"/>
          </w:tcPr>
          <w:p w14:paraId="45F5BFA2" w14:textId="77777777" w:rsidR="00375569" w:rsidRPr="00E16069" w:rsidRDefault="00375569" w:rsidP="00AF39FB">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7FC57BAB" w14:textId="77777777" w:rsidR="00375569" w:rsidRPr="00E16069" w:rsidRDefault="00375569" w:rsidP="00AF39FB">
            <w:pPr>
              <w:keepNext/>
              <w:keepLines/>
              <w:spacing w:after="0"/>
              <w:jc w:val="center"/>
              <w:rPr>
                <w:rFonts w:cs="Arial"/>
                <w:b/>
                <w:sz w:val="14"/>
                <w:szCs w:val="18"/>
              </w:rPr>
            </w:pPr>
            <w:r w:rsidRPr="00E16069">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6265CCF" w14:textId="77777777" w:rsidR="00375569" w:rsidRPr="00E16069" w:rsidRDefault="00375569" w:rsidP="00AF39FB">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8C35DA0" w14:textId="77777777" w:rsidR="00375569" w:rsidRPr="00E16069" w:rsidRDefault="00375569" w:rsidP="00B1137D">
            <w:pPr>
              <w:keepNext/>
              <w:keepLines/>
              <w:spacing w:after="0"/>
              <w:jc w:val="center"/>
              <w:rPr>
                <w:rFonts w:cs="Arial"/>
                <w:b/>
                <w:szCs w:val="18"/>
                <w:vertAlign w:val="superscript"/>
              </w:rPr>
            </w:pPr>
            <w:r w:rsidRPr="00E16069">
              <w:rPr>
                <w:rFonts w:cs="Arial"/>
                <w:b/>
                <w:sz w:val="14"/>
                <w:szCs w:val="18"/>
              </w:rPr>
              <w:t>Consolidado</w:t>
            </w:r>
          </w:p>
        </w:tc>
      </w:tr>
      <w:tr w:rsidR="00375569" w:rsidRPr="00E16069" w14:paraId="31E3FE89" w14:textId="77777777" w:rsidTr="00725333">
        <w:trPr>
          <w:trHeight w:val="238"/>
          <w:jc w:val="center"/>
        </w:trPr>
        <w:tc>
          <w:tcPr>
            <w:tcW w:w="3402" w:type="dxa"/>
            <w:tcBorders>
              <w:top w:val="nil"/>
              <w:bottom w:val="single" w:sz="2" w:space="0" w:color="1F4E79" w:themeColor="accent1" w:themeShade="80"/>
            </w:tcBorders>
            <w:shd w:val="clear" w:color="auto" w:fill="auto"/>
          </w:tcPr>
          <w:p w14:paraId="783D6E9B" w14:textId="77777777" w:rsidR="00375569" w:rsidRPr="00E16069" w:rsidRDefault="00375569" w:rsidP="00AF39FB">
            <w:pPr>
              <w:pStyle w:val="08-Tabelageral"/>
              <w:rPr>
                <w:rFonts w:cs="Arial"/>
                <w:b/>
              </w:rPr>
            </w:pPr>
          </w:p>
        </w:tc>
        <w:tc>
          <w:tcPr>
            <w:tcW w:w="296" w:type="dxa"/>
            <w:tcBorders>
              <w:top w:val="nil"/>
              <w:bottom w:val="single" w:sz="2" w:space="0" w:color="1F4E79" w:themeColor="accent1" w:themeShade="80"/>
            </w:tcBorders>
            <w:shd w:val="clear" w:color="auto" w:fill="auto"/>
          </w:tcPr>
          <w:p w14:paraId="67C93514" w14:textId="77777777" w:rsidR="00375569" w:rsidRPr="00E16069" w:rsidRDefault="00375569" w:rsidP="00AF39FB">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D063B60" w14:textId="77777777" w:rsidR="00375569" w:rsidRPr="00E16069" w:rsidRDefault="00375569" w:rsidP="00B1210F">
            <w:pPr>
              <w:pStyle w:val="08-Tabelageral"/>
              <w:rPr>
                <w:rFonts w:cs="Arial"/>
                <w:b/>
                <w:vertAlign w:val="superscript"/>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320960F" w14:textId="77777777" w:rsidR="00375569" w:rsidRPr="00E16069" w:rsidRDefault="00375569" w:rsidP="00B1137D">
            <w:pPr>
              <w:pStyle w:val="08-Tabelageral"/>
              <w:rPr>
                <w:rFonts w:cs="Arial"/>
                <w:b/>
                <w:vertAlign w:val="superscript"/>
              </w:rPr>
            </w:pPr>
            <w:r w:rsidRPr="00E16069">
              <w:rPr>
                <w:rFonts w:cs="Arial"/>
                <w:b/>
              </w:rPr>
              <w:t>31.12.20</w:t>
            </w:r>
            <w:r>
              <w:rPr>
                <w:rFonts w:cs="Arial"/>
                <w:b/>
              </w:rPr>
              <w:t>20</w:t>
            </w:r>
          </w:p>
        </w:tc>
        <w:tc>
          <w:tcPr>
            <w:tcW w:w="283" w:type="dxa"/>
            <w:tcBorders>
              <w:top w:val="nil"/>
              <w:bottom w:val="single" w:sz="2" w:space="0" w:color="1F4E79" w:themeColor="accent1" w:themeShade="80"/>
            </w:tcBorders>
            <w:shd w:val="clear" w:color="auto" w:fill="auto"/>
            <w:vAlign w:val="center"/>
          </w:tcPr>
          <w:p w14:paraId="7429A286" w14:textId="77777777" w:rsidR="00375569" w:rsidRPr="00E16069" w:rsidRDefault="00375569" w:rsidP="00AF39FB">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C4CF027" w14:textId="77777777" w:rsidR="00375569" w:rsidRPr="00E16069" w:rsidRDefault="00375569" w:rsidP="00B1210F">
            <w:pPr>
              <w:pStyle w:val="08-Tabelageral"/>
              <w:rPr>
                <w:rFonts w:cs="Arial"/>
                <w:b/>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EA60394" w14:textId="77777777" w:rsidR="00375569" w:rsidRPr="00E16069" w:rsidRDefault="00375569" w:rsidP="00B1137D">
            <w:pPr>
              <w:pStyle w:val="08-Tabelageral"/>
              <w:rPr>
                <w:rFonts w:cs="Arial"/>
                <w:b/>
              </w:rPr>
            </w:pPr>
            <w:r w:rsidRPr="00E16069">
              <w:rPr>
                <w:rFonts w:cs="Arial"/>
                <w:b/>
              </w:rPr>
              <w:t>31.12.20</w:t>
            </w:r>
            <w:r>
              <w:rPr>
                <w:rFonts w:cs="Arial"/>
                <w:b/>
              </w:rPr>
              <w:t>20</w:t>
            </w:r>
          </w:p>
        </w:tc>
      </w:tr>
      <w:tr w:rsidR="00375569" w:rsidRPr="00E16069" w14:paraId="345896DE" w14:textId="77777777" w:rsidTr="00725333">
        <w:trPr>
          <w:trHeight w:val="238"/>
          <w:jc w:val="center"/>
        </w:trPr>
        <w:tc>
          <w:tcPr>
            <w:tcW w:w="3402" w:type="dxa"/>
            <w:tcBorders>
              <w:top w:val="single" w:sz="2" w:space="0" w:color="1F4E79" w:themeColor="accent1" w:themeShade="80"/>
            </w:tcBorders>
            <w:shd w:val="clear" w:color="auto" w:fill="auto"/>
          </w:tcPr>
          <w:p w14:paraId="12A8A956" w14:textId="77777777" w:rsidR="00375569" w:rsidRPr="00E16069" w:rsidRDefault="00375569" w:rsidP="00B1137D">
            <w:pPr>
              <w:pStyle w:val="08-Tabelageral"/>
              <w:ind w:left="113"/>
              <w:jc w:val="left"/>
              <w:rPr>
                <w:rFonts w:cs="Arial"/>
                <w:szCs w:val="14"/>
              </w:rPr>
            </w:pPr>
            <w:r w:rsidRPr="00E16069">
              <w:rPr>
                <w:rFonts w:cs="Arial"/>
                <w:szCs w:val="14"/>
              </w:rPr>
              <w:t>Imposto de renda</w:t>
            </w:r>
          </w:p>
        </w:tc>
        <w:tc>
          <w:tcPr>
            <w:tcW w:w="296" w:type="dxa"/>
            <w:tcBorders>
              <w:top w:val="single" w:sz="2" w:space="0" w:color="1F4E79" w:themeColor="accent1" w:themeShade="80"/>
            </w:tcBorders>
            <w:shd w:val="clear" w:color="auto" w:fill="auto"/>
          </w:tcPr>
          <w:p w14:paraId="6B74FA5E" w14:textId="77777777" w:rsidR="00375569" w:rsidRPr="00E16069" w:rsidRDefault="00375569" w:rsidP="00B1137D">
            <w:pPr>
              <w:pStyle w:val="08-Tabelageral"/>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01B5D5D9" w14:textId="77777777" w:rsidR="00375569" w:rsidRPr="00E16069" w:rsidRDefault="00375569" w:rsidP="00B1137D">
            <w:pPr>
              <w:pStyle w:val="08-Tabelageral"/>
              <w:ind w:left="113"/>
              <w:rPr>
                <w:rFonts w:cs="Arial"/>
                <w:szCs w:val="14"/>
              </w:rPr>
            </w:pPr>
            <w:r>
              <w:rPr>
                <w:rFonts w:cs="Arial"/>
                <w:szCs w:val="14"/>
              </w:rPr>
              <w:t>346</w:t>
            </w:r>
          </w:p>
        </w:tc>
        <w:tc>
          <w:tcPr>
            <w:tcW w:w="1412" w:type="dxa"/>
            <w:tcBorders>
              <w:top w:val="single" w:sz="2" w:space="0" w:color="1F4E79" w:themeColor="accent1" w:themeShade="80"/>
            </w:tcBorders>
            <w:shd w:val="clear" w:color="auto" w:fill="auto"/>
            <w:vAlign w:val="center"/>
          </w:tcPr>
          <w:p w14:paraId="37D99650" w14:textId="77777777" w:rsidR="00375569" w:rsidRPr="00E16069" w:rsidRDefault="00375569" w:rsidP="00B1137D">
            <w:pPr>
              <w:pStyle w:val="08-Tabelageral"/>
              <w:ind w:left="113"/>
              <w:rPr>
                <w:rFonts w:cs="Arial"/>
                <w:szCs w:val="14"/>
              </w:rPr>
            </w:pPr>
            <w:r>
              <w:rPr>
                <w:rFonts w:cs="Arial"/>
                <w:szCs w:val="14"/>
              </w:rPr>
              <w:t>--</w:t>
            </w:r>
          </w:p>
        </w:tc>
        <w:tc>
          <w:tcPr>
            <w:tcW w:w="283" w:type="dxa"/>
            <w:tcBorders>
              <w:top w:val="single" w:sz="2" w:space="0" w:color="1F4E79" w:themeColor="accent1" w:themeShade="80"/>
            </w:tcBorders>
            <w:shd w:val="clear" w:color="auto" w:fill="auto"/>
            <w:vAlign w:val="center"/>
          </w:tcPr>
          <w:p w14:paraId="3168428C" w14:textId="77777777" w:rsidR="00375569" w:rsidRPr="00E16069" w:rsidRDefault="00375569" w:rsidP="00B1137D">
            <w:pPr>
              <w:pStyle w:val="08-Tabelageral"/>
              <w:ind w:left="113"/>
              <w:rPr>
                <w:rFonts w:cs="Arial"/>
                <w:szCs w:val="14"/>
              </w:rPr>
            </w:pPr>
          </w:p>
        </w:tc>
        <w:tc>
          <w:tcPr>
            <w:tcW w:w="1417" w:type="dxa"/>
            <w:tcBorders>
              <w:top w:val="single" w:sz="2" w:space="0" w:color="1F4E79" w:themeColor="accent1" w:themeShade="80"/>
            </w:tcBorders>
            <w:shd w:val="clear" w:color="auto" w:fill="auto"/>
            <w:vAlign w:val="center"/>
          </w:tcPr>
          <w:p w14:paraId="07CDCA48" w14:textId="77777777" w:rsidR="00375569" w:rsidRPr="00E16069" w:rsidRDefault="00375569" w:rsidP="00B1137D">
            <w:pPr>
              <w:pStyle w:val="08-Tabelageral"/>
              <w:ind w:left="113"/>
              <w:rPr>
                <w:rFonts w:cs="Arial"/>
                <w:szCs w:val="14"/>
              </w:rPr>
            </w:pPr>
            <w:r>
              <w:rPr>
                <w:rFonts w:cs="Arial"/>
                <w:szCs w:val="14"/>
              </w:rPr>
              <w:t>554.013</w:t>
            </w:r>
          </w:p>
        </w:tc>
        <w:tc>
          <w:tcPr>
            <w:tcW w:w="1418" w:type="dxa"/>
            <w:tcBorders>
              <w:top w:val="single" w:sz="2" w:space="0" w:color="1F4E79" w:themeColor="accent1" w:themeShade="80"/>
            </w:tcBorders>
            <w:shd w:val="clear" w:color="auto" w:fill="auto"/>
            <w:vAlign w:val="center"/>
          </w:tcPr>
          <w:p w14:paraId="7CD5E253" w14:textId="77777777" w:rsidR="00375569" w:rsidRPr="00E16069" w:rsidRDefault="00375569" w:rsidP="00B1137D">
            <w:pPr>
              <w:pStyle w:val="08-Tabelageral"/>
              <w:ind w:left="113"/>
              <w:rPr>
                <w:rFonts w:cs="Arial"/>
                <w:szCs w:val="14"/>
              </w:rPr>
            </w:pPr>
            <w:r>
              <w:rPr>
                <w:rFonts w:cs="Arial"/>
                <w:szCs w:val="14"/>
              </w:rPr>
              <w:t>491.329</w:t>
            </w:r>
          </w:p>
        </w:tc>
      </w:tr>
      <w:tr w:rsidR="00375569" w:rsidRPr="00E16069" w14:paraId="27D2D1D1" w14:textId="77777777" w:rsidTr="00725333">
        <w:trPr>
          <w:trHeight w:val="238"/>
          <w:jc w:val="center"/>
        </w:trPr>
        <w:tc>
          <w:tcPr>
            <w:tcW w:w="3402" w:type="dxa"/>
            <w:shd w:val="clear" w:color="auto" w:fill="auto"/>
          </w:tcPr>
          <w:p w14:paraId="45A0A148" w14:textId="77777777" w:rsidR="00375569" w:rsidRPr="00E16069" w:rsidRDefault="00375569" w:rsidP="00B1137D">
            <w:pPr>
              <w:pStyle w:val="08-Tabelageral"/>
              <w:tabs>
                <w:tab w:val="right" w:pos="2878"/>
              </w:tabs>
              <w:ind w:left="113"/>
              <w:jc w:val="left"/>
              <w:rPr>
                <w:rFonts w:cs="Arial"/>
                <w:szCs w:val="14"/>
              </w:rPr>
            </w:pPr>
            <w:r w:rsidRPr="00E16069">
              <w:rPr>
                <w:rFonts w:cs="Arial"/>
                <w:szCs w:val="14"/>
              </w:rPr>
              <w:t>Contribuição social</w:t>
            </w:r>
            <w:r w:rsidRPr="00E16069">
              <w:rPr>
                <w:rFonts w:cs="Arial"/>
                <w:szCs w:val="14"/>
              </w:rPr>
              <w:tab/>
            </w:r>
          </w:p>
        </w:tc>
        <w:tc>
          <w:tcPr>
            <w:tcW w:w="296" w:type="dxa"/>
            <w:shd w:val="clear" w:color="auto" w:fill="auto"/>
          </w:tcPr>
          <w:p w14:paraId="3E5830CE" w14:textId="77777777" w:rsidR="00375569" w:rsidRPr="00E16069" w:rsidRDefault="00375569" w:rsidP="00B1137D">
            <w:pPr>
              <w:pStyle w:val="08-Tabelageral"/>
              <w:ind w:left="113"/>
              <w:jc w:val="center"/>
              <w:rPr>
                <w:rFonts w:cs="Arial"/>
                <w:szCs w:val="14"/>
              </w:rPr>
            </w:pPr>
          </w:p>
        </w:tc>
        <w:tc>
          <w:tcPr>
            <w:tcW w:w="1411" w:type="dxa"/>
            <w:shd w:val="clear" w:color="auto" w:fill="auto"/>
            <w:vAlign w:val="center"/>
          </w:tcPr>
          <w:p w14:paraId="58552D05" w14:textId="77777777" w:rsidR="00375569" w:rsidRPr="00E16069" w:rsidRDefault="00375569" w:rsidP="00B1137D">
            <w:pPr>
              <w:pStyle w:val="08-Tabelageral"/>
              <w:ind w:left="113"/>
              <w:rPr>
                <w:rFonts w:cs="Arial"/>
                <w:szCs w:val="14"/>
              </w:rPr>
            </w:pPr>
            <w:r>
              <w:rPr>
                <w:rFonts w:cs="Arial"/>
                <w:szCs w:val="14"/>
              </w:rPr>
              <w:t>104</w:t>
            </w:r>
          </w:p>
        </w:tc>
        <w:tc>
          <w:tcPr>
            <w:tcW w:w="1412" w:type="dxa"/>
            <w:shd w:val="clear" w:color="auto" w:fill="auto"/>
            <w:vAlign w:val="center"/>
          </w:tcPr>
          <w:p w14:paraId="56ACFF04" w14:textId="77777777" w:rsidR="00375569" w:rsidRPr="00E16069" w:rsidRDefault="00375569" w:rsidP="00B1137D">
            <w:pPr>
              <w:pStyle w:val="08-Tabelageral"/>
              <w:ind w:left="113"/>
              <w:rPr>
                <w:rFonts w:cs="Arial"/>
                <w:szCs w:val="14"/>
              </w:rPr>
            </w:pPr>
            <w:r>
              <w:rPr>
                <w:rFonts w:cs="Arial"/>
                <w:szCs w:val="14"/>
              </w:rPr>
              <w:t>--</w:t>
            </w:r>
          </w:p>
        </w:tc>
        <w:tc>
          <w:tcPr>
            <w:tcW w:w="283" w:type="dxa"/>
            <w:shd w:val="clear" w:color="auto" w:fill="auto"/>
            <w:vAlign w:val="center"/>
          </w:tcPr>
          <w:p w14:paraId="45C0335D" w14:textId="77777777" w:rsidR="00375569" w:rsidRPr="00E16069" w:rsidRDefault="00375569" w:rsidP="00B1137D">
            <w:pPr>
              <w:pStyle w:val="08-Tabelageral"/>
              <w:ind w:left="113"/>
              <w:rPr>
                <w:rFonts w:cs="Arial"/>
                <w:szCs w:val="14"/>
              </w:rPr>
            </w:pPr>
          </w:p>
        </w:tc>
        <w:tc>
          <w:tcPr>
            <w:tcW w:w="1417" w:type="dxa"/>
            <w:shd w:val="clear" w:color="auto" w:fill="auto"/>
            <w:vAlign w:val="center"/>
          </w:tcPr>
          <w:p w14:paraId="797F5ABC" w14:textId="77777777" w:rsidR="00375569" w:rsidRPr="00E16069" w:rsidRDefault="00375569" w:rsidP="00B1137D">
            <w:pPr>
              <w:pStyle w:val="08-Tabelageral"/>
              <w:ind w:left="113"/>
              <w:rPr>
                <w:rFonts w:cs="Arial"/>
                <w:szCs w:val="14"/>
              </w:rPr>
            </w:pPr>
            <w:r>
              <w:rPr>
                <w:rFonts w:cs="Arial"/>
                <w:szCs w:val="14"/>
              </w:rPr>
              <w:t>198.361</w:t>
            </w:r>
          </w:p>
        </w:tc>
        <w:tc>
          <w:tcPr>
            <w:tcW w:w="1418" w:type="dxa"/>
            <w:shd w:val="clear" w:color="auto" w:fill="auto"/>
            <w:vAlign w:val="center"/>
          </w:tcPr>
          <w:p w14:paraId="25C8EA57" w14:textId="77777777" w:rsidR="00375569" w:rsidRPr="00E16069" w:rsidRDefault="00375569" w:rsidP="00B1137D">
            <w:pPr>
              <w:pStyle w:val="08-Tabelageral"/>
              <w:ind w:left="113"/>
              <w:rPr>
                <w:rFonts w:cs="Arial"/>
                <w:szCs w:val="14"/>
              </w:rPr>
            </w:pPr>
            <w:r>
              <w:rPr>
                <w:rFonts w:cs="Arial"/>
                <w:szCs w:val="14"/>
              </w:rPr>
              <w:t>170.504</w:t>
            </w:r>
          </w:p>
        </w:tc>
      </w:tr>
      <w:tr w:rsidR="00375569" w:rsidRPr="00E16069" w14:paraId="1220625F" w14:textId="77777777" w:rsidTr="00725333">
        <w:trPr>
          <w:trHeight w:val="238"/>
          <w:jc w:val="center"/>
        </w:trPr>
        <w:tc>
          <w:tcPr>
            <w:tcW w:w="3402" w:type="dxa"/>
            <w:shd w:val="clear" w:color="auto" w:fill="auto"/>
          </w:tcPr>
          <w:p w14:paraId="5DC7F9F8" w14:textId="77777777" w:rsidR="00375569" w:rsidRPr="00E16069" w:rsidRDefault="00375569" w:rsidP="00B1137D">
            <w:pPr>
              <w:pStyle w:val="08-Tabelageral"/>
              <w:ind w:left="113"/>
              <w:jc w:val="left"/>
              <w:rPr>
                <w:rFonts w:cs="Arial"/>
                <w:szCs w:val="14"/>
              </w:rPr>
            </w:pPr>
            <w:r w:rsidRPr="00E16069">
              <w:rPr>
                <w:rFonts w:cs="Arial"/>
                <w:szCs w:val="14"/>
              </w:rPr>
              <w:t>Cofins</w:t>
            </w:r>
          </w:p>
        </w:tc>
        <w:tc>
          <w:tcPr>
            <w:tcW w:w="296" w:type="dxa"/>
            <w:shd w:val="clear" w:color="auto" w:fill="auto"/>
          </w:tcPr>
          <w:p w14:paraId="5BCD7E07" w14:textId="77777777" w:rsidR="00375569" w:rsidRPr="00E16069" w:rsidRDefault="00375569" w:rsidP="00B1137D">
            <w:pPr>
              <w:pStyle w:val="08-Tabelageral"/>
              <w:ind w:left="113"/>
              <w:jc w:val="center"/>
              <w:rPr>
                <w:rFonts w:cs="Arial"/>
                <w:szCs w:val="14"/>
              </w:rPr>
            </w:pPr>
          </w:p>
        </w:tc>
        <w:tc>
          <w:tcPr>
            <w:tcW w:w="1411" w:type="dxa"/>
            <w:shd w:val="clear" w:color="auto" w:fill="auto"/>
            <w:vAlign w:val="center"/>
          </w:tcPr>
          <w:p w14:paraId="7568B1B3" w14:textId="77777777" w:rsidR="00375569" w:rsidRPr="00E16069" w:rsidRDefault="00375569" w:rsidP="00B1137D">
            <w:pPr>
              <w:pStyle w:val="08-Tabelageral"/>
              <w:ind w:left="113"/>
              <w:rPr>
                <w:rFonts w:cs="Arial"/>
                <w:szCs w:val="14"/>
              </w:rPr>
            </w:pPr>
            <w:r>
              <w:rPr>
                <w:rFonts w:cs="Arial"/>
                <w:szCs w:val="14"/>
              </w:rPr>
              <w:t>126</w:t>
            </w:r>
          </w:p>
        </w:tc>
        <w:tc>
          <w:tcPr>
            <w:tcW w:w="1412" w:type="dxa"/>
            <w:shd w:val="clear" w:color="auto" w:fill="auto"/>
            <w:vAlign w:val="center"/>
          </w:tcPr>
          <w:p w14:paraId="4C761417" w14:textId="77777777" w:rsidR="00375569" w:rsidRPr="00E16069" w:rsidRDefault="00375569" w:rsidP="00B1137D">
            <w:pPr>
              <w:pStyle w:val="08-Tabelageral"/>
              <w:ind w:left="113"/>
              <w:rPr>
                <w:rFonts w:cs="Arial"/>
                <w:szCs w:val="14"/>
              </w:rPr>
            </w:pPr>
            <w:r>
              <w:rPr>
                <w:rFonts w:cs="Arial"/>
                <w:szCs w:val="14"/>
              </w:rPr>
              <w:t>16</w:t>
            </w:r>
          </w:p>
        </w:tc>
        <w:tc>
          <w:tcPr>
            <w:tcW w:w="283" w:type="dxa"/>
            <w:shd w:val="clear" w:color="auto" w:fill="auto"/>
            <w:vAlign w:val="center"/>
          </w:tcPr>
          <w:p w14:paraId="68ED9E21" w14:textId="77777777" w:rsidR="00375569" w:rsidRPr="00E16069" w:rsidRDefault="00375569" w:rsidP="00B1137D">
            <w:pPr>
              <w:pStyle w:val="08-Tabelageral"/>
              <w:ind w:left="113"/>
              <w:rPr>
                <w:rFonts w:cs="Arial"/>
                <w:szCs w:val="14"/>
              </w:rPr>
            </w:pPr>
          </w:p>
        </w:tc>
        <w:tc>
          <w:tcPr>
            <w:tcW w:w="1417" w:type="dxa"/>
            <w:shd w:val="clear" w:color="auto" w:fill="auto"/>
            <w:vAlign w:val="center"/>
          </w:tcPr>
          <w:p w14:paraId="7ED847C7" w14:textId="77777777" w:rsidR="00375569" w:rsidRPr="00E16069" w:rsidRDefault="00375569" w:rsidP="00B1137D">
            <w:pPr>
              <w:pStyle w:val="08-Tabelageral"/>
              <w:ind w:left="113"/>
              <w:rPr>
                <w:rFonts w:cs="Arial"/>
                <w:szCs w:val="14"/>
              </w:rPr>
            </w:pPr>
            <w:r>
              <w:rPr>
                <w:rFonts w:cs="Arial"/>
                <w:szCs w:val="14"/>
              </w:rPr>
              <w:t>41.428</w:t>
            </w:r>
          </w:p>
        </w:tc>
        <w:tc>
          <w:tcPr>
            <w:tcW w:w="1418" w:type="dxa"/>
            <w:shd w:val="clear" w:color="auto" w:fill="auto"/>
            <w:vAlign w:val="center"/>
          </w:tcPr>
          <w:p w14:paraId="4A469DCB" w14:textId="77777777" w:rsidR="00375569" w:rsidRPr="00E16069" w:rsidRDefault="00375569" w:rsidP="00B1137D">
            <w:pPr>
              <w:pStyle w:val="08-Tabelageral"/>
              <w:ind w:left="113"/>
              <w:rPr>
                <w:rFonts w:cs="Arial"/>
                <w:szCs w:val="14"/>
              </w:rPr>
            </w:pPr>
            <w:r>
              <w:rPr>
                <w:rFonts w:cs="Arial"/>
                <w:szCs w:val="14"/>
              </w:rPr>
              <w:t>25.225</w:t>
            </w:r>
          </w:p>
        </w:tc>
      </w:tr>
      <w:tr w:rsidR="00375569" w:rsidRPr="00E16069" w14:paraId="694D4821" w14:textId="77777777" w:rsidTr="00725333">
        <w:trPr>
          <w:trHeight w:val="238"/>
          <w:jc w:val="center"/>
        </w:trPr>
        <w:tc>
          <w:tcPr>
            <w:tcW w:w="3402" w:type="dxa"/>
            <w:shd w:val="clear" w:color="auto" w:fill="auto"/>
          </w:tcPr>
          <w:p w14:paraId="7F6A8005" w14:textId="77777777" w:rsidR="00375569" w:rsidRPr="00E16069" w:rsidRDefault="00375569" w:rsidP="00B1137D">
            <w:pPr>
              <w:pStyle w:val="08-Tabelageral"/>
              <w:ind w:left="113"/>
              <w:jc w:val="left"/>
              <w:rPr>
                <w:rFonts w:cs="Arial"/>
                <w:szCs w:val="14"/>
              </w:rPr>
            </w:pPr>
            <w:r w:rsidRPr="00E16069">
              <w:rPr>
                <w:rFonts w:cs="Arial"/>
                <w:szCs w:val="14"/>
              </w:rPr>
              <w:t>ISS</w:t>
            </w:r>
          </w:p>
        </w:tc>
        <w:tc>
          <w:tcPr>
            <w:tcW w:w="296" w:type="dxa"/>
            <w:shd w:val="clear" w:color="auto" w:fill="auto"/>
          </w:tcPr>
          <w:p w14:paraId="33BE31C9" w14:textId="77777777" w:rsidR="00375569" w:rsidRPr="00E16069" w:rsidRDefault="00375569" w:rsidP="00B1137D">
            <w:pPr>
              <w:pStyle w:val="08-Tabelageral"/>
              <w:ind w:left="113"/>
              <w:jc w:val="center"/>
              <w:rPr>
                <w:rFonts w:cs="Arial"/>
                <w:szCs w:val="14"/>
              </w:rPr>
            </w:pPr>
          </w:p>
        </w:tc>
        <w:tc>
          <w:tcPr>
            <w:tcW w:w="1411" w:type="dxa"/>
            <w:shd w:val="clear" w:color="auto" w:fill="auto"/>
            <w:vAlign w:val="center"/>
          </w:tcPr>
          <w:p w14:paraId="2288AA23" w14:textId="77777777" w:rsidR="00375569" w:rsidRPr="00E16069" w:rsidRDefault="00375569" w:rsidP="00B1137D">
            <w:pPr>
              <w:pStyle w:val="08-Tabelageral"/>
              <w:ind w:left="113"/>
              <w:rPr>
                <w:rFonts w:cs="Arial"/>
                <w:szCs w:val="14"/>
              </w:rPr>
            </w:pPr>
            <w:r>
              <w:rPr>
                <w:rFonts w:cs="Arial"/>
                <w:szCs w:val="14"/>
              </w:rPr>
              <w:t>--</w:t>
            </w:r>
          </w:p>
        </w:tc>
        <w:tc>
          <w:tcPr>
            <w:tcW w:w="1412" w:type="dxa"/>
            <w:shd w:val="clear" w:color="auto" w:fill="auto"/>
            <w:vAlign w:val="center"/>
          </w:tcPr>
          <w:p w14:paraId="6FF3CA71" w14:textId="77777777" w:rsidR="00375569" w:rsidRPr="00E16069" w:rsidRDefault="00375569" w:rsidP="00B1137D">
            <w:pPr>
              <w:pStyle w:val="08-Tabelageral"/>
              <w:ind w:left="113"/>
              <w:rPr>
                <w:rFonts w:cs="Arial"/>
                <w:szCs w:val="14"/>
              </w:rPr>
            </w:pPr>
            <w:r>
              <w:rPr>
                <w:rFonts w:cs="Arial"/>
                <w:szCs w:val="14"/>
              </w:rPr>
              <w:t>--</w:t>
            </w:r>
          </w:p>
        </w:tc>
        <w:tc>
          <w:tcPr>
            <w:tcW w:w="283" w:type="dxa"/>
            <w:shd w:val="clear" w:color="auto" w:fill="auto"/>
            <w:vAlign w:val="center"/>
          </w:tcPr>
          <w:p w14:paraId="76AA470F" w14:textId="77777777" w:rsidR="00375569" w:rsidRPr="00E16069" w:rsidRDefault="00375569" w:rsidP="00B1137D">
            <w:pPr>
              <w:pStyle w:val="08-Tabelageral"/>
              <w:ind w:left="113"/>
              <w:rPr>
                <w:rFonts w:cs="Arial"/>
                <w:szCs w:val="14"/>
              </w:rPr>
            </w:pPr>
          </w:p>
        </w:tc>
        <w:tc>
          <w:tcPr>
            <w:tcW w:w="1417" w:type="dxa"/>
            <w:shd w:val="clear" w:color="auto" w:fill="auto"/>
            <w:vAlign w:val="center"/>
          </w:tcPr>
          <w:p w14:paraId="7D750DF2" w14:textId="77777777" w:rsidR="00375569" w:rsidRPr="00E16069" w:rsidRDefault="00375569" w:rsidP="00B1137D">
            <w:pPr>
              <w:pStyle w:val="08-Tabelageral"/>
              <w:ind w:left="113"/>
              <w:rPr>
                <w:rFonts w:cs="Arial"/>
                <w:szCs w:val="14"/>
              </w:rPr>
            </w:pPr>
            <w:r>
              <w:rPr>
                <w:rFonts w:cs="Arial"/>
                <w:szCs w:val="14"/>
              </w:rPr>
              <w:t>14.436</w:t>
            </w:r>
          </w:p>
        </w:tc>
        <w:tc>
          <w:tcPr>
            <w:tcW w:w="1418" w:type="dxa"/>
            <w:shd w:val="clear" w:color="auto" w:fill="auto"/>
            <w:vAlign w:val="center"/>
          </w:tcPr>
          <w:p w14:paraId="0EA4F4BA" w14:textId="77777777" w:rsidR="00375569" w:rsidRPr="00E16069" w:rsidRDefault="00375569" w:rsidP="00B1137D">
            <w:pPr>
              <w:pStyle w:val="08-Tabelageral"/>
              <w:ind w:left="113"/>
              <w:rPr>
                <w:rFonts w:cs="Arial"/>
                <w:szCs w:val="14"/>
              </w:rPr>
            </w:pPr>
            <w:r>
              <w:rPr>
                <w:rFonts w:cs="Arial"/>
                <w:szCs w:val="14"/>
              </w:rPr>
              <w:t>16.671</w:t>
            </w:r>
          </w:p>
        </w:tc>
      </w:tr>
      <w:tr w:rsidR="00375569" w:rsidRPr="00E16069" w14:paraId="17F80CD3" w14:textId="77777777" w:rsidTr="00725333">
        <w:trPr>
          <w:trHeight w:val="238"/>
          <w:jc w:val="center"/>
        </w:trPr>
        <w:tc>
          <w:tcPr>
            <w:tcW w:w="3402" w:type="dxa"/>
            <w:shd w:val="clear" w:color="auto" w:fill="auto"/>
          </w:tcPr>
          <w:p w14:paraId="54D4FB8B" w14:textId="77777777" w:rsidR="00375569" w:rsidRPr="00E16069" w:rsidRDefault="00375569" w:rsidP="00B1137D">
            <w:pPr>
              <w:pStyle w:val="08-Tabelageral"/>
              <w:ind w:left="113"/>
              <w:jc w:val="left"/>
              <w:rPr>
                <w:rFonts w:cs="Arial"/>
                <w:szCs w:val="14"/>
              </w:rPr>
            </w:pPr>
            <w:r w:rsidRPr="00E16069">
              <w:rPr>
                <w:rFonts w:cs="Arial"/>
                <w:szCs w:val="14"/>
              </w:rPr>
              <w:t>Pasep</w:t>
            </w:r>
          </w:p>
        </w:tc>
        <w:tc>
          <w:tcPr>
            <w:tcW w:w="296" w:type="dxa"/>
            <w:shd w:val="clear" w:color="auto" w:fill="auto"/>
          </w:tcPr>
          <w:p w14:paraId="09C2F05F" w14:textId="77777777" w:rsidR="00375569" w:rsidRPr="00E16069" w:rsidRDefault="00375569" w:rsidP="00B1137D">
            <w:pPr>
              <w:pStyle w:val="08-Tabelageral"/>
              <w:ind w:left="113"/>
              <w:jc w:val="center"/>
              <w:rPr>
                <w:rFonts w:cs="Arial"/>
                <w:szCs w:val="14"/>
              </w:rPr>
            </w:pPr>
          </w:p>
        </w:tc>
        <w:tc>
          <w:tcPr>
            <w:tcW w:w="1411" w:type="dxa"/>
            <w:shd w:val="clear" w:color="auto" w:fill="auto"/>
            <w:vAlign w:val="center"/>
          </w:tcPr>
          <w:p w14:paraId="168C1D11" w14:textId="77777777" w:rsidR="00375569" w:rsidRPr="00E16069" w:rsidRDefault="00375569" w:rsidP="00B1137D">
            <w:pPr>
              <w:pStyle w:val="08-Tabelageral"/>
              <w:ind w:left="113"/>
              <w:rPr>
                <w:rFonts w:cs="Arial"/>
                <w:szCs w:val="14"/>
              </w:rPr>
            </w:pPr>
            <w:r>
              <w:rPr>
                <w:rFonts w:cs="Arial"/>
                <w:szCs w:val="14"/>
              </w:rPr>
              <w:t>21</w:t>
            </w:r>
          </w:p>
        </w:tc>
        <w:tc>
          <w:tcPr>
            <w:tcW w:w="1412" w:type="dxa"/>
            <w:shd w:val="clear" w:color="auto" w:fill="auto"/>
            <w:vAlign w:val="center"/>
          </w:tcPr>
          <w:p w14:paraId="1843E3A1" w14:textId="77777777" w:rsidR="00375569" w:rsidRPr="00E16069" w:rsidRDefault="00375569" w:rsidP="00B1137D">
            <w:pPr>
              <w:pStyle w:val="08-Tabelageral"/>
              <w:ind w:left="113"/>
              <w:rPr>
                <w:rFonts w:cs="Arial"/>
                <w:szCs w:val="14"/>
              </w:rPr>
            </w:pPr>
            <w:r>
              <w:rPr>
                <w:rFonts w:cs="Arial"/>
                <w:szCs w:val="14"/>
              </w:rPr>
              <w:t>2</w:t>
            </w:r>
          </w:p>
        </w:tc>
        <w:tc>
          <w:tcPr>
            <w:tcW w:w="283" w:type="dxa"/>
            <w:shd w:val="clear" w:color="auto" w:fill="auto"/>
            <w:vAlign w:val="center"/>
          </w:tcPr>
          <w:p w14:paraId="7F8051C7" w14:textId="77777777" w:rsidR="00375569" w:rsidRPr="00E16069" w:rsidRDefault="00375569" w:rsidP="00B1137D">
            <w:pPr>
              <w:pStyle w:val="08-Tabelageral"/>
              <w:ind w:left="113"/>
              <w:rPr>
                <w:rFonts w:cs="Arial"/>
                <w:szCs w:val="14"/>
              </w:rPr>
            </w:pPr>
          </w:p>
        </w:tc>
        <w:tc>
          <w:tcPr>
            <w:tcW w:w="1417" w:type="dxa"/>
            <w:shd w:val="clear" w:color="auto" w:fill="auto"/>
            <w:vAlign w:val="center"/>
          </w:tcPr>
          <w:p w14:paraId="78CE4BA1" w14:textId="77777777" w:rsidR="00375569" w:rsidRPr="00E16069" w:rsidRDefault="00375569" w:rsidP="00B1137D">
            <w:pPr>
              <w:pStyle w:val="08-Tabelageral"/>
              <w:ind w:left="113"/>
              <w:rPr>
                <w:rFonts w:cs="Arial"/>
                <w:szCs w:val="14"/>
              </w:rPr>
            </w:pPr>
            <w:r>
              <w:rPr>
                <w:rFonts w:cs="Arial"/>
                <w:szCs w:val="14"/>
              </w:rPr>
              <w:t>8.928</w:t>
            </w:r>
          </w:p>
        </w:tc>
        <w:tc>
          <w:tcPr>
            <w:tcW w:w="1418" w:type="dxa"/>
            <w:shd w:val="clear" w:color="auto" w:fill="auto"/>
            <w:vAlign w:val="center"/>
          </w:tcPr>
          <w:p w14:paraId="1D3867EF" w14:textId="77777777" w:rsidR="00375569" w:rsidRPr="00E16069" w:rsidRDefault="00375569" w:rsidP="00B1137D">
            <w:pPr>
              <w:pStyle w:val="08-Tabelageral"/>
              <w:ind w:left="113"/>
              <w:rPr>
                <w:rFonts w:cs="Arial"/>
                <w:szCs w:val="14"/>
              </w:rPr>
            </w:pPr>
            <w:r>
              <w:rPr>
                <w:rFonts w:cs="Arial"/>
                <w:szCs w:val="14"/>
              </w:rPr>
              <w:t>5.463</w:t>
            </w:r>
          </w:p>
        </w:tc>
      </w:tr>
      <w:tr w:rsidR="00375569" w:rsidRPr="00E16069" w14:paraId="3574512D" w14:textId="77777777" w:rsidTr="00725333">
        <w:trPr>
          <w:trHeight w:val="238"/>
          <w:jc w:val="center"/>
        </w:trPr>
        <w:tc>
          <w:tcPr>
            <w:tcW w:w="3402" w:type="dxa"/>
            <w:shd w:val="clear" w:color="auto" w:fill="auto"/>
          </w:tcPr>
          <w:p w14:paraId="2210BBB1" w14:textId="77777777" w:rsidR="00375569" w:rsidRPr="00E16069" w:rsidRDefault="00375569" w:rsidP="00B1137D">
            <w:pPr>
              <w:pStyle w:val="08-Tabelageral"/>
              <w:ind w:left="113"/>
              <w:jc w:val="left"/>
              <w:rPr>
                <w:rFonts w:cs="Arial"/>
                <w:szCs w:val="14"/>
              </w:rPr>
            </w:pPr>
            <w:r w:rsidRPr="00E16069">
              <w:rPr>
                <w:rFonts w:cs="Arial"/>
                <w:szCs w:val="14"/>
              </w:rPr>
              <w:t>Outros</w:t>
            </w:r>
          </w:p>
        </w:tc>
        <w:tc>
          <w:tcPr>
            <w:tcW w:w="296" w:type="dxa"/>
            <w:shd w:val="clear" w:color="auto" w:fill="auto"/>
          </w:tcPr>
          <w:p w14:paraId="76FD4240" w14:textId="77777777" w:rsidR="00375569" w:rsidRPr="00E16069" w:rsidRDefault="00375569" w:rsidP="00B1137D">
            <w:pPr>
              <w:pStyle w:val="08-Tabelageral"/>
              <w:jc w:val="center"/>
              <w:rPr>
                <w:rFonts w:cs="Arial"/>
                <w:szCs w:val="14"/>
              </w:rPr>
            </w:pPr>
          </w:p>
        </w:tc>
        <w:tc>
          <w:tcPr>
            <w:tcW w:w="1411" w:type="dxa"/>
            <w:shd w:val="clear" w:color="auto" w:fill="auto"/>
            <w:vAlign w:val="center"/>
          </w:tcPr>
          <w:p w14:paraId="6CE37FFE" w14:textId="77777777" w:rsidR="00375569" w:rsidRPr="00E16069" w:rsidRDefault="00375569" w:rsidP="00B1137D">
            <w:pPr>
              <w:pStyle w:val="08-Tabelageral"/>
              <w:rPr>
                <w:rFonts w:cs="Arial"/>
                <w:szCs w:val="14"/>
              </w:rPr>
            </w:pPr>
            <w:r>
              <w:rPr>
                <w:rFonts w:cs="Arial"/>
                <w:szCs w:val="14"/>
              </w:rPr>
              <w:t>19</w:t>
            </w:r>
          </w:p>
        </w:tc>
        <w:tc>
          <w:tcPr>
            <w:tcW w:w="1412" w:type="dxa"/>
            <w:shd w:val="clear" w:color="auto" w:fill="auto"/>
            <w:vAlign w:val="center"/>
          </w:tcPr>
          <w:p w14:paraId="6EB21F18" w14:textId="77777777" w:rsidR="00375569" w:rsidRPr="00E16069" w:rsidRDefault="00375569" w:rsidP="00B1137D">
            <w:pPr>
              <w:pStyle w:val="08-Tabelageral"/>
              <w:rPr>
                <w:rFonts w:cs="Arial"/>
                <w:szCs w:val="14"/>
              </w:rPr>
            </w:pPr>
            <w:r>
              <w:rPr>
                <w:rFonts w:cs="Arial"/>
                <w:szCs w:val="14"/>
              </w:rPr>
              <w:t>81</w:t>
            </w:r>
          </w:p>
        </w:tc>
        <w:tc>
          <w:tcPr>
            <w:tcW w:w="283" w:type="dxa"/>
            <w:shd w:val="clear" w:color="auto" w:fill="auto"/>
            <w:vAlign w:val="center"/>
          </w:tcPr>
          <w:p w14:paraId="425FC43E" w14:textId="77777777" w:rsidR="00375569" w:rsidRPr="00E16069" w:rsidRDefault="00375569" w:rsidP="00B1137D">
            <w:pPr>
              <w:pStyle w:val="08-Tabelageral"/>
              <w:rPr>
                <w:rFonts w:cs="Arial"/>
                <w:szCs w:val="14"/>
              </w:rPr>
            </w:pPr>
          </w:p>
        </w:tc>
        <w:tc>
          <w:tcPr>
            <w:tcW w:w="1417" w:type="dxa"/>
            <w:shd w:val="clear" w:color="auto" w:fill="auto"/>
            <w:vAlign w:val="center"/>
          </w:tcPr>
          <w:p w14:paraId="6EF86758" w14:textId="77777777" w:rsidR="00375569" w:rsidRPr="00E16069" w:rsidRDefault="00375569" w:rsidP="00B1137D">
            <w:pPr>
              <w:pStyle w:val="08-Tabelageral"/>
              <w:rPr>
                <w:rFonts w:cs="Arial"/>
                <w:szCs w:val="14"/>
              </w:rPr>
            </w:pPr>
            <w:r>
              <w:rPr>
                <w:rFonts w:cs="Arial"/>
                <w:szCs w:val="14"/>
              </w:rPr>
              <w:t>28</w:t>
            </w:r>
          </w:p>
        </w:tc>
        <w:tc>
          <w:tcPr>
            <w:tcW w:w="1418" w:type="dxa"/>
            <w:shd w:val="clear" w:color="auto" w:fill="auto"/>
            <w:vAlign w:val="center"/>
          </w:tcPr>
          <w:p w14:paraId="4AA19F97" w14:textId="77777777" w:rsidR="00375569" w:rsidRPr="00E16069" w:rsidRDefault="00375569" w:rsidP="00B1137D">
            <w:pPr>
              <w:pStyle w:val="08-Tabelageral"/>
              <w:rPr>
                <w:rFonts w:cs="Arial"/>
                <w:szCs w:val="14"/>
              </w:rPr>
            </w:pPr>
            <w:r>
              <w:rPr>
                <w:rFonts w:cs="Arial"/>
                <w:szCs w:val="14"/>
              </w:rPr>
              <w:t>115</w:t>
            </w:r>
          </w:p>
        </w:tc>
      </w:tr>
      <w:tr w:rsidR="00375569" w:rsidRPr="00E16069" w14:paraId="5F6F24CE" w14:textId="77777777" w:rsidTr="00725333">
        <w:trPr>
          <w:trHeight w:val="238"/>
          <w:jc w:val="center"/>
        </w:trPr>
        <w:tc>
          <w:tcPr>
            <w:tcW w:w="3402" w:type="dxa"/>
            <w:tcBorders>
              <w:bottom w:val="nil"/>
            </w:tcBorders>
            <w:shd w:val="clear" w:color="auto" w:fill="auto"/>
          </w:tcPr>
          <w:p w14:paraId="4A5B05B6" w14:textId="77777777" w:rsidR="00375569" w:rsidRPr="00E16069" w:rsidRDefault="00375569" w:rsidP="00B1137D">
            <w:pPr>
              <w:pStyle w:val="08-Tabelageral"/>
              <w:ind w:left="113"/>
              <w:jc w:val="left"/>
              <w:rPr>
                <w:rFonts w:cs="Arial"/>
                <w:szCs w:val="14"/>
              </w:rPr>
            </w:pPr>
            <w:r w:rsidRPr="00E16069">
              <w:rPr>
                <w:rFonts w:cs="Arial"/>
                <w:szCs w:val="14"/>
              </w:rPr>
              <w:t>(-) Impostos correntes deduzidos/compensados</w:t>
            </w:r>
          </w:p>
        </w:tc>
        <w:tc>
          <w:tcPr>
            <w:tcW w:w="296" w:type="dxa"/>
            <w:tcBorders>
              <w:bottom w:val="nil"/>
            </w:tcBorders>
            <w:shd w:val="clear" w:color="auto" w:fill="auto"/>
          </w:tcPr>
          <w:p w14:paraId="20F6F335" w14:textId="77777777" w:rsidR="00375569" w:rsidRPr="00E16069" w:rsidRDefault="00375569" w:rsidP="00B1137D">
            <w:pPr>
              <w:pStyle w:val="08-Tabelageral"/>
              <w:ind w:left="113"/>
              <w:jc w:val="center"/>
              <w:rPr>
                <w:rFonts w:cs="Arial"/>
                <w:szCs w:val="14"/>
              </w:rPr>
            </w:pPr>
          </w:p>
        </w:tc>
        <w:tc>
          <w:tcPr>
            <w:tcW w:w="1411" w:type="dxa"/>
            <w:tcBorders>
              <w:bottom w:val="nil"/>
            </w:tcBorders>
            <w:shd w:val="clear" w:color="auto" w:fill="auto"/>
            <w:vAlign w:val="center"/>
          </w:tcPr>
          <w:p w14:paraId="3CDCF4CC" w14:textId="77777777" w:rsidR="00375569" w:rsidRPr="00E16069" w:rsidRDefault="00375569" w:rsidP="00C13CE5">
            <w:pPr>
              <w:pStyle w:val="08-Tabelageral"/>
              <w:ind w:left="113"/>
              <w:rPr>
                <w:rFonts w:cs="Arial"/>
                <w:szCs w:val="14"/>
              </w:rPr>
            </w:pPr>
            <w:r>
              <w:rPr>
                <w:rFonts w:cs="Arial"/>
                <w:szCs w:val="14"/>
              </w:rPr>
              <w:t>(172)</w:t>
            </w:r>
          </w:p>
        </w:tc>
        <w:tc>
          <w:tcPr>
            <w:tcW w:w="1412" w:type="dxa"/>
            <w:tcBorders>
              <w:bottom w:val="nil"/>
            </w:tcBorders>
            <w:shd w:val="clear" w:color="auto" w:fill="auto"/>
            <w:vAlign w:val="center"/>
          </w:tcPr>
          <w:p w14:paraId="03A806F6" w14:textId="77777777" w:rsidR="00375569" w:rsidRPr="00E16069" w:rsidRDefault="00375569" w:rsidP="00B1137D">
            <w:pPr>
              <w:pStyle w:val="08-Tabelageral"/>
              <w:ind w:left="113"/>
              <w:rPr>
                <w:rFonts w:cs="Arial"/>
                <w:szCs w:val="14"/>
              </w:rPr>
            </w:pPr>
            <w:r>
              <w:rPr>
                <w:rFonts w:cs="Arial"/>
                <w:szCs w:val="14"/>
              </w:rPr>
              <w:t>(18)</w:t>
            </w:r>
          </w:p>
        </w:tc>
        <w:tc>
          <w:tcPr>
            <w:tcW w:w="283" w:type="dxa"/>
            <w:tcBorders>
              <w:bottom w:val="nil"/>
            </w:tcBorders>
            <w:shd w:val="clear" w:color="auto" w:fill="auto"/>
            <w:vAlign w:val="center"/>
          </w:tcPr>
          <w:p w14:paraId="601FBE77" w14:textId="77777777" w:rsidR="00375569" w:rsidRPr="00E16069" w:rsidRDefault="00375569" w:rsidP="00B1137D">
            <w:pPr>
              <w:pStyle w:val="08-Tabelageral"/>
              <w:ind w:left="113"/>
              <w:rPr>
                <w:rFonts w:cs="Arial"/>
                <w:szCs w:val="14"/>
              </w:rPr>
            </w:pPr>
          </w:p>
        </w:tc>
        <w:tc>
          <w:tcPr>
            <w:tcW w:w="1417" w:type="dxa"/>
            <w:tcBorders>
              <w:bottom w:val="nil"/>
            </w:tcBorders>
            <w:shd w:val="clear" w:color="auto" w:fill="auto"/>
            <w:vAlign w:val="center"/>
          </w:tcPr>
          <w:p w14:paraId="3CDAD6CA" w14:textId="77777777" w:rsidR="00375569" w:rsidRPr="00E16069" w:rsidRDefault="00375569" w:rsidP="00B1137D">
            <w:pPr>
              <w:pStyle w:val="08-Tabelageral"/>
              <w:ind w:left="113"/>
              <w:rPr>
                <w:rFonts w:cs="Arial"/>
                <w:szCs w:val="14"/>
              </w:rPr>
            </w:pPr>
            <w:r>
              <w:rPr>
                <w:rFonts w:cs="Arial"/>
                <w:szCs w:val="14"/>
              </w:rPr>
              <w:t>(54.675)</w:t>
            </w:r>
          </w:p>
        </w:tc>
        <w:tc>
          <w:tcPr>
            <w:tcW w:w="1418" w:type="dxa"/>
            <w:tcBorders>
              <w:bottom w:val="nil"/>
            </w:tcBorders>
            <w:shd w:val="clear" w:color="auto" w:fill="auto"/>
            <w:vAlign w:val="center"/>
          </w:tcPr>
          <w:p w14:paraId="326ECB04" w14:textId="77777777" w:rsidR="00375569" w:rsidRPr="00E16069" w:rsidRDefault="00375569" w:rsidP="00B1137D">
            <w:pPr>
              <w:pStyle w:val="08-Tabelageral"/>
              <w:ind w:left="113"/>
              <w:rPr>
                <w:rFonts w:cs="Arial"/>
                <w:szCs w:val="14"/>
              </w:rPr>
            </w:pPr>
            <w:r>
              <w:rPr>
                <w:rFonts w:cs="Arial"/>
                <w:szCs w:val="14"/>
              </w:rPr>
              <w:t>(26.357)</w:t>
            </w:r>
          </w:p>
        </w:tc>
      </w:tr>
      <w:tr w:rsidR="00375569" w:rsidRPr="00E16069" w14:paraId="352A19FC" w14:textId="77777777" w:rsidTr="00725333">
        <w:trPr>
          <w:trHeight w:val="238"/>
          <w:jc w:val="center"/>
        </w:trPr>
        <w:tc>
          <w:tcPr>
            <w:tcW w:w="3402" w:type="dxa"/>
            <w:tcBorders>
              <w:top w:val="nil"/>
              <w:bottom w:val="single" w:sz="2" w:space="0" w:color="1F4E79" w:themeColor="accent1" w:themeShade="80"/>
            </w:tcBorders>
            <w:shd w:val="clear" w:color="auto" w:fill="auto"/>
          </w:tcPr>
          <w:p w14:paraId="45E3D032" w14:textId="77777777" w:rsidR="00375569" w:rsidRPr="00E16069" w:rsidRDefault="00375569" w:rsidP="00B1137D">
            <w:pPr>
              <w:pStyle w:val="08-Tabelageral"/>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4FB6F471" w14:textId="77777777" w:rsidR="00375569" w:rsidRPr="00E16069" w:rsidRDefault="00375569" w:rsidP="00B1137D">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8CC6A91" w14:textId="77777777" w:rsidR="00375569" w:rsidRPr="00E16069" w:rsidRDefault="00375569" w:rsidP="00C13CE5">
            <w:pPr>
              <w:pStyle w:val="08-Tabelageral"/>
              <w:rPr>
                <w:rFonts w:cs="Arial"/>
                <w:b/>
                <w:szCs w:val="14"/>
              </w:rPr>
            </w:pPr>
            <w:r>
              <w:rPr>
                <w:rFonts w:cs="Arial"/>
                <w:b/>
                <w:szCs w:val="14"/>
              </w:rPr>
              <w:t>444</w:t>
            </w:r>
          </w:p>
        </w:tc>
        <w:tc>
          <w:tcPr>
            <w:tcW w:w="1412" w:type="dxa"/>
            <w:tcBorders>
              <w:top w:val="nil"/>
              <w:bottom w:val="single" w:sz="2" w:space="0" w:color="1F4E79" w:themeColor="accent1" w:themeShade="80"/>
            </w:tcBorders>
            <w:shd w:val="clear" w:color="auto" w:fill="auto"/>
            <w:vAlign w:val="center"/>
          </w:tcPr>
          <w:p w14:paraId="15211C83" w14:textId="77777777" w:rsidR="00375569" w:rsidRPr="00E16069" w:rsidRDefault="00375569" w:rsidP="00B1137D">
            <w:pPr>
              <w:pStyle w:val="08-Tabelageral"/>
              <w:rPr>
                <w:rFonts w:cs="Arial"/>
                <w:b/>
                <w:szCs w:val="14"/>
              </w:rPr>
            </w:pPr>
            <w:r>
              <w:rPr>
                <w:rFonts w:cs="Arial"/>
                <w:b/>
                <w:szCs w:val="14"/>
              </w:rPr>
              <w:t>81</w:t>
            </w:r>
          </w:p>
        </w:tc>
        <w:tc>
          <w:tcPr>
            <w:tcW w:w="283" w:type="dxa"/>
            <w:tcBorders>
              <w:top w:val="nil"/>
              <w:bottom w:val="single" w:sz="2" w:space="0" w:color="1F4E79" w:themeColor="accent1" w:themeShade="80"/>
            </w:tcBorders>
            <w:shd w:val="clear" w:color="auto" w:fill="auto"/>
            <w:vAlign w:val="center"/>
          </w:tcPr>
          <w:p w14:paraId="324F8D48" w14:textId="77777777" w:rsidR="00375569" w:rsidRPr="00E16069" w:rsidRDefault="00375569" w:rsidP="00B1137D">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30EBC5C5" w14:textId="77777777" w:rsidR="00375569" w:rsidRPr="00E16069" w:rsidRDefault="00375569" w:rsidP="00B1137D">
            <w:pPr>
              <w:pStyle w:val="08-Tabelageral"/>
              <w:rPr>
                <w:rFonts w:cs="Arial"/>
                <w:b/>
                <w:szCs w:val="14"/>
              </w:rPr>
            </w:pPr>
            <w:r>
              <w:rPr>
                <w:rFonts w:cs="Arial"/>
                <w:b/>
                <w:szCs w:val="14"/>
              </w:rPr>
              <w:t>762.519</w:t>
            </w:r>
          </w:p>
        </w:tc>
        <w:tc>
          <w:tcPr>
            <w:tcW w:w="1418" w:type="dxa"/>
            <w:tcBorders>
              <w:top w:val="nil"/>
              <w:bottom w:val="single" w:sz="2" w:space="0" w:color="1F4E79" w:themeColor="accent1" w:themeShade="80"/>
            </w:tcBorders>
            <w:shd w:val="clear" w:color="auto" w:fill="auto"/>
            <w:vAlign w:val="center"/>
          </w:tcPr>
          <w:p w14:paraId="600EDC66" w14:textId="77777777" w:rsidR="00375569" w:rsidRPr="00E16069" w:rsidRDefault="00375569" w:rsidP="00B1137D">
            <w:pPr>
              <w:pStyle w:val="08-Tabelageral"/>
              <w:rPr>
                <w:rFonts w:cs="Arial"/>
                <w:b/>
                <w:szCs w:val="14"/>
              </w:rPr>
            </w:pPr>
            <w:r>
              <w:rPr>
                <w:rFonts w:cs="Arial"/>
                <w:b/>
                <w:szCs w:val="14"/>
              </w:rPr>
              <w:t>682.950</w:t>
            </w:r>
          </w:p>
        </w:tc>
      </w:tr>
    </w:tbl>
    <w:p w14:paraId="2B33A5BA" w14:textId="77777777" w:rsidR="00375569" w:rsidRDefault="00375569" w:rsidP="007220E5">
      <w:pPr>
        <w:jc w:val="both"/>
        <w:rPr>
          <w:rFonts w:cs="Arial"/>
          <w:sz w:val="14"/>
          <w:szCs w:val="14"/>
        </w:rPr>
      </w:pPr>
    </w:p>
    <w:p w14:paraId="7769877D" w14:textId="77777777" w:rsidR="00375569" w:rsidRPr="00034C98" w:rsidRDefault="00375569" w:rsidP="0075135E">
      <w:pPr>
        <w:keepNext/>
        <w:keepLines/>
        <w:spacing w:after="40"/>
        <w:rPr>
          <w:rFonts w:cs="Arial"/>
          <w:b/>
          <w:color w:val="1F4E79" w:themeColor="accent1" w:themeShade="80"/>
          <w:sz w:val="20"/>
          <w:szCs w:val="20"/>
        </w:rPr>
      </w:pPr>
      <w:r w:rsidRPr="00034C98">
        <w:rPr>
          <w:rFonts w:cs="Arial"/>
          <w:b/>
          <w:color w:val="1F4E79" w:themeColor="accent1" w:themeShade="80"/>
          <w:sz w:val="20"/>
          <w:szCs w:val="20"/>
        </w:rPr>
        <w:t>h) Passivos por Impostos Diferidos</w:t>
      </w:r>
    </w:p>
    <w:p w14:paraId="267FCC16" w14:textId="77777777" w:rsidR="00375569" w:rsidRDefault="00375569" w:rsidP="0075135E">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375569" w:rsidRPr="00BC6379" w14:paraId="6A00A377" w14:textId="77777777" w:rsidTr="00725333">
        <w:trPr>
          <w:trHeight w:val="238"/>
          <w:jc w:val="center"/>
        </w:trPr>
        <w:tc>
          <w:tcPr>
            <w:tcW w:w="5030" w:type="dxa"/>
            <w:tcBorders>
              <w:top w:val="single" w:sz="2" w:space="0" w:color="1F4E79" w:themeColor="accent1" w:themeShade="80"/>
              <w:bottom w:val="nil"/>
            </w:tcBorders>
            <w:shd w:val="clear" w:color="auto" w:fill="auto"/>
          </w:tcPr>
          <w:p w14:paraId="0FC51D45" w14:textId="77777777" w:rsidR="00375569" w:rsidRPr="00BC6379" w:rsidRDefault="00375569" w:rsidP="0075135E">
            <w:pPr>
              <w:keepNext/>
              <w:keepLines/>
              <w:spacing w:after="0"/>
              <w:jc w:val="center"/>
              <w:rPr>
                <w:rFonts w:cs="Arial"/>
                <w:b/>
                <w:szCs w:val="18"/>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1800992A" w14:textId="77777777" w:rsidR="00375569" w:rsidRPr="00BC6379" w:rsidRDefault="00375569" w:rsidP="0075135E">
            <w:pPr>
              <w:keepNext/>
              <w:keepLines/>
              <w:spacing w:after="0"/>
              <w:jc w:val="center"/>
              <w:rPr>
                <w:rFonts w:cs="Arial"/>
                <w:b/>
                <w:szCs w:val="18"/>
              </w:rPr>
            </w:pPr>
            <w:r w:rsidRPr="00BC6379">
              <w:rPr>
                <w:rFonts w:cs="Arial"/>
                <w:b/>
                <w:sz w:val="14"/>
                <w:szCs w:val="18"/>
              </w:rPr>
              <w:t>Consolidado</w:t>
            </w:r>
          </w:p>
        </w:tc>
      </w:tr>
      <w:tr w:rsidR="00375569" w:rsidRPr="00BC6379" w14:paraId="4BAE3AAC" w14:textId="77777777" w:rsidTr="00725333">
        <w:trPr>
          <w:trHeight w:val="238"/>
          <w:jc w:val="center"/>
        </w:trPr>
        <w:tc>
          <w:tcPr>
            <w:tcW w:w="5030" w:type="dxa"/>
            <w:tcBorders>
              <w:top w:val="nil"/>
              <w:bottom w:val="single" w:sz="2" w:space="0" w:color="1F4E79" w:themeColor="accent1" w:themeShade="80"/>
            </w:tcBorders>
            <w:shd w:val="clear" w:color="auto" w:fill="auto"/>
          </w:tcPr>
          <w:p w14:paraId="358C09D0" w14:textId="77777777" w:rsidR="00375569" w:rsidRPr="00BC6379" w:rsidRDefault="00375569" w:rsidP="0075135E">
            <w:pPr>
              <w:pStyle w:val="08-Tabelageral"/>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58613485" w14:textId="77777777" w:rsidR="00375569" w:rsidRPr="00BC6379" w:rsidRDefault="00375569" w:rsidP="00291BEF">
            <w:pPr>
              <w:pStyle w:val="08-Tabelageral"/>
              <w:rPr>
                <w:rFonts w:cs="Arial"/>
                <w:b/>
              </w:rPr>
            </w:pPr>
            <w:r w:rsidRPr="00BC6379">
              <w:rPr>
                <w:rFonts w:cs="Arial"/>
                <w:b/>
              </w:rPr>
              <w:t>3</w:t>
            </w:r>
            <w:r>
              <w:rPr>
                <w:rFonts w:cs="Arial"/>
                <w:b/>
              </w:rPr>
              <w:t>1</w:t>
            </w:r>
            <w:r w:rsidRPr="00BC6379">
              <w:rPr>
                <w:rFonts w:cs="Arial"/>
                <w:b/>
              </w:rPr>
              <w:t>.</w:t>
            </w:r>
            <w:r>
              <w:rPr>
                <w:rFonts w:cs="Arial"/>
                <w:b/>
              </w:rPr>
              <w:t>12</w:t>
            </w:r>
            <w:r w:rsidRPr="00BC6379">
              <w:rPr>
                <w:rFonts w:cs="Arial"/>
                <w:b/>
              </w:rPr>
              <w:t>.202</w:t>
            </w:r>
            <w:r>
              <w:rPr>
                <w:rFonts w:cs="Arial"/>
                <w:b/>
              </w:rPr>
              <w:t>1</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2428C8DB" w14:textId="77777777" w:rsidR="00375569" w:rsidRPr="00BC6379" w:rsidRDefault="00375569" w:rsidP="005F379C">
            <w:pPr>
              <w:pStyle w:val="08-Tabelageral"/>
              <w:rPr>
                <w:rFonts w:cs="Arial"/>
                <w:b/>
              </w:rPr>
            </w:pPr>
            <w:r w:rsidRPr="00BC6379">
              <w:rPr>
                <w:rFonts w:cs="Arial"/>
                <w:b/>
              </w:rPr>
              <w:t>31.12.20</w:t>
            </w:r>
            <w:r>
              <w:rPr>
                <w:rFonts w:cs="Arial"/>
                <w:b/>
              </w:rPr>
              <w:t>20</w:t>
            </w:r>
          </w:p>
        </w:tc>
      </w:tr>
      <w:tr w:rsidR="00375569" w:rsidRPr="00BC6379" w14:paraId="31A1AF13" w14:textId="77777777" w:rsidTr="00725333">
        <w:trPr>
          <w:trHeight w:val="238"/>
          <w:jc w:val="center"/>
        </w:trPr>
        <w:tc>
          <w:tcPr>
            <w:tcW w:w="5030" w:type="dxa"/>
            <w:tcBorders>
              <w:top w:val="single" w:sz="2" w:space="0" w:color="1F4E79" w:themeColor="accent1" w:themeShade="80"/>
            </w:tcBorders>
            <w:shd w:val="clear" w:color="auto" w:fill="auto"/>
          </w:tcPr>
          <w:p w14:paraId="760DAC67" w14:textId="77777777" w:rsidR="00375569" w:rsidRPr="00BC6379" w:rsidRDefault="00375569" w:rsidP="005F379C">
            <w:pPr>
              <w:pStyle w:val="08-Tabelageral"/>
              <w:ind w:left="113"/>
              <w:jc w:val="left"/>
              <w:rPr>
                <w:rFonts w:cs="Arial"/>
                <w:szCs w:val="14"/>
                <w:vertAlign w:val="superscript"/>
              </w:rPr>
            </w:pPr>
            <w:r w:rsidRPr="00BC6379">
              <w:rPr>
                <w:rFonts w:cs="Arial"/>
                <w:szCs w:val="14"/>
              </w:rPr>
              <w:t>Decorrentes da parceria com a Mapfre</w:t>
            </w:r>
            <w:r>
              <w:rPr>
                <w:rFonts w:cs="Arial"/>
                <w:szCs w:val="14"/>
              </w:rPr>
              <w:t xml:space="preserve"> </w:t>
            </w:r>
            <w:r w:rsidRPr="007632B9">
              <w:rPr>
                <w:vertAlign w:val="superscript"/>
              </w:rPr>
              <w:t>(1)</w:t>
            </w:r>
          </w:p>
        </w:tc>
        <w:tc>
          <w:tcPr>
            <w:tcW w:w="2304" w:type="dxa"/>
            <w:tcBorders>
              <w:top w:val="single" w:sz="2" w:space="0" w:color="1F4E79" w:themeColor="accent1" w:themeShade="80"/>
            </w:tcBorders>
            <w:shd w:val="clear" w:color="auto" w:fill="auto"/>
            <w:vAlign w:val="center"/>
          </w:tcPr>
          <w:p w14:paraId="059BD60B" w14:textId="77777777" w:rsidR="00375569" w:rsidRPr="00BC6379" w:rsidRDefault="00375569" w:rsidP="005F379C">
            <w:pPr>
              <w:pStyle w:val="08-Tabelageral"/>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466F29C1" w14:textId="77777777" w:rsidR="00375569" w:rsidRPr="00BC6379" w:rsidRDefault="00375569" w:rsidP="005F379C">
            <w:pPr>
              <w:pStyle w:val="08-Tabelageral"/>
              <w:ind w:left="113"/>
              <w:rPr>
                <w:rFonts w:cs="Arial"/>
                <w:szCs w:val="14"/>
              </w:rPr>
            </w:pPr>
            <w:r>
              <w:rPr>
                <w:rFonts w:cs="Arial"/>
                <w:szCs w:val="14"/>
              </w:rPr>
              <w:t>223.387</w:t>
            </w:r>
          </w:p>
        </w:tc>
      </w:tr>
      <w:tr w:rsidR="00375569" w:rsidRPr="00BC6379" w14:paraId="56275132" w14:textId="77777777" w:rsidTr="00725333">
        <w:trPr>
          <w:trHeight w:val="238"/>
          <w:jc w:val="center"/>
        </w:trPr>
        <w:tc>
          <w:tcPr>
            <w:tcW w:w="5030" w:type="dxa"/>
            <w:shd w:val="clear" w:color="auto" w:fill="auto"/>
          </w:tcPr>
          <w:p w14:paraId="22C63D34" w14:textId="77777777" w:rsidR="00375569" w:rsidRPr="00BC6379" w:rsidRDefault="00375569" w:rsidP="005F379C">
            <w:pPr>
              <w:pStyle w:val="08-Tabelageral"/>
              <w:ind w:left="113"/>
              <w:jc w:val="left"/>
              <w:rPr>
                <w:rFonts w:cs="Arial"/>
                <w:szCs w:val="14"/>
              </w:rPr>
            </w:pPr>
            <w:r w:rsidRPr="00BC6379">
              <w:rPr>
                <w:rFonts w:cs="Arial"/>
                <w:szCs w:val="14"/>
              </w:rPr>
              <w:t>Decorrentes de amortização de ágio da Brasilcap</w:t>
            </w:r>
          </w:p>
        </w:tc>
        <w:tc>
          <w:tcPr>
            <w:tcW w:w="2304" w:type="dxa"/>
            <w:shd w:val="clear" w:color="auto" w:fill="auto"/>
            <w:vAlign w:val="center"/>
          </w:tcPr>
          <w:p w14:paraId="2A26AA71" w14:textId="77777777" w:rsidR="00375569" w:rsidRPr="00BC6379" w:rsidRDefault="00375569" w:rsidP="005F379C">
            <w:pPr>
              <w:pStyle w:val="08-Tabelageral"/>
              <w:ind w:left="113"/>
              <w:rPr>
                <w:rFonts w:cs="Arial"/>
                <w:szCs w:val="14"/>
              </w:rPr>
            </w:pPr>
            <w:r>
              <w:rPr>
                <w:rFonts w:cs="Arial"/>
                <w:szCs w:val="14"/>
              </w:rPr>
              <w:t>4.647</w:t>
            </w:r>
          </w:p>
        </w:tc>
        <w:tc>
          <w:tcPr>
            <w:tcW w:w="2305" w:type="dxa"/>
            <w:shd w:val="clear" w:color="auto" w:fill="auto"/>
            <w:vAlign w:val="center"/>
          </w:tcPr>
          <w:p w14:paraId="28656D85" w14:textId="77777777" w:rsidR="00375569" w:rsidRPr="00BC6379" w:rsidRDefault="00375569" w:rsidP="005F379C">
            <w:pPr>
              <w:pStyle w:val="08-Tabelageral"/>
              <w:ind w:left="113"/>
              <w:rPr>
                <w:rFonts w:cs="Arial"/>
                <w:szCs w:val="14"/>
              </w:rPr>
            </w:pPr>
            <w:r>
              <w:rPr>
                <w:rFonts w:cs="Arial"/>
                <w:szCs w:val="14"/>
              </w:rPr>
              <w:t>4.647</w:t>
            </w:r>
          </w:p>
        </w:tc>
      </w:tr>
      <w:tr w:rsidR="00375569" w:rsidRPr="00BC6379" w14:paraId="43BE86C2" w14:textId="77777777" w:rsidTr="00725333">
        <w:trPr>
          <w:trHeight w:val="238"/>
          <w:jc w:val="center"/>
        </w:trPr>
        <w:tc>
          <w:tcPr>
            <w:tcW w:w="5030" w:type="dxa"/>
            <w:tcBorders>
              <w:bottom w:val="nil"/>
            </w:tcBorders>
            <w:shd w:val="clear" w:color="auto" w:fill="auto"/>
          </w:tcPr>
          <w:p w14:paraId="3D62C8C0" w14:textId="77777777" w:rsidR="00375569" w:rsidRPr="00BC6379" w:rsidRDefault="00375569" w:rsidP="005F379C">
            <w:pPr>
              <w:pStyle w:val="08-Tabelageral"/>
              <w:ind w:left="113"/>
              <w:jc w:val="left"/>
              <w:rPr>
                <w:rFonts w:cs="Arial"/>
                <w:szCs w:val="14"/>
              </w:rPr>
            </w:pPr>
            <w:r w:rsidRPr="00BC6379">
              <w:rPr>
                <w:rFonts w:cs="Arial"/>
                <w:szCs w:val="14"/>
              </w:rPr>
              <w:t>Outras diferenças temporárias</w:t>
            </w:r>
          </w:p>
        </w:tc>
        <w:tc>
          <w:tcPr>
            <w:tcW w:w="2304" w:type="dxa"/>
            <w:tcBorders>
              <w:bottom w:val="nil"/>
            </w:tcBorders>
            <w:shd w:val="clear" w:color="auto" w:fill="auto"/>
            <w:vAlign w:val="center"/>
          </w:tcPr>
          <w:p w14:paraId="11BC4292" w14:textId="77777777" w:rsidR="00375569" w:rsidRPr="00BC6379" w:rsidRDefault="00375569" w:rsidP="005F379C">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7E52A630" w14:textId="77777777" w:rsidR="00375569" w:rsidRPr="00BC6379" w:rsidRDefault="00375569" w:rsidP="005F379C">
            <w:pPr>
              <w:pStyle w:val="08-Tabelageral"/>
              <w:ind w:left="113"/>
              <w:rPr>
                <w:rFonts w:cs="Arial"/>
                <w:szCs w:val="14"/>
              </w:rPr>
            </w:pPr>
            <w:r>
              <w:rPr>
                <w:rFonts w:cs="Arial"/>
                <w:szCs w:val="14"/>
              </w:rPr>
              <w:t>531</w:t>
            </w:r>
          </w:p>
        </w:tc>
      </w:tr>
      <w:tr w:rsidR="00375569" w:rsidRPr="00BC6379" w14:paraId="3703CBCA" w14:textId="77777777" w:rsidTr="00725333">
        <w:trPr>
          <w:trHeight w:val="238"/>
          <w:jc w:val="center"/>
        </w:trPr>
        <w:tc>
          <w:tcPr>
            <w:tcW w:w="5030" w:type="dxa"/>
            <w:tcBorders>
              <w:top w:val="nil"/>
              <w:bottom w:val="single" w:sz="2" w:space="0" w:color="1F4E79" w:themeColor="accent1" w:themeShade="80"/>
            </w:tcBorders>
            <w:shd w:val="clear" w:color="auto" w:fill="auto"/>
          </w:tcPr>
          <w:p w14:paraId="7F449C1C" w14:textId="77777777" w:rsidR="00375569" w:rsidRPr="00BC6379" w:rsidRDefault="00375569" w:rsidP="005F379C">
            <w:pPr>
              <w:pStyle w:val="08-Tabelageral"/>
              <w:jc w:val="left"/>
              <w:rPr>
                <w:rFonts w:cs="Arial"/>
                <w:b/>
                <w:szCs w:val="14"/>
              </w:rPr>
            </w:pPr>
            <w:r w:rsidRPr="00BC6379">
              <w:rPr>
                <w:rFonts w:cs="Arial"/>
                <w:b/>
              </w:rPr>
              <w:t>Total da Obrigações Fiscais Diferidas</w:t>
            </w:r>
          </w:p>
        </w:tc>
        <w:tc>
          <w:tcPr>
            <w:tcW w:w="2304" w:type="dxa"/>
            <w:tcBorders>
              <w:top w:val="nil"/>
              <w:bottom w:val="single" w:sz="2" w:space="0" w:color="1F4E79" w:themeColor="accent1" w:themeShade="80"/>
            </w:tcBorders>
            <w:shd w:val="clear" w:color="auto" w:fill="auto"/>
            <w:vAlign w:val="center"/>
          </w:tcPr>
          <w:p w14:paraId="0625E3FF" w14:textId="77777777" w:rsidR="00375569" w:rsidRPr="00BC6379" w:rsidRDefault="00375569" w:rsidP="005F379C">
            <w:pPr>
              <w:pStyle w:val="08-Tabelageral"/>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76A870FF" w14:textId="77777777" w:rsidR="00375569" w:rsidRPr="00BC6379" w:rsidRDefault="00375569" w:rsidP="005F379C">
            <w:pPr>
              <w:pStyle w:val="08-Tabelageral"/>
              <w:rPr>
                <w:rFonts w:cs="Arial"/>
                <w:b/>
                <w:szCs w:val="14"/>
              </w:rPr>
            </w:pPr>
            <w:r>
              <w:rPr>
                <w:rFonts w:cs="Arial"/>
                <w:b/>
                <w:szCs w:val="14"/>
              </w:rPr>
              <w:t>228.565</w:t>
            </w:r>
          </w:p>
        </w:tc>
      </w:tr>
    </w:tbl>
    <w:p w14:paraId="27ADE69E" w14:textId="77777777" w:rsidR="00375569" w:rsidRPr="0046733D" w:rsidRDefault="00375569" w:rsidP="007F4615">
      <w:pPr>
        <w:pStyle w:val="07-Legenda"/>
        <w:numPr>
          <w:ilvl w:val="0"/>
          <w:numId w:val="28"/>
        </w:numPr>
        <w:ind w:left="284" w:hanging="284"/>
        <w:rPr>
          <w:rFonts w:cs="Arial"/>
          <w:szCs w:val="14"/>
        </w:rPr>
      </w:pPr>
      <w:r w:rsidRPr="0046733D">
        <w:rPr>
          <w:rFonts w:cs="Arial"/>
          <w:spacing w:val="0"/>
          <w:szCs w:val="14"/>
        </w:rPr>
        <w:t xml:space="preserve">Refere-se a provisão de tributos diferidos decorrentes de </w:t>
      </w:r>
      <w:r>
        <w:rPr>
          <w:rFonts w:cs="Arial"/>
          <w:spacing w:val="0"/>
          <w:szCs w:val="14"/>
        </w:rPr>
        <w:t>intangíveis no investimento na BB Mapfre</w:t>
      </w:r>
      <w:r w:rsidRPr="0046733D">
        <w:rPr>
          <w:rFonts w:cs="Arial"/>
          <w:spacing w:val="0"/>
          <w:szCs w:val="14"/>
        </w:rPr>
        <w:t>.</w:t>
      </w:r>
    </w:p>
    <w:p w14:paraId="5574F3E5" w14:textId="77777777" w:rsidR="00375569" w:rsidRDefault="00375569" w:rsidP="0075135E">
      <w:pPr>
        <w:keepNext/>
        <w:keepLines/>
        <w:spacing w:after="0"/>
        <w:jc w:val="right"/>
        <w:rPr>
          <w:rFonts w:cs="Arial"/>
          <w:b/>
          <w:sz w:val="14"/>
          <w:lang w:eastAsia="pt-BR"/>
        </w:rPr>
      </w:pPr>
    </w:p>
    <w:p w14:paraId="02BD7063" w14:textId="77777777" w:rsidR="00375569" w:rsidRDefault="00375569" w:rsidP="0075135E">
      <w:pPr>
        <w:keepNext/>
        <w:keepLines/>
        <w:spacing w:after="0"/>
        <w:jc w:val="right"/>
        <w:rPr>
          <w:rFonts w:cs="Arial"/>
          <w:b/>
          <w:sz w:val="14"/>
          <w:lang w:eastAsia="pt-BR"/>
        </w:rPr>
      </w:pPr>
    </w:p>
    <w:p w14:paraId="388D316D" w14:textId="77777777" w:rsidR="00375569" w:rsidRDefault="00375569" w:rsidP="004E5234">
      <w:pPr>
        <w:pStyle w:val="05-Textonormal"/>
        <w:rPr>
          <w:rFonts w:cs="Arial"/>
        </w:rPr>
      </w:pPr>
      <w:r>
        <w:t xml:space="preserve">Não há saldo </w:t>
      </w:r>
      <w:r w:rsidRPr="00035DC8">
        <w:t xml:space="preserve">de </w:t>
      </w:r>
      <w:r>
        <w:t>passivos por impostos diferidos no</w:t>
      </w:r>
      <w:r w:rsidRPr="00035DC8">
        <w:t xml:space="preserve"> Controlador</w:t>
      </w:r>
      <w:r>
        <w:t>.</w:t>
      </w:r>
      <w:bookmarkEnd w:id="82"/>
    </w:p>
    <w:p w14:paraId="6E2B0610" w14:textId="3E2391CC" w:rsidR="00375569" w:rsidRPr="00725333" w:rsidRDefault="00375569" w:rsidP="00725333">
      <w:pPr>
        <w:pStyle w:val="02-TtulodeNota"/>
        <w:keepNext/>
        <w:keepLines/>
        <w:pageBreakBefore/>
        <w:rPr>
          <w:color w:val="1F4E79" w:themeColor="accent1" w:themeShade="80"/>
        </w:rPr>
      </w:pPr>
      <w:bookmarkStart w:id="84" w:name="_Toc94861071"/>
      <w:r w:rsidRPr="00725333">
        <w:rPr>
          <w:color w:val="1F4E79" w:themeColor="accent1" w:themeShade="80"/>
        </w:rPr>
        <w:lastRenderedPageBreak/>
        <w:t>13 – OUTRAS RECEITAS E DESPESAS</w:t>
      </w:r>
      <w:bookmarkEnd w:id="84"/>
    </w:p>
    <w:p w14:paraId="03947419" w14:textId="77777777" w:rsidR="00375569" w:rsidRPr="00434CBC" w:rsidRDefault="00375569" w:rsidP="00434CBC">
      <w:pPr>
        <w:pStyle w:val="06-Rmil"/>
        <w:rPr>
          <w:rFonts w:cs="Arial"/>
          <w:sz w:val="12"/>
          <w:szCs w:val="12"/>
        </w:rPr>
      </w:pPr>
      <w:r w:rsidRPr="00F328AB">
        <w:rPr>
          <w:rFonts w:cs="Arial"/>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848"/>
        <w:gridCol w:w="1411"/>
        <w:gridCol w:w="1412"/>
        <w:gridCol w:w="283"/>
        <w:gridCol w:w="1417"/>
        <w:gridCol w:w="1418"/>
      </w:tblGrid>
      <w:tr w:rsidR="00375569" w:rsidRPr="005171F7" w14:paraId="4B8B3DBE" w14:textId="77777777" w:rsidTr="00DB0037">
        <w:trPr>
          <w:trHeight w:hRule="exact" w:val="283"/>
          <w:jc w:val="center"/>
        </w:trPr>
        <w:tc>
          <w:tcPr>
            <w:tcW w:w="850" w:type="dxa"/>
            <w:tcBorders>
              <w:top w:val="single" w:sz="2" w:space="0" w:color="1F4E79" w:themeColor="accent1" w:themeShade="80"/>
              <w:bottom w:val="nil"/>
            </w:tcBorders>
            <w:shd w:val="clear" w:color="auto" w:fill="auto"/>
          </w:tcPr>
          <w:p w14:paraId="7136A64A" w14:textId="77777777" w:rsidR="00375569" w:rsidRPr="005171F7" w:rsidRDefault="00375569" w:rsidP="0053539B">
            <w:pPr>
              <w:keepNext/>
              <w:keepLines/>
              <w:spacing w:before="40" w:after="40"/>
              <w:jc w:val="center"/>
              <w:rPr>
                <w:rFonts w:cs="Arial"/>
                <w:b/>
                <w:bCs/>
                <w:spacing w:val="-2"/>
                <w:sz w:val="14"/>
                <w:szCs w:val="14"/>
              </w:rPr>
            </w:pPr>
          </w:p>
        </w:tc>
        <w:tc>
          <w:tcPr>
            <w:tcW w:w="2848" w:type="dxa"/>
            <w:tcBorders>
              <w:top w:val="single" w:sz="2" w:space="0" w:color="1F4E79" w:themeColor="accent1" w:themeShade="80"/>
              <w:bottom w:val="nil"/>
            </w:tcBorders>
            <w:shd w:val="clear" w:color="auto" w:fill="auto"/>
          </w:tcPr>
          <w:p w14:paraId="58966276" w14:textId="77777777" w:rsidR="00375569" w:rsidRPr="005171F7" w:rsidRDefault="00375569" w:rsidP="0053539B">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222A35" w:themeColor="text2" w:themeShade="80"/>
            </w:tcBorders>
            <w:shd w:val="clear" w:color="auto" w:fill="auto"/>
            <w:vAlign w:val="center"/>
          </w:tcPr>
          <w:p w14:paraId="1C4C3331" w14:textId="77777777" w:rsidR="00375569" w:rsidRPr="005171F7" w:rsidRDefault="00375569" w:rsidP="000310B9">
            <w:pPr>
              <w:keepNext/>
              <w:keepLines/>
              <w:spacing w:before="40" w:after="40"/>
              <w:jc w:val="center"/>
              <w:rPr>
                <w:rFonts w:cs="Arial"/>
                <w:b/>
                <w:spacing w:val="-2"/>
                <w:sz w:val="14"/>
                <w:szCs w:val="14"/>
              </w:rPr>
            </w:pPr>
            <w:r w:rsidRPr="005171F7">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3254AEFA" w14:textId="77777777" w:rsidR="00375569" w:rsidRPr="005171F7" w:rsidRDefault="00375569" w:rsidP="000310B9">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222A35" w:themeColor="text2" w:themeShade="80"/>
            </w:tcBorders>
            <w:shd w:val="clear" w:color="auto" w:fill="auto"/>
            <w:vAlign w:val="center"/>
          </w:tcPr>
          <w:p w14:paraId="75C96DEE" w14:textId="77777777" w:rsidR="00375569" w:rsidRPr="005171F7" w:rsidRDefault="00375569" w:rsidP="000310B9">
            <w:pPr>
              <w:keepNext/>
              <w:keepLines/>
              <w:spacing w:before="40" w:after="40"/>
              <w:jc w:val="center"/>
              <w:rPr>
                <w:rFonts w:cs="Arial"/>
                <w:b/>
                <w:spacing w:val="-2"/>
                <w:sz w:val="14"/>
                <w:szCs w:val="14"/>
              </w:rPr>
            </w:pPr>
            <w:r w:rsidRPr="005171F7">
              <w:rPr>
                <w:rFonts w:cs="Arial"/>
                <w:b/>
                <w:spacing w:val="-2"/>
                <w:sz w:val="14"/>
                <w:szCs w:val="14"/>
              </w:rPr>
              <w:t>Consolidado</w:t>
            </w:r>
          </w:p>
        </w:tc>
      </w:tr>
      <w:tr w:rsidR="00375569" w:rsidRPr="005171F7" w14:paraId="6B67D36C" w14:textId="77777777" w:rsidTr="00DB0037">
        <w:trPr>
          <w:trHeight w:hRule="exact" w:val="238"/>
          <w:jc w:val="center"/>
        </w:trPr>
        <w:tc>
          <w:tcPr>
            <w:tcW w:w="3698" w:type="dxa"/>
            <w:gridSpan w:val="2"/>
            <w:tcBorders>
              <w:top w:val="nil"/>
              <w:bottom w:val="single" w:sz="2" w:space="0" w:color="1F4E79" w:themeColor="accent1" w:themeShade="80"/>
            </w:tcBorders>
            <w:shd w:val="clear" w:color="auto" w:fill="auto"/>
          </w:tcPr>
          <w:p w14:paraId="37CC8CA6" w14:textId="77777777" w:rsidR="00375569" w:rsidRPr="005171F7" w:rsidRDefault="00375569" w:rsidP="0009554D">
            <w:pPr>
              <w:keepNext/>
              <w:keepLines/>
              <w:spacing w:before="40" w:after="40"/>
              <w:jc w:val="right"/>
              <w:rPr>
                <w:rFonts w:cs="Arial"/>
                <w:b/>
                <w:spacing w:val="-2"/>
                <w:sz w:val="14"/>
                <w:szCs w:val="14"/>
              </w:rPr>
            </w:pPr>
          </w:p>
        </w:tc>
        <w:tc>
          <w:tcPr>
            <w:tcW w:w="1411" w:type="dxa"/>
            <w:tcBorders>
              <w:top w:val="single" w:sz="2" w:space="0" w:color="222A35" w:themeColor="text2" w:themeShade="80"/>
              <w:bottom w:val="single" w:sz="2" w:space="0" w:color="1F4E79" w:themeColor="accent1" w:themeShade="80"/>
            </w:tcBorders>
            <w:shd w:val="clear" w:color="auto" w:fill="auto"/>
            <w:vAlign w:val="center"/>
          </w:tcPr>
          <w:p w14:paraId="3D3C81FD" w14:textId="77777777" w:rsidR="00375569" w:rsidRPr="005171F7" w:rsidRDefault="00375569" w:rsidP="0009554D">
            <w:pPr>
              <w:pStyle w:val="08-Tabelageral"/>
              <w:rPr>
                <w:rFonts w:cs="Arial"/>
                <w:b/>
                <w:szCs w:val="14"/>
              </w:rPr>
            </w:pPr>
            <w:r>
              <w:rPr>
                <w:rFonts w:cs="Arial"/>
                <w:b/>
                <w:szCs w:val="14"/>
              </w:rPr>
              <w:t>Exercício 2021</w:t>
            </w:r>
          </w:p>
        </w:tc>
        <w:tc>
          <w:tcPr>
            <w:tcW w:w="1412" w:type="dxa"/>
            <w:tcBorders>
              <w:top w:val="single" w:sz="2" w:space="0" w:color="222A35" w:themeColor="text2" w:themeShade="80"/>
              <w:bottom w:val="single" w:sz="2" w:space="0" w:color="1F4E79" w:themeColor="accent1" w:themeShade="80"/>
            </w:tcBorders>
            <w:shd w:val="clear" w:color="auto" w:fill="auto"/>
            <w:vAlign w:val="center"/>
          </w:tcPr>
          <w:p w14:paraId="55539DE7" w14:textId="77777777" w:rsidR="00375569" w:rsidRPr="005171F7" w:rsidRDefault="00375569" w:rsidP="0009554D">
            <w:pPr>
              <w:pStyle w:val="08-Tabelageral"/>
              <w:rPr>
                <w:rFonts w:cs="Arial"/>
                <w:b/>
                <w:szCs w:val="14"/>
              </w:rPr>
            </w:pPr>
            <w:r>
              <w:rPr>
                <w:rFonts w:cs="Arial"/>
                <w:b/>
                <w:szCs w:val="14"/>
              </w:rPr>
              <w:t>Exercício 2020</w:t>
            </w:r>
          </w:p>
        </w:tc>
        <w:tc>
          <w:tcPr>
            <w:tcW w:w="283" w:type="dxa"/>
            <w:tcBorders>
              <w:top w:val="nil"/>
              <w:bottom w:val="single" w:sz="2" w:space="0" w:color="1F4E79" w:themeColor="accent1" w:themeShade="80"/>
            </w:tcBorders>
            <w:shd w:val="clear" w:color="auto" w:fill="auto"/>
            <w:vAlign w:val="center"/>
          </w:tcPr>
          <w:p w14:paraId="03DD7C57" w14:textId="77777777" w:rsidR="00375569" w:rsidRPr="005171F7" w:rsidRDefault="00375569" w:rsidP="0009554D">
            <w:pPr>
              <w:pStyle w:val="08-Tabelageral"/>
              <w:rPr>
                <w:rFonts w:cs="Arial"/>
                <w:b/>
                <w:szCs w:val="14"/>
              </w:rPr>
            </w:pPr>
          </w:p>
        </w:tc>
        <w:tc>
          <w:tcPr>
            <w:tcW w:w="1417" w:type="dxa"/>
            <w:tcBorders>
              <w:top w:val="single" w:sz="2" w:space="0" w:color="222A35" w:themeColor="text2" w:themeShade="80"/>
              <w:bottom w:val="single" w:sz="2" w:space="0" w:color="1F4E79" w:themeColor="accent1" w:themeShade="80"/>
            </w:tcBorders>
            <w:shd w:val="clear" w:color="auto" w:fill="auto"/>
            <w:vAlign w:val="center"/>
          </w:tcPr>
          <w:p w14:paraId="62F7CBC7" w14:textId="77777777" w:rsidR="00375569" w:rsidRPr="005171F7" w:rsidRDefault="00375569" w:rsidP="0009554D">
            <w:pPr>
              <w:pStyle w:val="08-Tabelageral"/>
              <w:rPr>
                <w:rFonts w:cs="Arial"/>
                <w:b/>
                <w:szCs w:val="14"/>
              </w:rPr>
            </w:pPr>
            <w:r>
              <w:rPr>
                <w:rFonts w:cs="Arial"/>
                <w:b/>
                <w:szCs w:val="14"/>
              </w:rPr>
              <w:t>Exercício 2021</w:t>
            </w:r>
          </w:p>
        </w:tc>
        <w:tc>
          <w:tcPr>
            <w:tcW w:w="1418" w:type="dxa"/>
            <w:tcBorders>
              <w:top w:val="single" w:sz="2" w:space="0" w:color="222A35" w:themeColor="text2" w:themeShade="80"/>
              <w:bottom w:val="single" w:sz="2" w:space="0" w:color="1F4E79" w:themeColor="accent1" w:themeShade="80"/>
            </w:tcBorders>
            <w:shd w:val="clear" w:color="auto" w:fill="auto"/>
            <w:vAlign w:val="center"/>
          </w:tcPr>
          <w:p w14:paraId="575177A5" w14:textId="77777777" w:rsidR="00375569" w:rsidRPr="005171F7" w:rsidRDefault="00375569" w:rsidP="0009554D">
            <w:pPr>
              <w:pStyle w:val="08-Tabelageral"/>
              <w:rPr>
                <w:rFonts w:cs="Arial"/>
                <w:b/>
                <w:szCs w:val="14"/>
              </w:rPr>
            </w:pPr>
            <w:r>
              <w:rPr>
                <w:rFonts w:cs="Arial"/>
                <w:b/>
                <w:szCs w:val="14"/>
              </w:rPr>
              <w:t>Exercício 2020</w:t>
            </w:r>
          </w:p>
        </w:tc>
      </w:tr>
      <w:tr w:rsidR="00375569" w:rsidRPr="005171F7" w14:paraId="4C0FBD0B" w14:textId="77777777" w:rsidTr="00DB0037">
        <w:trPr>
          <w:trHeight w:val="263"/>
          <w:jc w:val="center"/>
        </w:trPr>
        <w:tc>
          <w:tcPr>
            <w:tcW w:w="3698" w:type="dxa"/>
            <w:gridSpan w:val="2"/>
            <w:tcBorders>
              <w:top w:val="single" w:sz="2" w:space="0" w:color="1F4E79" w:themeColor="accent1" w:themeShade="80"/>
              <w:bottom w:val="nil"/>
            </w:tcBorders>
            <w:shd w:val="clear" w:color="auto" w:fill="auto"/>
            <w:vAlign w:val="center"/>
          </w:tcPr>
          <w:p w14:paraId="0926D850" w14:textId="77777777" w:rsidR="00375569" w:rsidRPr="005171F7" w:rsidRDefault="00375569" w:rsidP="0016097D">
            <w:pPr>
              <w:pStyle w:val="08-Tabelageral"/>
              <w:jc w:val="left"/>
              <w:rPr>
                <w:rFonts w:cs="Arial"/>
                <w:szCs w:val="14"/>
              </w:rPr>
            </w:pPr>
            <w:r w:rsidRPr="005171F7">
              <w:rPr>
                <w:rFonts w:cs="Arial"/>
                <w:szCs w:val="14"/>
              </w:rPr>
              <w:t xml:space="preserve">Receita com ADR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411" w:type="dxa"/>
            <w:tcBorders>
              <w:top w:val="single" w:sz="2" w:space="0" w:color="1F4E79" w:themeColor="accent1" w:themeShade="80"/>
              <w:left w:val="nil"/>
              <w:bottom w:val="nil"/>
              <w:right w:val="nil"/>
            </w:tcBorders>
            <w:shd w:val="clear" w:color="auto" w:fill="auto"/>
            <w:vAlign w:val="center"/>
          </w:tcPr>
          <w:p w14:paraId="32453521" w14:textId="77777777" w:rsidR="00375569" w:rsidRPr="00AE31F4" w:rsidRDefault="00375569" w:rsidP="00DB0037">
            <w:pPr>
              <w:pStyle w:val="08-Tabelageral"/>
            </w:pPr>
            <w:r w:rsidRPr="00BD3130">
              <w:t>8.599</w:t>
            </w:r>
          </w:p>
        </w:tc>
        <w:tc>
          <w:tcPr>
            <w:tcW w:w="1412" w:type="dxa"/>
            <w:tcBorders>
              <w:top w:val="single" w:sz="2" w:space="0" w:color="1F4E79" w:themeColor="accent1" w:themeShade="80"/>
              <w:left w:val="nil"/>
              <w:bottom w:val="nil"/>
              <w:right w:val="nil"/>
            </w:tcBorders>
            <w:shd w:val="clear" w:color="auto" w:fill="auto"/>
            <w:vAlign w:val="center"/>
          </w:tcPr>
          <w:p w14:paraId="2413F214" w14:textId="77777777" w:rsidR="00375569" w:rsidRPr="00AE31F4" w:rsidRDefault="00375569" w:rsidP="00DB0037">
            <w:pPr>
              <w:pStyle w:val="08-Tabelageral"/>
            </w:pPr>
            <w:r w:rsidRPr="00B10166">
              <w:t>7.746</w:t>
            </w:r>
          </w:p>
        </w:tc>
        <w:tc>
          <w:tcPr>
            <w:tcW w:w="283" w:type="dxa"/>
            <w:tcBorders>
              <w:top w:val="single" w:sz="2" w:space="0" w:color="1F4E79" w:themeColor="accent1" w:themeShade="80"/>
              <w:left w:val="nil"/>
              <w:bottom w:val="nil"/>
              <w:right w:val="nil"/>
            </w:tcBorders>
            <w:shd w:val="clear" w:color="auto" w:fill="auto"/>
            <w:vAlign w:val="center"/>
          </w:tcPr>
          <w:p w14:paraId="2C3AC0DC" w14:textId="77777777" w:rsidR="00375569" w:rsidRPr="00AE31F4" w:rsidRDefault="00375569" w:rsidP="00DB0037">
            <w:pPr>
              <w:pStyle w:val="08-Tabelageral"/>
            </w:pPr>
          </w:p>
        </w:tc>
        <w:tc>
          <w:tcPr>
            <w:tcW w:w="1417" w:type="dxa"/>
            <w:tcBorders>
              <w:top w:val="single" w:sz="2" w:space="0" w:color="1F4E79" w:themeColor="accent1" w:themeShade="80"/>
              <w:left w:val="nil"/>
              <w:bottom w:val="nil"/>
              <w:right w:val="nil"/>
            </w:tcBorders>
            <w:shd w:val="clear" w:color="auto" w:fill="auto"/>
            <w:vAlign w:val="center"/>
          </w:tcPr>
          <w:p w14:paraId="6505785C" w14:textId="77777777" w:rsidR="00375569" w:rsidRPr="00AE31F4" w:rsidRDefault="00375569" w:rsidP="00DB0037">
            <w:pPr>
              <w:pStyle w:val="08-Tabelageral"/>
            </w:pPr>
            <w:r w:rsidRPr="00BD3130">
              <w:t>8.599</w:t>
            </w:r>
          </w:p>
        </w:tc>
        <w:tc>
          <w:tcPr>
            <w:tcW w:w="1418" w:type="dxa"/>
            <w:tcBorders>
              <w:top w:val="single" w:sz="2" w:space="0" w:color="1F4E79" w:themeColor="accent1" w:themeShade="80"/>
              <w:left w:val="nil"/>
              <w:bottom w:val="nil"/>
              <w:right w:val="nil"/>
            </w:tcBorders>
            <w:shd w:val="clear" w:color="auto" w:fill="auto"/>
            <w:vAlign w:val="center"/>
          </w:tcPr>
          <w:p w14:paraId="1DE7435B" w14:textId="77777777" w:rsidR="00375569" w:rsidRPr="00AE31F4" w:rsidRDefault="00375569" w:rsidP="00DB0037">
            <w:pPr>
              <w:pStyle w:val="08-Tabelageral"/>
            </w:pPr>
            <w:r>
              <w:t>7.746</w:t>
            </w:r>
          </w:p>
        </w:tc>
      </w:tr>
      <w:tr w:rsidR="00375569" w:rsidRPr="005171F7" w14:paraId="583FD3EE" w14:textId="77777777" w:rsidTr="00DB0037">
        <w:trPr>
          <w:trHeight w:val="263"/>
          <w:jc w:val="center"/>
        </w:trPr>
        <w:tc>
          <w:tcPr>
            <w:tcW w:w="3698" w:type="dxa"/>
            <w:gridSpan w:val="2"/>
            <w:tcBorders>
              <w:top w:val="nil"/>
            </w:tcBorders>
            <w:shd w:val="clear" w:color="auto" w:fill="auto"/>
            <w:vAlign w:val="center"/>
          </w:tcPr>
          <w:p w14:paraId="12D437AD" w14:textId="77777777" w:rsidR="00375569" w:rsidRPr="005171F7" w:rsidRDefault="00375569" w:rsidP="0016097D">
            <w:pPr>
              <w:pStyle w:val="08-Tabelageral"/>
              <w:jc w:val="left"/>
              <w:rPr>
                <w:rFonts w:cs="Arial"/>
                <w:szCs w:val="14"/>
              </w:rPr>
            </w:pPr>
            <w:r w:rsidRPr="005171F7">
              <w:rPr>
                <w:rFonts w:cs="Arial"/>
                <w:szCs w:val="14"/>
              </w:rPr>
              <w:t>(Constituição)/reversão de provisões trabalhistas, fiscais e cíveis</w:t>
            </w:r>
          </w:p>
        </w:tc>
        <w:tc>
          <w:tcPr>
            <w:tcW w:w="1411" w:type="dxa"/>
            <w:tcBorders>
              <w:top w:val="nil"/>
            </w:tcBorders>
            <w:shd w:val="clear" w:color="auto" w:fill="auto"/>
            <w:vAlign w:val="center"/>
          </w:tcPr>
          <w:p w14:paraId="726891CE" w14:textId="77777777" w:rsidR="00375569" w:rsidRPr="00AE31F4" w:rsidRDefault="00375569" w:rsidP="00DB0037">
            <w:pPr>
              <w:pStyle w:val="08-Tabelageral"/>
            </w:pPr>
            <w:r w:rsidRPr="00BD3130">
              <w:t>202</w:t>
            </w:r>
          </w:p>
        </w:tc>
        <w:tc>
          <w:tcPr>
            <w:tcW w:w="1412" w:type="dxa"/>
            <w:tcBorders>
              <w:top w:val="nil"/>
            </w:tcBorders>
            <w:shd w:val="clear" w:color="auto" w:fill="auto"/>
            <w:vAlign w:val="center"/>
          </w:tcPr>
          <w:p w14:paraId="30AE8140" w14:textId="77777777" w:rsidR="00375569" w:rsidRPr="00AE31F4" w:rsidRDefault="00375569" w:rsidP="00DB0037">
            <w:pPr>
              <w:pStyle w:val="08-Tabelageral"/>
            </w:pPr>
            <w:r w:rsidRPr="00B10166">
              <w:t>(127)</w:t>
            </w:r>
          </w:p>
        </w:tc>
        <w:tc>
          <w:tcPr>
            <w:tcW w:w="283" w:type="dxa"/>
            <w:tcBorders>
              <w:top w:val="nil"/>
            </w:tcBorders>
            <w:shd w:val="clear" w:color="auto" w:fill="auto"/>
            <w:vAlign w:val="center"/>
          </w:tcPr>
          <w:p w14:paraId="31A14001" w14:textId="77777777" w:rsidR="00375569" w:rsidRPr="00AE31F4" w:rsidRDefault="00375569" w:rsidP="00DB0037">
            <w:pPr>
              <w:pStyle w:val="08-Tabelageral"/>
            </w:pPr>
          </w:p>
        </w:tc>
        <w:tc>
          <w:tcPr>
            <w:tcW w:w="1417" w:type="dxa"/>
            <w:tcBorders>
              <w:top w:val="nil"/>
            </w:tcBorders>
            <w:shd w:val="clear" w:color="auto" w:fill="auto"/>
            <w:vAlign w:val="center"/>
          </w:tcPr>
          <w:p w14:paraId="12213258" w14:textId="77777777" w:rsidR="00375569" w:rsidRPr="00AE31F4" w:rsidRDefault="00375569" w:rsidP="00DB0037">
            <w:pPr>
              <w:pStyle w:val="08-Tabelageral"/>
            </w:pPr>
            <w:r w:rsidRPr="00BD3130">
              <w:t>2.571</w:t>
            </w:r>
          </w:p>
        </w:tc>
        <w:tc>
          <w:tcPr>
            <w:tcW w:w="1418" w:type="dxa"/>
            <w:tcBorders>
              <w:top w:val="nil"/>
            </w:tcBorders>
            <w:shd w:val="clear" w:color="auto" w:fill="auto"/>
            <w:vAlign w:val="center"/>
          </w:tcPr>
          <w:p w14:paraId="1E95147D" w14:textId="77777777" w:rsidR="00375569" w:rsidRPr="00AE31F4" w:rsidRDefault="00375569" w:rsidP="00DB0037">
            <w:pPr>
              <w:pStyle w:val="08-Tabelageral"/>
            </w:pPr>
            <w:r w:rsidRPr="00E20ED4">
              <w:t>(190)</w:t>
            </w:r>
          </w:p>
        </w:tc>
      </w:tr>
      <w:tr w:rsidR="00375569" w:rsidRPr="005171F7" w14:paraId="59DECA1D" w14:textId="77777777" w:rsidTr="00DB0037">
        <w:trPr>
          <w:trHeight w:val="263"/>
          <w:jc w:val="center"/>
        </w:trPr>
        <w:tc>
          <w:tcPr>
            <w:tcW w:w="3698" w:type="dxa"/>
            <w:gridSpan w:val="2"/>
            <w:shd w:val="clear" w:color="auto" w:fill="auto"/>
            <w:vAlign w:val="center"/>
          </w:tcPr>
          <w:p w14:paraId="23B2271B" w14:textId="77777777" w:rsidR="00375569" w:rsidRPr="005171F7" w:rsidRDefault="00375569" w:rsidP="0016097D">
            <w:pPr>
              <w:pStyle w:val="08-Tabelageral"/>
              <w:jc w:val="left"/>
              <w:rPr>
                <w:rFonts w:cs="Arial"/>
                <w:szCs w:val="14"/>
              </w:rPr>
            </w:pPr>
            <w:r w:rsidRPr="005171F7">
              <w:rPr>
                <w:rFonts w:cs="Arial"/>
                <w:szCs w:val="14"/>
              </w:rPr>
              <w:t>Despesas de depreciação/amortização</w:t>
            </w:r>
          </w:p>
        </w:tc>
        <w:tc>
          <w:tcPr>
            <w:tcW w:w="1411" w:type="dxa"/>
            <w:shd w:val="clear" w:color="auto" w:fill="auto"/>
            <w:vAlign w:val="center"/>
          </w:tcPr>
          <w:p w14:paraId="049301E4" w14:textId="77777777" w:rsidR="00375569" w:rsidRPr="00AE31F4" w:rsidRDefault="00375569" w:rsidP="00DB0037">
            <w:pPr>
              <w:pStyle w:val="08-Tabelageral"/>
            </w:pPr>
            <w:r>
              <w:t>(</w:t>
            </w:r>
            <w:r w:rsidRPr="00BD3130">
              <w:t>150</w:t>
            </w:r>
            <w:r>
              <w:t>)</w:t>
            </w:r>
          </w:p>
        </w:tc>
        <w:tc>
          <w:tcPr>
            <w:tcW w:w="1412" w:type="dxa"/>
            <w:shd w:val="clear" w:color="auto" w:fill="auto"/>
            <w:vAlign w:val="center"/>
          </w:tcPr>
          <w:p w14:paraId="16BC3B75" w14:textId="77777777" w:rsidR="00375569" w:rsidRPr="00AE31F4" w:rsidRDefault="00375569" w:rsidP="00DB0037">
            <w:pPr>
              <w:pStyle w:val="08-Tabelageral"/>
            </w:pPr>
            <w:r w:rsidRPr="00B10166">
              <w:t>(174)</w:t>
            </w:r>
          </w:p>
        </w:tc>
        <w:tc>
          <w:tcPr>
            <w:tcW w:w="283" w:type="dxa"/>
            <w:shd w:val="clear" w:color="auto" w:fill="auto"/>
            <w:vAlign w:val="center"/>
          </w:tcPr>
          <w:p w14:paraId="4E41B0C0" w14:textId="77777777" w:rsidR="00375569" w:rsidRPr="00AE31F4" w:rsidRDefault="00375569" w:rsidP="00DB0037">
            <w:pPr>
              <w:pStyle w:val="08-Tabelageral"/>
            </w:pPr>
          </w:p>
        </w:tc>
        <w:tc>
          <w:tcPr>
            <w:tcW w:w="1417" w:type="dxa"/>
            <w:shd w:val="clear" w:color="auto" w:fill="auto"/>
            <w:vAlign w:val="center"/>
          </w:tcPr>
          <w:p w14:paraId="492686E6" w14:textId="77777777" w:rsidR="00375569" w:rsidRPr="00AE31F4" w:rsidRDefault="00375569" w:rsidP="00DB0037">
            <w:pPr>
              <w:pStyle w:val="08-Tabelageral"/>
            </w:pPr>
            <w:r>
              <w:t>(</w:t>
            </w:r>
            <w:r w:rsidRPr="00BD3130">
              <w:t>1.067</w:t>
            </w:r>
            <w:r>
              <w:t>)</w:t>
            </w:r>
          </w:p>
        </w:tc>
        <w:tc>
          <w:tcPr>
            <w:tcW w:w="1418" w:type="dxa"/>
            <w:shd w:val="clear" w:color="auto" w:fill="auto"/>
            <w:vAlign w:val="center"/>
          </w:tcPr>
          <w:p w14:paraId="6611F487" w14:textId="77777777" w:rsidR="00375569" w:rsidRPr="00AE31F4" w:rsidRDefault="00375569" w:rsidP="00DB0037">
            <w:pPr>
              <w:pStyle w:val="08-Tabelageral"/>
            </w:pPr>
            <w:r w:rsidRPr="00E20ED4">
              <w:t>(1.011)</w:t>
            </w:r>
          </w:p>
        </w:tc>
      </w:tr>
      <w:tr w:rsidR="00375569" w:rsidRPr="005171F7" w14:paraId="07587243" w14:textId="77777777" w:rsidTr="00DB0037">
        <w:trPr>
          <w:trHeight w:val="263"/>
          <w:jc w:val="center"/>
        </w:trPr>
        <w:tc>
          <w:tcPr>
            <w:tcW w:w="3698" w:type="dxa"/>
            <w:gridSpan w:val="2"/>
            <w:shd w:val="clear" w:color="auto" w:fill="auto"/>
            <w:vAlign w:val="center"/>
          </w:tcPr>
          <w:p w14:paraId="52FCAA07" w14:textId="77777777" w:rsidR="00375569" w:rsidRPr="005171F7" w:rsidRDefault="00375569" w:rsidP="0016097D">
            <w:pPr>
              <w:pStyle w:val="08-Tabelageral"/>
              <w:jc w:val="left"/>
              <w:rPr>
                <w:rFonts w:cs="Arial"/>
                <w:szCs w:val="14"/>
              </w:rPr>
            </w:pPr>
            <w:r w:rsidRPr="005171F7">
              <w:rPr>
                <w:rFonts w:cs="Arial"/>
                <w:szCs w:val="14"/>
              </w:rPr>
              <w:t xml:space="preserve">Ganho/(perda) </w:t>
            </w:r>
            <w:r w:rsidRPr="005171F7">
              <w:rPr>
                <w:rFonts w:cs="Arial"/>
                <w:i/>
                <w:szCs w:val="14"/>
              </w:rPr>
              <w:t>earn in earn out</w:t>
            </w:r>
            <w:r w:rsidRPr="005171F7">
              <w:rPr>
                <w:rFonts w:cs="Arial"/>
                <w:szCs w:val="14"/>
              </w:rPr>
              <w:t xml:space="preserve"> </w:t>
            </w:r>
            <w:r w:rsidRPr="005171F7">
              <w:rPr>
                <w:rFonts w:cs="Arial"/>
                <w:szCs w:val="14"/>
                <w:vertAlign w:val="superscript"/>
              </w:rPr>
              <w:t>(</w:t>
            </w:r>
            <w:r>
              <w:rPr>
                <w:rFonts w:cs="Arial"/>
                <w:szCs w:val="14"/>
                <w:vertAlign w:val="superscript"/>
              </w:rPr>
              <w:t>2</w:t>
            </w:r>
            <w:r w:rsidRPr="005171F7">
              <w:rPr>
                <w:rFonts w:cs="Arial"/>
                <w:szCs w:val="14"/>
                <w:vertAlign w:val="superscript"/>
              </w:rPr>
              <w:t>)</w:t>
            </w:r>
          </w:p>
        </w:tc>
        <w:tc>
          <w:tcPr>
            <w:tcW w:w="1411" w:type="dxa"/>
            <w:shd w:val="clear" w:color="auto" w:fill="auto"/>
            <w:vAlign w:val="center"/>
          </w:tcPr>
          <w:p w14:paraId="4213B32C" w14:textId="77777777" w:rsidR="00375569" w:rsidRPr="00AE31F4" w:rsidRDefault="00375569" w:rsidP="00DB0037">
            <w:pPr>
              <w:pStyle w:val="08-Tabelageral"/>
            </w:pPr>
            <w:r>
              <w:t>--</w:t>
            </w:r>
          </w:p>
        </w:tc>
        <w:tc>
          <w:tcPr>
            <w:tcW w:w="1412" w:type="dxa"/>
            <w:shd w:val="clear" w:color="auto" w:fill="auto"/>
            <w:vAlign w:val="center"/>
          </w:tcPr>
          <w:p w14:paraId="08CD76A7" w14:textId="77777777" w:rsidR="00375569" w:rsidRPr="00AE31F4" w:rsidRDefault="00375569" w:rsidP="00DB0037">
            <w:pPr>
              <w:pStyle w:val="08-Tabelageral"/>
            </w:pPr>
            <w:r>
              <w:t>--</w:t>
            </w:r>
          </w:p>
        </w:tc>
        <w:tc>
          <w:tcPr>
            <w:tcW w:w="283" w:type="dxa"/>
            <w:shd w:val="clear" w:color="auto" w:fill="auto"/>
            <w:vAlign w:val="center"/>
          </w:tcPr>
          <w:p w14:paraId="4D4DAC13" w14:textId="77777777" w:rsidR="00375569" w:rsidRPr="00AE31F4" w:rsidRDefault="00375569" w:rsidP="00DB0037">
            <w:pPr>
              <w:pStyle w:val="08-Tabelageral"/>
            </w:pPr>
          </w:p>
        </w:tc>
        <w:tc>
          <w:tcPr>
            <w:tcW w:w="1417" w:type="dxa"/>
            <w:shd w:val="clear" w:color="auto" w:fill="auto"/>
            <w:vAlign w:val="center"/>
          </w:tcPr>
          <w:p w14:paraId="37CF32B7" w14:textId="77777777" w:rsidR="00375569" w:rsidRPr="00AE31F4" w:rsidRDefault="00375569" w:rsidP="00DB0037">
            <w:pPr>
              <w:pStyle w:val="08-Tabelageral"/>
            </w:pPr>
            <w:r>
              <w:t>(27.677)</w:t>
            </w:r>
          </w:p>
        </w:tc>
        <w:tc>
          <w:tcPr>
            <w:tcW w:w="1418" w:type="dxa"/>
            <w:shd w:val="clear" w:color="auto" w:fill="auto"/>
            <w:vAlign w:val="center"/>
          </w:tcPr>
          <w:p w14:paraId="22D959D8" w14:textId="77777777" w:rsidR="00375569" w:rsidRPr="00AE31F4" w:rsidRDefault="00375569" w:rsidP="00DB0037">
            <w:pPr>
              <w:pStyle w:val="08-Tabelageral"/>
            </w:pPr>
            <w:r w:rsidRPr="00E20ED4">
              <w:t>(27.534)</w:t>
            </w:r>
          </w:p>
        </w:tc>
      </w:tr>
      <w:tr w:rsidR="00375569" w:rsidRPr="005171F7" w14:paraId="40809CD9" w14:textId="77777777" w:rsidTr="00DB0037">
        <w:trPr>
          <w:trHeight w:val="263"/>
          <w:jc w:val="center"/>
        </w:trPr>
        <w:tc>
          <w:tcPr>
            <w:tcW w:w="3698" w:type="dxa"/>
            <w:gridSpan w:val="2"/>
            <w:tcBorders>
              <w:bottom w:val="nil"/>
            </w:tcBorders>
            <w:shd w:val="clear" w:color="auto" w:fill="auto"/>
            <w:vAlign w:val="center"/>
          </w:tcPr>
          <w:p w14:paraId="6724300E" w14:textId="77777777" w:rsidR="00375569" w:rsidRPr="005171F7" w:rsidRDefault="00375569" w:rsidP="0016097D">
            <w:pPr>
              <w:pStyle w:val="08-Tabelageral"/>
              <w:jc w:val="left"/>
              <w:rPr>
                <w:rFonts w:cs="Arial"/>
                <w:szCs w:val="14"/>
              </w:rPr>
            </w:pPr>
            <w:r w:rsidRPr="005171F7">
              <w:rPr>
                <w:rFonts w:cs="Arial"/>
                <w:szCs w:val="14"/>
              </w:rPr>
              <w:t xml:space="preserve">Outras Receitas/(Despesas)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411" w:type="dxa"/>
            <w:tcBorders>
              <w:bottom w:val="nil"/>
            </w:tcBorders>
            <w:shd w:val="clear" w:color="auto" w:fill="auto"/>
            <w:vAlign w:val="center"/>
          </w:tcPr>
          <w:p w14:paraId="7254805E" w14:textId="77777777" w:rsidR="00375569" w:rsidRPr="00AE31F4" w:rsidRDefault="00375569" w:rsidP="00DB0037">
            <w:pPr>
              <w:pStyle w:val="08-Tabelageral"/>
            </w:pPr>
            <w:r>
              <w:t>179</w:t>
            </w:r>
          </w:p>
        </w:tc>
        <w:tc>
          <w:tcPr>
            <w:tcW w:w="1412" w:type="dxa"/>
            <w:tcBorders>
              <w:bottom w:val="nil"/>
            </w:tcBorders>
            <w:shd w:val="clear" w:color="auto" w:fill="auto"/>
            <w:vAlign w:val="center"/>
          </w:tcPr>
          <w:p w14:paraId="2ECD9CF2" w14:textId="77777777" w:rsidR="00375569" w:rsidRPr="00AE31F4" w:rsidRDefault="00375569" w:rsidP="00DB0037">
            <w:pPr>
              <w:pStyle w:val="08-Tabelageral"/>
            </w:pPr>
            <w:r>
              <w:t>16</w:t>
            </w:r>
          </w:p>
        </w:tc>
        <w:tc>
          <w:tcPr>
            <w:tcW w:w="283" w:type="dxa"/>
            <w:tcBorders>
              <w:bottom w:val="nil"/>
            </w:tcBorders>
            <w:shd w:val="clear" w:color="auto" w:fill="auto"/>
            <w:vAlign w:val="center"/>
          </w:tcPr>
          <w:p w14:paraId="210AC110" w14:textId="77777777" w:rsidR="00375569" w:rsidRPr="00AE31F4" w:rsidRDefault="00375569" w:rsidP="00DB0037">
            <w:pPr>
              <w:pStyle w:val="08-Tabelageral"/>
            </w:pPr>
          </w:p>
        </w:tc>
        <w:tc>
          <w:tcPr>
            <w:tcW w:w="1417" w:type="dxa"/>
            <w:tcBorders>
              <w:bottom w:val="nil"/>
            </w:tcBorders>
            <w:shd w:val="clear" w:color="auto" w:fill="auto"/>
            <w:vAlign w:val="center"/>
          </w:tcPr>
          <w:p w14:paraId="349D51CA" w14:textId="77777777" w:rsidR="00375569" w:rsidRPr="00AE31F4" w:rsidRDefault="00375569" w:rsidP="00DB0037">
            <w:pPr>
              <w:pStyle w:val="08-Tabelageral"/>
            </w:pPr>
            <w:r>
              <w:t>(58.306)</w:t>
            </w:r>
          </w:p>
        </w:tc>
        <w:tc>
          <w:tcPr>
            <w:tcW w:w="1418" w:type="dxa"/>
            <w:tcBorders>
              <w:bottom w:val="nil"/>
            </w:tcBorders>
            <w:shd w:val="clear" w:color="auto" w:fill="auto"/>
            <w:vAlign w:val="center"/>
          </w:tcPr>
          <w:p w14:paraId="12577718" w14:textId="77777777" w:rsidR="00375569" w:rsidRPr="00AE31F4" w:rsidRDefault="00375569" w:rsidP="00DB0037">
            <w:pPr>
              <w:pStyle w:val="08-Tabelageral"/>
            </w:pPr>
            <w:r w:rsidRPr="00E20ED4">
              <w:t>(6.546)</w:t>
            </w:r>
          </w:p>
        </w:tc>
      </w:tr>
      <w:tr w:rsidR="00375569" w:rsidRPr="000D7E7A" w14:paraId="29586195" w14:textId="77777777" w:rsidTr="00DB0037">
        <w:trPr>
          <w:trHeight w:val="263"/>
          <w:jc w:val="center"/>
        </w:trPr>
        <w:tc>
          <w:tcPr>
            <w:tcW w:w="3698" w:type="dxa"/>
            <w:gridSpan w:val="2"/>
            <w:tcBorders>
              <w:top w:val="nil"/>
              <w:bottom w:val="single" w:sz="2" w:space="0" w:color="1F4E79" w:themeColor="accent1" w:themeShade="80"/>
            </w:tcBorders>
            <w:shd w:val="clear" w:color="auto" w:fill="auto"/>
            <w:vAlign w:val="center"/>
          </w:tcPr>
          <w:p w14:paraId="210E1577" w14:textId="77777777" w:rsidR="00375569" w:rsidRPr="000D7E7A" w:rsidRDefault="00375569" w:rsidP="00DB0037">
            <w:pPr>
              <w:pStyle w:val="08-Tabelageral"/>
              <w:jc w:val="left"/>
              <w:rPr>
                <w:rFonts w:cs="Arial"/>
                <w:b/>
                <w:szCs w:val="14"/>
              </w:rPr>
            </w:pPr>
            <w:r w:rsidRPr="000D7E7A">
              <w:rPr>
                <w:rFonts w:cs="Arial"/>
                <w:b/>
                <w:szCs w:val="14"/>
              </w:rPr>
              <w:t>Total</w:t>
            </w:r>
          </w:p>
        </w:tc>
        <w:tc>
          <w:tcPr>
            <w:tcW w:w="1411" w:type="dxa"/>
            <w:tcBorders>
              <w:top w:val="nil"/>
              <w:bottom w:val="single" w:sz="2" w:space="0" w:color="1F4E79" w:themeColor="accent1" w:themeShade="80"/>
            </w:tcBorders>
            <w:shd w:val="clear" w:color="auto" w:fill="auto"/>
            <w:vAlign w:val="center"/>
          </w:tcPr>
          <w:p w14:paraId="345A2789" w14:textId="77777777" w:rsidR="00375569" w:rsidRPr="000D7E7A" w:rsidRDefault="00375569" w:rsidP="00DB0037">
            <w:pPr>
              <w:pStyle w:val="08-Tabelageral"/>
              <w:rPr>
                <w:b/>
              </w:rPr>
            </w:pPr>
            <w:r>
              <w:rPr>
                <w:b/>
              </w:rPr>
              <w:t>8.830</w:t>
            </w:r>
          </w:p>
        </w:tc>
        <w:tc>
          <w:tcPr>
            <w:tcW w:w="1412" w:type="dxa"/>
            <w:tcBorders>
              <w:top w:val="nil"/>
              <w:bottom w:val="single" w:sz="2" w:space="0" w:color="1F4E79" w:themeColor="accent1" w:themeShade="80"/>
            </w:tcBorders>
            <w:shd w:val="clear" w:color="auto" w:fill="auto"/>
            <w:vAlign w:val="center"/>
          </w:tcPr>
          <w:p w14:paraId="01AB7A2E" w14:textId="77777777" w:rsidR="00375569" w:rsidRPr="000D7E7A" w:rsidRDefault="00375569" w:rsidP="00DB0037">
            <w:pPr>
              <w:pStyle w:val="08-Tabelageral"/>
              <w:rPr>
                <w:b/>
              </w:rPr>
            </w:pPr>
            <w:r>
              <w:rPr>
                <w:b/>
              </w:rPr>
              <w:t>7.461</w:t>
            </w:r>
          </w:p>
        </w:tc>
        <w:tc>
          <w:tcPr>
            <w:tcW w:w="283" w:type="dxa"/>
            <w:tcBorders>
              <w:top w:val="nil"/>
              <w:bottom w:val="single" w:sz="2" w:space="0" w:color="1F4E79" w:themeColor="accent1" w:themeShade="80"/>
            </w:tcBorders>
            <w:shd w:val="clear" w:color="auto" w:fill="auto"/>
            <w:vAlign w:val="center"/>
          </w:tcPr>
          <w:p w14:paraId="2A7AEE29" w14:textId="77777777" w:rsidR="00375569" w:rsidRPr="000D7E7A" w:rsidRDefault="00375569" w:rsidP="00DB0037">
            <w:pPr>
              <w:pStyle w:val="08-Tabelageral"/>
              <w:rPr>
                <w:b/>
              </w:rPr>
            </w:pPr>
          </w:p>
        </w:tc>
        <w:tc>
          <w:tcPr>
            <w:tcW w:w="1417" w:type="dxa"/>
            <w:tcBorders>
              <w:top w:val="nil"/>
              <w:bottom w:val="single" w:sz="2" w:space="0" w:color="1F4E79" w:themeColor="accent1" w:themeShade="80"/>
            </w:tcBorders>
            <w:shd w:val="clear" w:color="auto" w:fill="auto"/>
            <w:vAlign w:val="center"/>
          </w:tcPr>
          <w:p w14:paraId="490F5E42" w14:textId="77777777" w:rsidR="00375569" w:rsidRPr="000D7E7A" w:rsidRDefault="00375569" w:rsidP="00DB0037">
            <w:pPr>
              <w:pStyle w:val="08-Tabelageral"/>
              <w:rPr>
                <w:b/>
              </w:rPr>
            </w:pPr>
            <w:r>
              <w:rPr>
                <w:b/>
              </w:rPr>
              <w:t>(75.880)</w:t>
            </w:r>
          </w:p>
        </w:tc>
        <w:tc>
          <w:tcPr>
            <w:tcW w:w="1418" w:type="dxa"/>
            <w:tcBorders>
              <w:top w:val="nil"/>
              <w:bottom w:val="single" w:sz="2" w:space="0" w:color="1F4E79" w:themeColor="accent1" w:themeShade="80"/>
            </w:tcBorders>
            <w:shd w:val="clear" w:color="auto" w:fill="auto"/>
            <w:vAlign w:val="center"/>
          </w:tcPr>
          <w:p w14:paraId="6D9FDFC4" w14:textId="77777777" w:rsidR="00375569" w:rsidRPr="000D7E7A" w:rsidRDefault="00375569" w:rsidP="00DB0037">
            <w:pPr>
              <w:pStyle w:val="08-Tabelageral"/>
              <w:rPr>
                <w:b/>
              </w:rPr>
            </w:pPr>
            <w:r w:rsidRPr="00E20ED4">
              <w:rPr>
                <w:b/>
              </w:rPr>
              <w:t>(27.535)</w:t>
            </w:r>
          </w:p>
        </w:tc>
      </w:tr>
    </w:tbl>
    <w:p w14:paraId="3EA462E0" w14:textId="77777777" w:rsidR="00375569" w:rsidRPr="00E80FF9" w:rsidRDefault="00375569" w:rsidP="00375569">
      <w:pPr>
        <w:pStyle w:val="07-Legenda"/>
        <w:numPr>
          <w:ilvl w:val="0"/>
          <w:numId w:val="7"/>
        </w:numPr>
        <w:tabs>
          <w:tab w:val="clear" w:pos="284"/>
        </w:tabs>
        <w:ind w:left="284" w:hanging="284"/>
        <w:rPr>
          <w:rFonts w:cs="Arial"/>
          <w:szCs w:val="14"/>
        </w:rPr>
      </w:pPr>
      <w:r w:rsidRPr="00E80FF9">
        <w:rPr>
          <w:rFonts w:cs="Arial"/>
          <w:szCs w:val="14"/>
        </w:rPr>
        <w:t>Refere-se ao compartilhamento, pelo banco depositário do programa de ADR Nível I, das receitas com tarifas de emissão, cancelamento e processamento de dividendos cobradas dos investidores que detêm ADRs (</w:t>
      </w:r>
      <w:r w:rsidRPr="00E80FF9">
        <w:rPr>
          <w:rFonts w:cs="Arial"/>
          <w:i/>
          <w:szCs w:val="14"/>
        </w:rPr>
        <w:t>American Depositary Receipts</w:t>
      </w:r>
      <w:r w:rsidRPr="00E80FF9">
        <w:rPr>
          <w:rFonts w:cs="Arial"/>
          <w:szCs w:val="14"/>
        </w:rPr>
        <w:t>) da BB Seguridade, com o objetivo de custear as despesas do Programa.</w:t>
      </w:r>
    </w:p>
    <w:p w14:paraId="43720BBC" w14:textId="77777777" w:rsidR="00375569" w:rsidRPr="00E80FF9" w:rsidRDefault="00375569" w:rsidP="00375569">
      <w:pPr>
        <w:pStyle w:val="07-Legenda"/>
        <w:numPr>
          <w:ilvl w:val="0"/>
          <w:numId w:val="7"/>
        </w:numPr>
        <w:tabs>
          <w:tab w:val="clear" w:pos="284"/>
        </w:tabs>
        <w:ind w:left="284" w:hanging="284"/>
        <w:rPr>
          <w:rFonts w:cs="Arial"/>
          <w:szCs w:val="14"/>
        </w:rPr>
      </w:pPr>
      <w:r w:rsidRPr="00E80FF9">
        <w:rPr>
          <w:rFonts w:cs="Arial"/>
          <w:szCs w:val="14"/>
        </w:rPr>
        <w:t>Refere-se ao mecanismo de ajuste de preço dos ativos da Brasilveículos</w:t>
      </w:r>
      <w:r>
        <w:rPr>
          <w:rFonts w:cs="Arial"/>
          <w:szCs w:val="14"/>
        </w:rPr>
        <w:t xml:space="preserve"> (atual Mapfre Seguros Gerais)</w:t>
      </w:r>
      <w:r w:rsidRPr="00E80FF9">
        <w:rPr>
          <w:rFonts w:cs="Arial"/>
          <w:szCs w:val="14"/>
        </w:rPr>
        <w:t xml:space="preserve"> alienados à MAPFRE Brasil em 30.11.2018, com apuração, provisionamentos mensais e pagamento anual, feita com base no cumprimento de metas nas vendas dos seguros de automóveis. O mecanismo prevê possibilidade de </w:t>
      </w:r>
      <w:r w:rsidRPr="00E80FF9">
        <w:rPr>
          <w:rFonts w:cs="Arial"/>
          <w:i/>
          <w:szCs w:val="14"/>
        </w:rPr>
        <w:t>earn in</w:t>
      </w:r>
      <w:r w:rsidRPr="00E80FF9">
        <w:rPr>
          <w:rFonts w:cs="Arial"/>
          <w:szCs w:val="14"/>
        </w:rPr>
        <w:t xml:space="preserve"> ou </w:t>
      </w:r>
      <w:r w:rsidRPr="00E80FF9">
        <w:rPr>
          <w:rFonts w:cs="Arial"/>
          <w:i/>
          <w:szCs w:val="14"/>
        </w:rPr>
        <w:t>earn out</w:t>
      </w:r>
      <w:r w:rsidRPr="00E80FF9">
        <w:rPr>
          <w:rFonts w:cs="Arial"/>
          <w:szCs w:val="14"/>
        </w:rPr>
        <w:t>, ou seja, pagamento da MAPFRE Brasil para BB Seguros ou da BB Seguros para MAPFRE Brasil</w:t>
      </w:r>
      <w:r>
        <w:rPr>
          <w:rFonts w:cs="Arial"/>
          <w:szCs w:val="14"/>
        </w:rPr>
        <w:t xml:space="preserve"> e será calculado a cada exercício até 2031.</w:t>
      </w:r>
    </w:p>
    <w:p w14:paraId="0938F568" w14:textId="6030DCFF" w:rsidR="00375569" w:rsidRDefault="00375569" w:rsidP="00375569">
      <w:pPr>
        <w:pStyle w:val="07-Legenda"/>
        <w:numPr>
          <w:ilvl w:val="0"/>
          <w:numId w:val="7"/>
        </w:numPr>
        <w:tabs>
          <w:tab w:val="clear" w:pos="284"/>
        </w:tabs>
        <w:ind w:left="284" w:hanging="284"/>
        <w:rPr>
          <w:rFonts w:cs="Arial"/>
          <w:szCs w:val="14"/>
        </w:rPr>
      </w:pPr>
      <w:r w:rsidRPr="00A154CA">
        <w:rPr>
          <w:rFonts w:cs="Arial"/>
          <w:szCs w:val="14"/>
        </w:rPr>
        <w:t xml:space="preserve">No exercício de 2021 inclui o montante de R$ </w:t>
      </w:r>
      <w:r>
        <w:rPr>
          <w:rFonts w:cs="Arial"/>
          <w:szCs w:val="14"/>
        </w:rPr>
        <w:t>73.145</w:t>
      </w:r>
      <w:r w:rsidRPr="00A154CA">
        <w:rPr>
          <w:rFonts w:cs="Arial"/>
          <w:szCs w:val="14"/>
        </w:rPr>
        <w:t xml:space="preserve"> mil (R$ 6.552 mil no exercício de 2020) referente à provisão para corretagem a devolver à Brasilprev.</w:t>
      </w:r>
    </w:p>
    <w:p w14:paraId="4D9B0817" w14:textId="77777777" w:rsidR="00725333" w:rsidRPr="00725333" w:rsidRDefault="00725333" w:rsidP="00725333">
      <w:pPr>
        <w:pStyle w:val="07-Legenda"/>
        <w:tabs>
          <w:tab w:val="clear" w:pos="284"/>
        </w:tabs>
        <w:rPr>
          <w:rFonts w:cs="Arial"/>
          <w:sz w:val="18"/>
        </w:rPr>
      </w:pPr>
    </w:p>
    <w:p w14:paraId="653A38D5" w14:textId="1EE9800B" w:rsidR="00375569" w:rsidRPr="00725333" w:rsidRDefault="00375569" w:rsidP="00725333">
      <w:pPr>
        <w:pStyle w:val="02-TtulodeNota"/>
        <w:rPr>
          <w:color w:val="1F4E79" w:themeColor="accent1" w:themeShade="80"/>
        </w:rPr>
      </w:pPr>
      <w:bookmarkStart w:id="85" w:name="OLE_LINK21"/>
      <w:bookmarkStart w:id="86" w:name="_Toc28866213"/>
      <w:bookmarkStart w:id="87" w:name="_Toc94861072"/>
      <w:r w:rsidRPr="00725333">
        <w:rPr>
          <w:color w:val="1F4E79" w:themeColor="accent1" w:themeShade="80"/>
        </w:rPr>
        <w:t>14 – RESULTADO FINANCEIRO</w:t>
      </w:r>
      <w:bookmarkEnd w:id="87"/>
    </w:p>
    <w:bookmarkEnd w:id="86"/>
    <w:p w14:paraId="05A339FF" w14:textId="77777777" w:rsidR="00375569" w:rsidRPr="00D318B6" w:rsidRDefault="00375569" w:rsidP="00D318B6">
      <w:pPr>
        <w:pStyle w:val="06-Rmil"/>
        <w:rPr>
          <w:rFonts w:cs="Arial"/>
        </w:rPr>
      </w:pPr>
      <w:r w:rsidRPr="00FF3D4B">
        <w:rPr>
          <w:rFonts w:cs="Arial"/>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5"/>
        <w:gridCol w:w="603"/>
        <w:gridCol w:w="1411"/>
        <w:gridCol w:w="1411"/>
        <w:gridCol w:w="283"/>
        <w:gridCol w:w="1417"/>
        <w:gridCol w:w="1419"/>
      </w:tblGrid>
      <w:tr w:rsidR="00375569" w:rsidRPr="00DB06CF" w14:paraId="2DB69E07" w14:textId="77777777" w:rsidTr="00725333">
        <w:trPr>
          <w:trHeight w:val="238"/>
          <w:jc w:val="center"/>
        </w:trPr>
        <w:tc>
          <w:tcPr>
            <w:tcW w:w="1605" w:type="pct"/>
            <w:tcBorders>
              <w:top w:val="single" w:sz="2" w:space="0" w:color="1F4E79" w:themeColor="accent1" w:themeShade="80"/>
              <w:bottom w:val="nil"/>
            </w:tcBorders>
            <w:shd w:val="clear" w:color="auto" w:fill="auto"/>
          </w:tcPr>
          <w:p w14:paraId="61F48D5A" w14:textId="77777777" w:rsidR="00375569" w:rsidRPr="00DB06CF" w:rsidRDefault="00375569" w:rsidP="00465E14">
            <w:pPr>
              <w:spacing w:after="0"/>
              <w:jc w:val="center"/>
              <w:rPr>
                <w:rFonts w:cs="Arial"/>
                <w:b/>
                <w:szCs w:val="18"/>
              </w:rPr>
            </w:pPr>
          </w:p>
        </w:tc>
        <w:tc>
          <w:tcPr>
            <w:tcW w:w="313" w:type="pct"/>
            <w:tcBorders>
              <w:top w:val="single" w:sz="2" w:space="0" w:color="1F4E79" w:themeColor="accent1" w:themeShade="80"/>
              <w:bottom w:val="nil"/>
            </w:tcBorders>
            <w:shd w:val="clear" w:color="auto" w:fill="auto"/>
          </w:tcPr>
          <w:p w14:paraId="7DDFABDB" w14:textId="77777777" w:rsidR="00375569" w:rsidRPr="00DB06CF" w:rsidRDefault="00375569" w:rsidP="00465E14">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08D0DB8F" w14:textId="77777777" w:rsidR="00375569" w:rsidRPr="00DB06CF" w:rsidRDefault="00375569" w:rsidP="007C0E3C">
            <w:pPr>
              <w:spacing w:after="0"/>
              <w:jc w:val="center"/>
              <w:rPr>
                <w:rFonts w:cs="Arial"/>
                <w:b/>
                <w:sz w:val="14"/>
                <w:szCs w:val="18"/>
              </w:rPr>
            </w:pPr>
            <w:r w:rsidRPr="00DB06CF">
              <w:rPr>
                <w:rFonts w:cs="Arial"/>
                <w:b/>
                <w:sz w:val="14"/>
                <w:szCs w:val="18"/>
              </w:rPr>
              <w:t>Controlador</w:t>
            </w:r>
          </w:p>
        </w:tc>
        <w:tc>
          <w:tcPr>
            <w:tcW w:w="147" w:type="pct"/>
            <w:tcBorders>
              <w:top w:val="single" w:sz="2" w:space="0" w:color="1F4E79" w:themeColor="accent1" w:themeShade="80"/>
              <w:bottom w:val="nil"/>
            </w:tcBorders>
            <w:shd w:val="clear" w:color="auto" w:fill="auto"/>
            <w:vAlign w:val="center"/>
          </w:tcPr>
          <w:p w14:paraId="4F83BF1C" w14:textId="77777777" w:rsidR="00375569" w:rsidRPr="00DB06CF" w:rsidRDefault="00375569" w:rsidP="007C0E3C">
            <w:pPr>
              <w:spacing w:after="0"/>
              <w:jc w:val="center"/>
              <w:rPr>
                <w:rFonts w:cs="Arial"/>
                <w:b/>
                <w:szCs w:val="18"/>
              </w:rPr>
            </w:pPr>
          </w:p>
        </w:tc>
        <w:tc>
          <w:tcPr>
            <w:tcW w:w="1471" w:type="pct"/>
            <w:gridSpan w:val="2"/>
            <w:tcBorders>
              <w:top w:val="single" w:sz="2" w:space="0" w:color="1F4E79" w:themeColor="accent1" w:themeShade="80"/>
              <w:bottom w:val="single" w:sz="2" w:space="0" w:color="1F4E79" w:themeColor="accent1" w:themeShade="80"/>
            </w:tcBorders>
            <w:shd w:val="clear" w:color="auto" w:fill="auto"/>
            <w:vAlign w:val="center"/>
          </w:tcPr>
          <w:p w14:paraId="0C477DED" w14:textId="77777777" w:rsidR="00375569" w:rsidRPr="00DB06CF" w:rsidRDefault="00375569" w:rsidP="007C0E3C">
            <w:pPr>
              <w:spacing w:after="0"/>
              <w:jc w:val="center"/>
              <w:rPr>
                <w:rFonts w:cs="Arial"/>
                <w:b/>
                <w:szCs w:val="18"/>
              </w:rPr>
            </w:pPr>
            <w:r w:rsidRPr="00DB06CF">
              <w:rPr>
                <w:rFonts w:cs="Arial"/>
                <w:b/>
                <w:sz w:val="14"/>
                <w:szCs w:val="18"/>
              </w:rPr>
              <w:t>Consolidado</w:t>
            </w:r>
          </w:p>
        </w:tc>
      </w:tr>
      <w:tr w:rsidR="00375569" w:rsidRPr="00DB06CF" w14:paraId="292643C0" w14:textId="77777777" w:rsidTr="00725333">
        <w:trPr>
          <w:trHeight w:val="238"/>
          <w:jc w:val="center"/>
        </w:trPr>
        <w:tc>
          <w:tcPr>
            <w:tcW w:w="1605" w:type="pct"/>
            <w:tcBorders>
              <w:top w:val="nil"/>
              <w:bottom w:val="single" w:sz="2" w:space="0" w:color="1F4E79" w:themeColor="accent1" w:themeShade="80"/>
            </w:tcBorders>
            <w:shd w:val="clear" w:color="auto" w:fill="auto"/>
          </w:tcPr>
          <w:p w14:paraId="51D93D78" w14:textId="77777777" w:rsidR="00375569" w:rsidRPr="00DB06CF" w:rsidRDefault="00375569" w:rsidP="006233AF">
            <w:pPr>
              <w:pStyle w:val="08-Tabelageral"/>
              <w:rPr>
                <w:rFonts w:cs="Arial"/>
                <w:b/>
              </w:rPr>
            </w:pPr>
          </w:p>
        </w:tc>
        <w:tc>
          <w:tcPr>
            <w:tcW w:w="313" w:type="pct"/>
            <w:tcBorders>
              <w:top w:val="nil"/>
              <w:bottom w:val="single" w:sz="2" w:space="0" w:color="1F4E79" w:themeColor="accent1" w:themeShade="80"/>
            </w:tcBorders>
            <w:shd w:val="clear" w:color="auto" w:fill="auto"/>
          </w:tcPr>
          <w:p w14:paraId="16181703" w14:textId="77777777" w:rsidR="00375569" w:rsidRPr="00DB06CF" w:rsidRDefault="00375569" w:rsidP="006233AF">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35378F94" w14:textId="77777777" w:rsidR="00375569" w:rsidRPr="00DB06CF" w:rsidRDefault="00375569" w:rsidP="006233AF">
            <w:pPr>
              <w:pStyle w:val="08-Tabelageral"/>
              <w:rPr>
                <w:rFonts w:cs="Arial"/>
                <w:b/>
              </w:rPr>
            </w:pPr>
            <w:r w:rsidRPr="00E54349">
              <w:rPr>
                <w:rFonts w:cs="Arial"/>
                <w:b/>
                <w:szCs w:val="14"/>
              </w:rPr>
              <w:t>Exercício 2021</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2F8BF12A" w14:textId="77777777" w:rsidR="00375569" w:rsidRPr="00DB06CF" w:rsidRDefault="00375569" w:rsidP="006233AF">
            <w:pPr>
              <w:pStyle w:val="08-Tabelageral"/>
              <w:rPr>
                <w:rFonts w:cs="Arial"/>
                <w:b/>
              </w:rPr>
            </w:pPr>
            <w:r>
              <w:rPr>
                <w:rFonts w:cs="Arial"/>
                <w:b/>
                <w:szCs w:val="14"/>
              </w:rPr>
              <w:t>Exercício 2020</w:t>
            </w:r>
          </w:p>
        </w:tc>
        <w:tc>
          <w:tcPr>
            <w:tcW w:w="147" w:type="pct"/>
            <w:tcBorders>
              <w:top w:val="nil"/>
              <w:bottom w:val="single" w:sz="2" w:space="0" w:color="1F4E79" w:themeColor="accent1" w:themeShade="80"/>
            </w:tcBorders>
            <w:shd w:val="clear" w:color="auto" w:fill="auto"/>
            <w:vAlign w:val="center"/>
          </w:tcPr>
          <w:p w14:paraId="26AFAE47" w14:textId="77777777" w:rsidR="00375569" w:rsidRPr="00DB06CF" w:rsidRDefault="00375569" w:rsidP="006233AF">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3CBDA15A" w14:textId="77777777" w:rsidR="00375569" w:rsidRPr="00DB06CF" w:rsidRDefault="00375569" w:rsidP="006233AF">
            <w:pPr>
              <w:pStyle w:val="08-Tabelageral"/>
              <w:rPr>
                <w:rFonts w:cs="Arial"/>
                <w:b/>
              </w:rPr>
            </w:pPr>
            <w:r w:rsidRPr="00E54349">
              <w:rPr>
                <w:rFonts w:cs="Arial"/>
                <w:b/>
                <w:szCs w:val="14"/>
              </w:rPr>
              <w:t>Exercício 2021</w:t>
            </w:r>
          </w:p>
        </w:tc>
        <w:tc>
          <w:tcPr>
            <w:tcW w:w="736" w:type="pct"/>
            <w:tcBorders>
              <w:top w:val="single" w:sz="2" w:space="0" w:color="1F4E79" w:themeColor="accent1" w:themeShade="80"/>
              <w:bottom w:val="single" w:sz="2" w:space="0" w:color="1F4E79" w:themeColor="accent1" w:themeShade="80"/>
            </w:tcBorders>
            <w:shd w:val="clear" w:color="auto" w:fill="auto"/>
            <w:vAlign w:val="center"/>
          </w:tcPr>
          <w:p w14:paraId="51E3BF14" w14:textId="77777777" w:rsidR="00375569" w:rsidRPr="00DB06CF" w:rsidRDefault="00375569" w:rsidP="006233AF">
            <w:pPr>
              <w:pStyle w:val="08-Tabelageral"/>
              <w:rPr>
                <w:rFonts w:cs="Arial"/>
                <w:b/>
              </w:rPr>
            </w:pPr>
            <w:r>
              <w:rPr>
                <w:rFonts w:cs="Arial"/>
                <w:b/>
                <w:szCs w:val="14"/>
              </w:rPr>
              <w:t>Exercício 2020</w:t>
            </w:r>
          </w:p>
        </w:tc>
      </w:tr>
      <w:tr w:rsidR="00375569" w:rsidRPr="00DB06CF" w14:paraId="7133E8C8" w14:textId="77777777" w:rsidTr="00725333">
        <w:trPr>
          <w:trHeight w:val="238"/>
          <w:jc w:val="center"/>
        </w:trPr>
        <w:tc>
          <w:tcPr>
            <w:tcW w:w="1605" w:type="pct"/>
            <w:tcBorders>
              <w:top w:val="single" w:sz="2" w:space="0" w:color="1F4E79" w:themeColor="accent1" w:themeShade="80"/>
            </w:tcBorders>
            <w:shd w:val="clear" w:color="auto" w:fill="auto"/>
            <w:vAlign w:val="center"/>
          </w:tcPr>
          <w:p w14:paraId="3C01DC4A" w14:textId="77777777" w:rsidR="00375569" w:rsidRPr="00DB06CF" w:rsidRDefault="00375569" w:rsidP="007C0E3C">
            <w:pPr>
              <w:pStyle w:val="08-Tabelageral"/>
              <w:jc w:val="left"/>
              <w:rPr>
                <w:b/>
              </w:rPr>
            </w:pPr>
            <w:r w:rsidRPr="00DB06CF">
              <w:rPr>
                <w:b/>
              </w:rPr>
              <w:t>Receitas Financeiras</w:t>
            </w:r>
          </w:p>
        </w:tc>
        <w:tc>
          <w:tcPr>
            <w:tcW w:w="313" w:type="pct"/>
            <w:tcBorders>
              <w:top w:val="single" w:sz="2" w:space="0" w:color="1F4E79" w:themeColor="accent1" w:themeShade="80"/>
            </w:tcBorders>
            <w:shd w:val="clear" w:color="auto" w:fill="auto"/>
          </w:tcPr>
          <w:p w14:paraId="2E6CDDEC" w14:textId="77777777" w:rsidR="00375569" w:rsidRPr="00DB06CF" w:rsidRDefault="00375569" w:rsidP="00FD7E5F">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218A74D0" w14:textId="77777777" w:rsidR="00375569" w:rsidRPr="00DB06CF" w:rsidRDefault="00375569" w:rsidP="00914F92">
            <w:pPr>
              <w:pStyle w:val="08-Tabelageral"/>
              <w:rPr>
                <w:b/>
              </w:rPr>
            </w:pPr>
            <w:r w:rsidRPr="00DE6A77">
              <w:rPr>
                <w:b/>
              </w:rPr>
              <w:t>26.992</w:t>
            </w:r>
          </w:p>
        </w:tc>
        <w:tc>
          <w:tcPr>
            <w:tcW w:w="732" w:type="pct"/>
            <w:tcBorders>
              <w:top w:val="single" w:sz="2" w:space="0" w:color="1F4E79" w:themeColor="accent1" w:themeShade="80"/>
            </w:tcBorders>
            <w:shd w:val="clear" w:color="auto" w:fill="auto"/>
            <w:vAlign w:val="center"/>
          </w:tcPr>
          <w:p w14:paraId="57B00D61" w14:textId="77777777" w:rsidR="00375569" w:rsidRPr="00DB06CF" w:rsidRDefault="00375569" w:rsidP="00914F92">
            <w:pPr>
              <w:pStyle w:val="08-Tabelageral"/>
              <w:rPr>
                <w:b/>
              </w:rPr>
            </w:pPr>
            <w:r w:rsidRPr="00E54349">
              <w:rPr>
                <w:b/>
              </w:rPr>
              <w:t>62.764</w:t>
            </w:r>
          </w:p>
        </w:tc>
        <w:tc>
          <w:tcPr>
            <w:tcW w:w="147" w:type="pct"/>
            <w:tcBorders>
              <w:top w:val="single" w:sz="2" w:space="0" w:color="1F4E79" w:themeColor="accent1" w:themeShade="80"/>
            </w:tcBorders>
            <w:shd w:val="clear" w:color="auto" w:fill="auto"/>
            <w:vAlign w:val="center"/>
          </w:tcPr>
          <w:p w14:paraId="17FE1676" w14:textId="77777777" w:rsidR="00375569" w:rsidRPr="00DB06CF" w:rsidRDefault="00375569" w:rsidP="00914F92">
            <w:pPr>
              <w:pStyle w:val="08-Tabelageral"/>
              <w:rPr>
                <w:b/>
              </w:rPr>
            </w:pPr>
          </w:p>
        </w:tc>
        <w:tc>
          <w:tcPr>
            <w:tcW w:w="735" w:type="pct"/>
            <w:tcBorders>
              <w:top w:val="single" w:sz="2" w:space="0" w:color="1F4E79" w:themeColor="accent1" w:themeShade="80"/>
            </w:tcBorders>
            <w:shd w:val="clear" w:color="auto" w:fill="auto"/>
            <w:vAlign w:val="center"/>
          </w:tcPr>
          <w:p w14:paraId="09B066A4" w14:textId="77777777" w:rsidR="00375569" w:rsidRPr="00DB06CF" w:rsidRDefault="00375569" w:rsidP="00914F92">
            <w:pPr>
              <w:pStyle w:val="08-Tabelageral"/>
              <w:rPr>
                <w:b/>
              </w:rPr>
            </w:pPr>
            <w:r w:rsidRPr="00DE6A77">
              <w:rPr>
                <w:b/>
              </w:rPr>
              <w:t>151.739</w:t>
            </w:r>
          </w:p>
        </w:tc>
        <w:tc>
          <w:tcPr>
            <w:tcW w:w="736" w:type="pct"/>
            <w:tcBorders>
              <w:top w:val="single" w:sz="2" w:space="0" w:color="1F4E79" w:themeColor="accent1" w:themeShade="80"/>
            </w:tcBorders>
            <w:shd w:val="clear" w:color="auto" w:fill="auto"/>
            <w:vAlign w:val="center"/>
          </w:tcPr>
          <w:p w14:paraId="4F5E56C7" w14:textId="77777777" w:rsidR="00375569" w:rsidRPr="00DB06CF" w:rsidRDefault="00375569" w:rsidP="00914F92">
            <w:pPr>
              <w:pStyle w:val="08-Tabelageral"/>
              <w:rPr>
                <w:b/>
              </w:rPr>
            </w:pPr>
            <w:r w:rsidRPr="003C7F4A">
              <w:rPr>
                <w:b/>
              </w:rPr>
              <w:t>138.657</w:t>
            </w:r>
          </w:p>
        </w:tc>
      </w:tr>
      <w:tr w:rsidR="00375569" w:rsidRPr="00DB06CF" w14:paraId="77CCD8CC" w14:textId="77777777" w:rsidTr="00725333">
        <w:trPr>
          <w:trHeight w:val="238"/>
          <w:jc w:val="center"/>
        </w:trPr>
        <w:tc>
          <w:tcPr>
            <w:tcW w:w="1605" w:type="pct"/>
            <w:shd w:val="clear" w:color="auto" w:fill="auto"/>
            <w:vAlign w:val="center"/>
          </w:tcPr>
          <w:p w14:paraId="6F762E59" w14:textId="77777777" w:rsidR="00375569" w:rsidRPr="00DB06CF" w:rsidRDefault="00375569" w:rsidP="007C0E3C">
            <w:pPr>
              <w:pStyle w:val="08-Tabelageral"/>
              <w:ind w:left="113"/>
              <w:jc w:val="left"/>
            </w:pPr>
            <w:r w:rsidRPr="00DB06CF">
              <w:t>Rendimento de aplicações financeiras</w:t>
            </w:r>
          </w:p>
        </w:tc>
        <w:tc>
          <w:tcPr>
            <w:tcW w:w="313" w:type="pct"/>
            <w:shd w:val="clear" w:color="auto" w:fill="auto"/>
          </w:tcPr>
          <w:p w14:paraId="23DD098A" w14:textId="77777777" w:rsidR="00375569" w:rsidRPr="00DB06CF" w:rsidRDefault="00375569" w:rsidP="00FD7E5F">
            <w:pPr>
              <w:pStyle w:val="08-Tabelageral"/>
              <w:ind w:left="113"/>
              <w:jc w:val="center"/>
              <w:rPr>
                <w:rFonts w:cs="Arial"/>
                <w:szCs w:val="14"/>
              </w:rPr>
            </w:pPr>
          </w:p>
        </w:tc>
        <w:tc>
          <w:tcPr>
            <w:tcW w:w="732" w:type="pct"/>
            <w:shd w:val="clear" w:color="auto" w:fill="auto"/>
            <w:vAlign w:val="center"/>
          </w:tcPr>
          <w:p w14:paraId="71C3BAB0" w14:textId="77777777" w:rsidR="00375569" w:rsidRPr="00DB06CF" w:rsidRDefault="00375569" w:rsidP="00914F92">
            <w:pPr>
              <w:pStyle w:val="08-Tabelageral"/>
            </w:pPr>
            <w:r>
              <w:t>21.270</w:t>
            </w:r>
          </w:p>
        </w:tc>
        <w:tc>
          <w:tcPr>
            <w:tcW w:w="732" w:type="pct"/>
            <w:shd w:val="clear" w:color="auto" w:fill="auto"/>
            <w:vAlign w:val="center"/>
          </w:tcPr>
          <w:p w14:paraId="7CDDDDAE" w14:textId="77777777" w:rsidR="00375569" w:rsidRPr="00DB06CF" w:rsidRDefault="00375569" w:rsidP="00914F92">
            <w:pPr>
              <w:pStyle w:val="08-Tabelageral"/>
            </w:pPr>
            <w:r w:rsidRPr="00E54349">
              <w:t>47.305</w:t>
            </w:r>
          </w:p>
        </w:tc>
        <w:tc>
          <w:tcPr>
            <w:tcW w:w="147" w:type="pct"/>
            <w:shd w:val="clear" w:color="auto" w:fill="auto"/>
            <w:vAlign w:val="center"/>
          </w:tcPr>
          <w:p w14:paraId="668E6434" w14:textId="77777777" w:rsidR="00375569" w:rsidRPr="00DB06CF" w:rsidRDefault="00375569" w:rsidP="00914F92">
            <w:pPr>
              <w:pStyle w:val="08-Tabelageral"/>
            </w:pPr>
          </w:p>
        </w:tc>
        <w:tc>
          <w:tcPr>
            <w:tcW w:w="735" w:type="pct"/>
            <w:shd w:val="clear" w:color="auto" w:fill="auto"/>
            <w:vAlign w:val="center"/>
          </w:tcPr>
          <w:p w14:paraId="7FA712CD" w14:textId="77777777" w:rsidR="00375569" w:rsidRPr="00DB06CF" w:rsidRDefault="00375569" w:rsidP="00914F92">
            <w:pPr>
              <w:pStyle w:val="08-Tabelageral"/>
            </w:pPr>
            <w:r w:rsidRPr="00F27D08">
              <w:t>139.142</w:t>
            </w:r>
          </w:p>
        </w:tc>
        <w:tc>
          <w:tcPr>
            <w:tcW w:w="736" w:type="pct"/>
            <w:shd w:val="clear" w:color="auto" w:fill="auto"/>
            <w:vAlign w:val="center"/>
          </w:tcPr>
          <w:p w14:paraId="4789429A" w14:textId="77777777" w:rsidR="00375569" w:rsidRPr="00DB06CF" w:rsidRDefault="00375569" w:rsidP="00914F92">
            <w:pPr>
              <w:pStyle w:val="08-Tabelageral"/>
            </w:pPr>
            <w:r w:rsidRPr="003C7F4A">
              <w:t>134.123</w:t>
            </w:r>
          </w:p>
        </w:tc>
      </w:tr>
      <w:tr w:rsidR="00375569" w:rsidRPr="00DB06CF" w14:paraId="02F11A95" w14:textId="77777777" w:rsidTr="00725333">
        <w:trPr>
          <w:trHeight w:val="238"/>
          <w:jc w:val="center"/>
        </w:trPr>
        <w:tc>
          <w:tcPr>
            <w:tcW w:w="1605" w:type="pct"/>
            <w:shd w:val="clear" w:color="auto" w:fill="auto"/>
            <w:vAlign w:val="center"/>
          </w:tcPr>
          <w:p w14:paraId="08A5F58F" w14:textId="77777777" w:rsidR="00375569" w:rsidRPr="00DB06CF" w:rsidRDefault="00375569" w:rsidP="007C0E3C">
            <w:pPr>
              <w:pStyle w:val="08-Tabelageral"/>
              <w:ind w:left="113"/>
              <w:jc w:val="left"/>
            </w:pPr>
            <w:r w:rsidRPr="00DB06CF">
              <w:t>Atualização monetária de depósitos judiciais</w:t>
            </w:r>
          </w:p>
        </w:tc>
        <w:tc>
          <w:tcPr>
            <w:tcW w:w="313" w:type="pct"/>
            <w:shd w:val="clear" w:color="auto" w:fill="auto"/>
          </w:tcPr>
          <w:p w14:paraId="61CA34B5" w14:textId="77777777" w:rsidR="00375569" w:rsidRPr="00DB06CF" w:rsidRDefault="00375569" w:rsidP="00FD7E5F">
            <w:pPr>
              <w:pStyle w:val="08-Tabelageral"/>
              <w:ind w:left="113"/>
              <w:jc w:val="left"/>
            </w:pPr>
          </w:p>
        </w:tc>
        <w:tc>
          <w:tcPr>
            <w:tcW w:w="732" w:type="pct"/>
            <w:shd w:val="clear" w:color="auto" w:fill="auto"/>
            <w:vAlign w:val="center"/>
          </w:tcPr>
          <w:p w14:paraId="2554E1B7" w14:textId="77777777" w:rsidR="00375569" w:rsidRPr="00DB06CF" w:rsidRDefault="00375569" w:rsidP="00914F92">
            <w:pPr>
              <w:pStyle w:val="08-Tabelageral"/>
            </w:pPr>
            <w:r>
              <w:t>--</w:t>
            </w:r>
          </w:p>
        </w:tc>
        <w:tc>
          <w:tcPr>
            <w:tcW w:w="732" w:type="pct"/>
            <w:shd w:val="clear" w:color="auto" w:fill="auto"/>
            <w:vAlign w:val="center"/>
          </w:tcPr>
          <w:p w14:paraId="4463FAC7" w14:textId="77777777" w:rsidR="00375569" w:rsidRPr="00DB06CF" w:rsidRDefault="00375569" w:rsidP="00914F92">
            <w:pPr>
              <w:pStyle w:val="08-Tabelageral"/>
            </w:pPr>
            <w:r>
              <w:t>--</w:t>
            </w:r>
          </w:p>
        </w:tc>
        <w:tc>
          <w:tcPr>
            <w:tcW w:w="147" w:type="pct"/>
            <w:shd w:val="clear" w:color="auto" w:fill="auto"/>
            <w:vAlign w:val="center"/>
          </w:tcPr>
          <w:p w14:paraId="4A988134" w14:textId="77777777" w:rsidR="00375569" w:rsidRPr="00DB06CF" w:rsidRDefault="00375569" w:rsidP="00914F92">
            <w:pPr>
              <w:pStyle w:val="08-Tabelageral"/>
            </w:pPr>
          </w:p>
        </w:tc>
        <w:tc>
          <w:tcPr>
            <w:tcW w:w="735" w:type="pct"/>
            <w:shd w:val="clear" w:color="auto" w:fill="auto"/>
            <w:vAlign w:val="center"/>
          </w:tcPr>
          <w:p w14:paraId="57A18AB8" w14:textId="77777777" w:rsidR="00375569" w:rsidRPr="00DB06CF" w:rsidRDefault="00375569" w:rsidP="00914F92">
            <w:pPr>
              <w:pStyle w:val="08-Tabelageral"/>
            </w:pPr>
            <w:r w:rsidRPr="00F27D08">
              <w:t>8.830</w:t>
            </w:r>
          </w:p>
        </w:tc>
        <w:tc>
          <w:tcPr>
            <w:tcW w:w="736" w:type="pct"/>
            <w:shd w:val="clear" w:color="auto" w:fill="auto"/>
            <w:vAlign w:val="center"/>
          </w:tcPr>
          <w:p w14:paraId="6B53A516" w14:textId="77777777" w:rsidR="00375569" w:rsidRPr="00DB06CF" w:rsidRDefault="00375569" w:rsidP="00914F92">
            <w:pPr>
              <w:pStyle w:val="08-Tabelageral"/>
            </w:pPr>
            <w:r w:rsidRPr="003C7F4A">
              <w:t>3.064</w:t>
            </w:r>
          </w:p>
        </w:tc>
      </w:tr>
      <w:tr w:rsidR="00375569" w:rsidRPr="00DB06CF" w14:paraId="1637E662" w14:textId="77777777" w:rsidTr="00725333">
        <w:trPr>
          <w:trHeight w:val="238"/>
          <w:jc w:val="center"/>
        </w:trPr>
        <w:tc>
          <w:tcPr>
            <w:tcW w:w="1605" w:type="pct"/>
            <w:shd w:val="clear" w:color="auto" w:fill="auto"/>
            <w:vAlign w:val="center"/>
          </w:tcPr>
          <w:p w14:paraId="769574A8" w14:textId="77777777" w:rsidR="00375569" w:rsidRPr="00DB06CF" w:rsidRDefault="00375569" w:rsidP="007C0E3C">
            <w:pPr>
              <w:pStyle w:val="08-Tabelageral"/>
              <w:ind w:left="113"/>
              <w:jc w:val="left"/>
            </w:pPr>
            <w:r w:rsidRPr="00DB06CF">
              <w:t>Atualização monetária de tributos</w:t>
            </w:r>
          </w:p>
        </w:tc>
        <w:tc>
          <w:tcPr>
            <w:tcW w:w="313" w:type="pct"/>
            <w:shd w:val="clear" w:color="auto" w:fill="auto"/>
          </w:tcPr>
          <w:p w14:paraId="5EA94984" w14:textId="77777777" w:rsidR="00375569" w:rsidRPr="00DB06CF" w:rsidRDefault="00375569" w:rsidP="00FD7E5F">
            <w:pPr>
              <w:pStyle w:val="08-Tabelageral"/>
              <w:ind w:left="113"/>
              <w:jc w:val="center"/>
              <w:rPr>
                <w:rFonts w:cs="Arial"/>
                <w:szCs w:val="14"/>
              </w:rPr>
            </w:pPr>
          </w:p>
        </w:tc>
        <w:tc>
          <w:tcPr>
            <w:tcW w:w="732" w:type="pct"/>
            <w:shd w:val="clear" w:color="auto" w:fill="auto"/>
            <w:vAlign w:val="center"/>
          </w:tcPr>
          <w:p w14:paraId="1F7640DF" w14:textId="77777777" w:rsidR="00375569" w:rsidRPr="00DB06CF" w:rsidRDefault="00375569" w:rsidP="00914F92">
            <w:pPr>
              <w:pStyle w:val="08-Tabelageral"/>
            </w:pPr>
            <w:r w:rsidRPr="00F21A84">
              <w:t>2</w:t>
            </w:r>
            <w:r>
              <w:t>.</w:t>
            </w:r>
            <w:r w:rsidRPr="00F21A84">
              <w:t>787</w:t>
            </w:r>
          </w:p>
        </w:tc>
        <w:tc>
          <w:tcPr>
            <w:tcW w:w="732" w:type="pct"/>
            <w:shd w:val="clear" w:color="auto" w:fill="auto"/>
            <w:vAlign w:val="center"/>
          </w:tcPr>
          <w:p w14:paraId="16A35E6A" w14:textId="77777777" w:rsidR="00375569" w:rsidRPr="00DB06CF" w:rsidRDefault="00375569" w:rsidP="00914F92">
            <w:pPr>
              <w:pStyle w:val="08-Tabelageral"/>
            </w:pPr>
            <w:r w:rsidRPr="00E54349">
              <w:t>1.468</w:t>
            </w:r>
          </w:p>
        </w:tc>
        <w:tc>
          <w:tcPr>
            <w:tcW w:w="147" w:type="pct"/>
            <w:shd w:val="clear" w:color="auto" w:fill="auto"/>
            <w:vAlign w:val="center"/>
          </w:tcPr>
          <w:p w14:paraId="1469D337" w14:textId="77777777" w:rsidR="00375569" w:rsidRPr="00DB06CF" w:rsidRDefault="00375569" w:rsidP="00914F92">
            <w:pPr>
              <w:pStyle w:val="08-Tabelageral"/>
            </w:pPr>
          </w:p>
        </w:tc>
        <w:tc>
          <w:tcPr>
            <w:tcW w:w="735" w:type="pct"/>
            <w:shd w:val="clear" w:color="auto" w:fill="auto"/>
            <w:vAlign w:val="center"/>
          </w:tcPr>
          <w:p w14:paraId="3AD89C21" w14:textId="77777777" w:rsidR="00375569" w:rsidRPr="00DB06CF" w:rsidRDefault="00375569" w:rsidP="00914F92">
            <w:pPr>
              <w:pStyle w:val="08-Tabelageral"/>
            </w:pPr>
            <w:r w:rsidRPr="00F27D08">
              <w:t>3.766</w:t>
            </w:r>
          </w:p>
        </w:tc>
        <w:tc>
          <w:tcPr>
            <w:tcW w:w="736" w:type="pct"/>
            <w:shd w:val="clear" w:color="auto" w:fill="auto"/>
            <w:vAlign w:val="center"/>
          </w:tcPr>
          <w:p w14:paraId="22EA6BD7" w14:textId="77777777" w:rsidR="00375569" w:rsidRPr="00DB06CF" w:rsidRDefault="00375569" w:rsidP="00914F92">
            <w:pPr>
              <w:pStyle w:val="08-Tabelageral"/>
            </w:pPr>
            <w:r w:rsidRPr="003C7F4A">
              <w:t>1.468</w:t>
            </w:r>
          </w:p>
        </w:tc>
      </w:tr>
      <w:tr w:rsidR="00375569" w:rsidRPr="00DB06CF" w14:paraId="417CEB20" w14:textId="77777777" w:rsidTr="00725333">
        <w:trPr>
          <w:trHeight w:val="238"/>
          <w:jc w:val="center"/>
        </w:trPr>
        <w:tc>
          <w:tcPr>
            <w:tcW w:w="1605" w:type="pct"/>
            <w:shd w:val="clear" w:color="auto" w:fill="auto"/>
            <w:vAlign w:val="center"/>
          </w:tcPr>
          <w:p w14:paraId="798DF7D1" w14:textId="77777777" w:rsidR="00375569" w:rsidRPr="00DB06CF" w:rsidRDefault="00375569" w:rsidP="00914F92">
            <w:pPr>
              <w:pStyle w:val="08-Tabelageral"/>
              <w:ind w:left="113"/>
              <w:jc w:val="left"/>
            </w:pPr>
            <w:r>
              <w:t>Atualização monetária de dividendos e juros sobre capital próprio</w:t>
            </w:r>
          </w:p>
        </w:tc>
        <w:tc>
          <w:tcPr>
            <w:tcW w:w="313" w:type="pct"/>
            <w:shd w:val="clear" w:color="auto" w:fill="auto"/>
          </w:tcPr>
          <w:p w14:paraId="5669124C" w14:textId="77777777" w:rsidR="00375569" w:rsidRPr="00DB06CF" w:rsidRDefault="00375569" w:rsidP="00FD7E5F">
            <w:pPr>
              <w:pStyle w:val="08-Tabelageral"/>
              <w:ind w:left="113"/>
              <w:jc w:val="center"/>
              <w:rPr>
                <w:rFonts w:cs="Arial"/>
                <w:szCs w:val="14"/>
              </w:rPr>
            </w:pPr>
          </w:p>
        </w:tc>
        <w:tc>
          <w:tcPr>
            <w:tcW w:w="732" w:type="pct"/>
            <w:shd w:val="clear" w:color="auto" w:fill="auto"/>
            <w:vAlign w:val="center"/>
          </w:tcPr>
          <w:p w14:paraId="17EFD3BD" w14:textId="77777777" w:rsidR="00375569" w:rsidRPr="00DB06CF" w:rsidRDefault="00375569" w:rsidP="00914F92">
            <w:pPr>
              <w:pStyle w:val="08-Tabelageral"/>
            </w:pPr>
            <w:r w:rsidRPr="00F21A84">
              <w:t>2</w:t>
            </w:r>
            <w:r>
              <w:t>.</w:t>
            </w:r>
            <w:r w:rsidRPr="00F21A84">
              <w:t>934</w:t>
            </w:r>
          </w:p>
        </w:tc>
        <w:tc>
          <w:tcPr>
            <w:tcW w:w="732" w:type="pct"/>
            <w:shd w:val="clear" w:color="auto" w:fill="auto"/>
            <w:vAlign w:val="center"/>
          </w:tcPr>
          <w:p w14:paraId="669AC33D" w14:textId="77777777" w:rsidR="00375569" w:rsidRPr="00914F92" w:rsidRDefault="00375569" w:rsidP="00914F92">
            <w:pPr>
              <w:pStyle w:val="08-Tabelageral"/>
            </w:pPr>
            <w:r w:rsidRPr="00E54349">
              <w:t>13.989</w:t>
            </w:r>
          </w:p>
        </w:tc>
        <w:tc>
          <w:tcPr>
            <w:tcW w:w="147" w:type="pct"/>
            <w:shd w:val="clear" w:color="auto" w:fill="auto"/>
            <w:vAlign w:val="center"/>
          </w:tcPr>
          <w:p w14:paraId="5A40E33C" w14:textId="77777777" w:rsidR="00375569" w:rsidRPr="00DB06CF" w:rsidRDefault="00375569" w:rsidP="00914F92">
            <w:pPr>
              <w:pStyle w:val="08-Tabelageral"/>
            </w:pPr>
          </w:p>
        </w:tc>
        <w:tc>
          <w:tcPr>
            <w:tcW w:w="735" w:type="pct"/>
            <w:shd w:val="clear" w:color="auto" w:fill="auto"/>
            <w:vAlign w:val="center"/>
          </w:tcPr>
          <w:p w14:paraId="065A5A1B" w14:textId="77777777" w:rsidR="00375569" w:rsidRPr="00DB06CF" w:rsidRDefault="00375569" w:rsidP="00914F92">
            <w:pPr>
              <w:pStyle w:val="08-Tabelageral"/>
            </w:pPr>
            <w:r>
              <w:t>--</w:t>
            </w:r>
          </w:p>
        </w:tc>
        <w:tc>
          <w:tcPr>
            <w:tcW w:w="736" w:type="pct"/>
            <w:shd w:val="clear" w:color="auto" w:fill="auto"/>
            <w:vAlign w:val="center"/>
          </w:tcPr>
          <w:p w14:paraId="533F6119" w14:textId="77777777" w:rsidR="00375569" w:rsidRPr="00786C46" w:rsidRDefault="00375569" w:rsidP="00914F92">
            <w:pPr>
              <w:pStyle w:val="08-Tabelageral"/>
            </w:pPr>
            <w:r>
              <w:t>--</w:t>
            </w:r>
          </w:p>
        </w:tc>
      </w:tr>
      <w:tr w:rsidR="00375569" w:rsidRPr="00DB06CF" w14:paraId="4210E086" w14:textId="77777777" w:rsidTr="00725333">
        <w:trPr>
          <w:trHeight w:val="238"/>
          <w:jc w:val="center"/>
        </w:trPr>
        <w:tc>
          <w:tcPr>
            <w:tcW w:w="1605" w:type="pct"/>
            <w:shd w:val="clear" w:color="auto" w:fill="auto"/>
            <w:vAlign w:val="center"/>
          </w:tcPr>
          <w:p w14:paraId="70550BCE" w14:textId="77777777" w:rsidR="00375569" w:rsidRDefault="00375569" w:rsidP="00914F92">
            <w:pPr>
              <w:pStyle w:val="08-Tabelageral"/>
              <w:ind w:left="113"/>
              <w:jc w:val="left"/>
            </w:pPr>
            <w:r w:rsidRPr="00E54349">
              <w:t>Outras</w:t>
            </w:r>
          </w:p>
        </w:tc>
        <w:tc>
          <w:tcPr>
            <w:tcW w:w="313" w:type="pct"/>
            <w:shd w:val="clear" w:color="auto" w:fill="auto"/>
          </w:tcPr>
          <w:p w14:paraId="09B2CE3B" w14:textId="77777777" w:rsidR="00375569" w:rsidRPr="00DB06CF" w:rsidRDefault="00375569" w:rsidP="00FD7E5F">
            <w:pPr>
              <w:pStyle w:val="08-Tabelageral"/>
              <w:ind w:left="113"/>
              <w:jc w:val="center"/>
              <w:rPr>
                <w:rFonts w:cs="Arial"/>
                <w:szCs w:val="14"/>
              </w:rPr>
            </w:pPr>
          </w:p>
        </w:tc>
        <w:tc>
          <w:tcPr>
            <w:tcW w:w="732" w:type="pct"/>
            <w:shd w:val="clear" w:color="auto" w:fill="auto"/>
            <w:vAlign w:val="center"/>
          </w:tcPr>
          <w:p w14:paraId="2B9E7298" w14:textId="77777777" w:rsidR="00375569" w:rsidRPr="00DB06CF" w:rsidRDefault="00375569" w:rsidP="00914F92">
            <w:pPr>
              <w:pStyle w:val="08-Tabelageral"/>
            </w:pPr>
            <w:r>
              <w:t>1</w:t>
            </w:r>
          </w:p>
        </w:tc>
        <w:tc>
          <w:tcPr>
            <w:tcW w:w="732" w:type="pct"/>
            <w:shd w:val="clear" w:color="auto" w:fill="auto"/>
            <w:vAlign w:val="center"/>
          </w:tcPr>
          <w:p w14:paraId="789EFDCB" w14:textId="77777777" w:rsidR="00375569" w:rsidRPr="00E54349" w:rsidRDefault="00375569" w:rsidP="00914F92">
            <w:pPr>
              <w:pStyle w:val="08-Tabelageral"/>
            </w:pPr>
            <w:r>
              <w:t>2</w:t>
            </w:r>
          </w:p>
        </w:tc>
        <w:tc>
          <w:tcPr>
            <w:tcW w:w="147" w:type="pct"/>
            <w:shd w:val="clear" w:color="auto" w:fill="auto"/>
            <w:vAlign w:val="center"/>
          </w:tcPr>
          <w:p w14:paraId="067B4704" w14:textId="77777777" w:rsidR="00375569" w:rsidRPr="00DB06CF" w:rsidRDefault="00375569" w:rsidP="00914F92">
            <w:pPr>
              <w:pStyle w:val="08-Tabelageral"/>
            </w:pPr>
          </w:p>
        </w:tc>
        <w:tc>
          <w:tcPr>
            <w:tcW w:w="735" w:type="pct"/>
            <w:shd w:val="clear" w:color="auto" w:fill="auto"/>
            <w:vAlign w:val="center"/>
          </w:tcPr>
          <w:p w14:paraId="42601814" w14:textId="77777777" w:rsidR="00375569" w:rsidRPr="00DB06CF" w:rsidRDefault="00375569" w:rsidP="00914F92">
            <w:pPr>
              <w:pStyle w:val="08-Tabelageral"/>
            </w:pPr>
            <w:r>
              <w:t>1</w:t>
            </w:r>
          </w:p>
        </w:tc>
        <w:tc>
          <w:tcPr>
            <w:tcW w:w="736" w:type="pct"/>
            <w:shd w:val="clear" w:color="auto" w:fill="auto"/>
            <w:vAlign w:val="center"/>
          </w:tcPr>
          <w:p w14:paraId="7B8896DF" w14:textId="77777777" w:rsidR="00375569" w:rsidRDefault="00375569" w:rsidP="00914F92">
            <w:pPr>
              <w:pStyle w:val="08-Tabelageral"/>
            </w:pPr>
            <w:r>
              <w:t>2</w:t>
            </w:r>
          </w:p>
        </w:tc>
      </w:tr>
      <w:tr w:rsidR="00375569" w:rsidRPr="005861DC" w14:paraId="3D8A6464" w14:textId="77777777" w:rsidTr="00725333">
        <w:trPr>
          <w:trHeight w:val="238"/>
          <w:jc w:val="center"/>
        </w:trPr>
        <w:tc>
          <w:tcPr>
            <w:tcW w:w="1605" w:type="pct"/>
            <w:shd w:val="clear" w:color="auto" w:fill="auto"/>
            <w:vAlign w:val="center"/>
          </w:tcPr>
          <w:p w14:paraId="1C8243BB" w14:textId="77777777" w:rsidR="00375569" w:rsidRPr="005861DC" w:rsidRDefault="00375569" w:rsidP="007C0E3C">
            <w:pPr>
              <w:pStyle w:val="08-Tabelageral"/>
              <w:jc w:val="left"/>
              <w:rPr>
                <w:b/>
              </w:rPr>
            </w:pPr>
            <w:r w:rsidRPr="005861DC">
              <w:rPr>
                <w:b/>
              </w:rPr>
              <w:t>Despesas Financeiras</w:t>
            </w:r>
          </w:p>
        </w:tc>
        <w:tc>
          <w:tcPr>
            <w:tcW w:w="313" w:type="pct"/>
            <w:shd w:val="clear" w:color="auto" w:fill="auto"/>
          </w:tcPr>
          <w:p w14:paraId="4C6D289C" w14:textId="77777777" w:rsidR="00375569" w:rsidRPr="005861DC" w:rsidRDefault="00375569" w:rsidP="00FD7E5F">
            <w:pPr>
              <w:pStyle w:val="08-Tabelageral"/>
              <w:jc w:val="center"/>
              <w:rPr>
                <w:rFonts w:cs="Arial"/>
                <w:b/>
                <w:szCs w:val="14"/>
              </w:rPr>
            </w:pPr>
          </w:p>
        </w:tc>
        <w:tc>
          <w:tcPr>
            <w:tcW w:w="732" w:type="pct"/>
            <w:shd w:val="clear" w:color="auto" w:fill="auto"/>
            <w:vAlign w:val="center"/>
          </w:tcPr>
          <w:p w14:paraId="12BBD40C" w14:textId="77777777" w:rsidR="00375569" w:rsidRPr="005861DC" w:rsidRDefault="00375569" w:rsidP="00914F92">
            <w:pPr>
              <w:pStyle w:val="08-Tabelageral"/>
              <w:rPr>
                <w:b/>
              </w:rPr>
            </w:pPr>
            <w:r w:rsidRPr="00DE6A77">
              <w:rPr>
                <w:b/>
              </w:rPr>
              <w:t>(4.091)</w:t>
            </w:r>
          </w:p>
        </w:tc>
        <w:tc>
          <w:tcPr>
            <w:tcW w:w="732" w:type="pct"/>
            <w:shd w:val="clear" w:color="auto" w:fill="auto"/>
            <w:vAlign w:val="center"/>
          </w:tcPr>
          <w:p w14:paraId="4AC28F00" w14:textId="77777777" w:rsidR="00375569" w:rsidRPr="005861DC" w:rsidRDefault="00375569" w:rsidP="00914F92">
            <w:pPr>
              <w:pStyle w:val="08-Tabelageral"/>
              <w:rPr>
                <w:b/>
              </w:rPr>
            </w:pPr>
            <w:r w:rsidRPr="00914F92">
              <w:rPr>
                <w:b/>
              </w:rPr>
              <w:t>(</w:t>
            </w:r>
            <w:r w:rsidRPr="00E54349">
              <w:rPr>
                <w:b/>
              </w:rPr>
              <w:t>25.469</w:t>
            </w:r>
            <w:r w:rsidRPr="00914F92">
              <w:rPr>
                <w:b/>
              </w:rPr>
              <w:t>)</w:t>
            </w:r>
          </w:p>
        </w:tc>
        <w:tc>
          <w:tcPr>
            <w:tcW w:w="147" w:type="pct"/>
            <w:shd w:val="clear" w:color="auto" w:fill="auto"/>
            <w:vAlign w:val="center"/>
          </w:tcPr>
          <w:p w14:paraId="24F4C725" w14:textId="77777777" w:rsidR="00375569" w:rsidRPr="005861DC" w:rsidRDefault="00375569" w:rsidP="00914F92">
            <w:pPr>
              <w:pStyle w:val="08-Tabelageral"/>
              <w:rPr>
                <w:b/>
              </w:rPr>
            </w:pPr>
          </w:p>
        </w:tc>
        <w:tc>
          <w:tcPr>
            <w:tcW w:w="735" w:type="pct"/>
            <w:shd w:val="clear" w:color="auto" w:fill="auto"/>
            <w:vAlign w:val="center"/>
          </w:tcPr>
          <w:p w14:paraId="5D88AF9B" w14:textId="77777777" w:rsidR="00375569" w:rsidRPr="005861DC" w:rsidRDefault="00375569" w:rsidP="00914F92">
            <w:pPr>
              <w:pStyle w:val="08-Tabelageral"/>
              <w:rPr>
                <w:b/>
              </w:rPr>
            </w:pPr>
            <w:r w:rsidRPr="00DE6A77">
              <w:rPr>
                <w:b/>
              </w:rPr>
              <w:t>(4.515)</w:t>
            </w:r>
          </w:p>
        </w:tc>
        <w:tc>
          <w:tcPr>
            <w:tcW w:w="736" w:type="pct"/>
            <w:shd w:val="clear" w:color="auto" w:fill="auto"/>
            <w:vAlign w:val="center"/>
          </w:tcPr>
          <w:p w14:paraId="5FC5ACFE" w14:textId="77777777" w:rsidR="00375569" w:rsidRPr="005861DC" w:rsidRDefault="00375569" w:rsidP="00914F92">
            <w:pPr>
              <w:pStyle w:val="08-Tabelageral"/>
              <w:rPr>
                <w:b/>
              </w:rPr>
            </w:pPr>
            <w:r w:rsidRPr="00914F92">
              <w:rPr>
                <w:b/>
              </w:rPr>
              <w:t>(</w:t>
            </w:r>
            <w:r w:rsidRPr="003C7F4A">
              <w:rPr>
                <w:b/>
              </w:rPr>
              <w:t>27.507</w:t>
            </w:r>
            <w:r w:rsidRPr="00914F92">
              <w:rPr>
                <w:b/>
              </w:rPr>
              <w:t>)</w:t>
            </w:r>
          </w:p>
        </w:tc>
      </w:tr>
      <w:tr w:rsidR="00375569" w:rsidRPr="005861DC" w14:paraId="092C5CC4" w14:textId="77777777" w:rsidTr="00725333">
        <w:trPr>
          <w:trHeight w:val="238"/>
          <w:jc w:val="center"/>
        </w:trPr>
        <w:tc>
          <w:tcPr>
            <w:tcW w:w="1605" w:type="pct"/>
            <w:shd w:val="clear" w:color="auto" w:fill="auto"/>
            <w:vAlign w:val="center"/>
          </w:tcPr>
          <w:p w14:paraId="013A1B30" w14:textId="77777777" w:rsidR="00375569" w:rsidRPr="00E54349" w:rsidRDefault="00375569" w:rsidP="00E54349">
            <w:pPr>
              <w:pStyle w:val="08-Tabelageral"/>
              <w:ind w:left="113"/>
              <w:jc w:val="left"/>
            </w:pPr>
            <w:r w:rsidRPr="00E54349">
              <w:t>Atualização monetária de dividendos e juros</w:t>
            </w:r>
          </w:p>
          <w:p w14:paraId="2D319F29" w14:textId="77777777" w:rsidR="00375569" w:rsidRPr="005861DC" w:rsidRDefault="00375569" w:rsidP="00E54349">
            <w:pPr>
              <w:pStyle w:val="08-Tabelageral"/>
              <w:ind w:left="113"/>
              <w:jc w:val="left"/>
              <w:rPr>
                <w:b/>
              </w:rPr>
            </w:pPr>
            <w:r w:rsidRPr="00E54349">
              <w:t>sobre capital próprio</w:t>
            </w:r>
          </w:p>
        </w:tc>
        <w:tc>
          <w:tcPr>
            <w:tcW w:w="313" w:type="pct"/>
            <w:shd w:val="clear" w:color="auto" w:fill="auto"/>
          </w:tcPr>
          <w:p w14:paraId="63B3AD81" w14:textId="77777777" w:rsidR="00375569" w:rsidRPr="005861DC" w:rsidRDefault="00375569" w:rsidP="00FD7E5F">
            <w:pPr>
              <w:pStyle w:val="08-Tabelageral"/>
              <w:jc w:val="center"/>
              <w:rPr>
                <w:rFonts w:cs="Arial"/>
                <w:b/>
                <w:szCs w:val="14"/>
              </w:rPr>
            </w:pPr>
          </w:p>
        </w:tc>
        <w:tc>
          <w:tcPr>
            <w:tcW w:w="732" w:type="pct"/>
            <w:shd w:val="clear" w:color="auto" w:fill="auto"/>
            <w:vAlign w:val="center"/>
          </w:tcPr>
          <w:p w14:paraId="7F140962" w14:textId="77777777" w:rsidR="00375569" w:rsidRPr="00F21A84" w:rsidRDefault="00375569" w:rsidP="00914F92">
            <w:pPr>
              <w:pStyle w:val="08-Tabelageral"/>
            </w:pPr>
            <w:r w:rsidRPr="00F21A84">
              <w:t>(2.623)</w:t>
            </w:r>
          </w:p>
        </w:tc>
        <w:tc>
          <w:tcPr>
            <w:tcW w:w="732" w:type="pct"/>
            <w:shd w:val="clear" w:color="auto" w:fill="auto"/>
            <w:vAlign w:val="center"/>
          </w:tcPr>
          <w:p w14:paraId="3EB9031E" w14:textId="77777777" w:rsidR="00375569" w:rsidRPr="00E54349" w:rsidRDefault="00375569" w:rsidP="00914F92">
            <w:pPr>
              <w:pStyle w:val="08-Tabelageral"/>
            </w:pPr>
            <w:r>
              <w:t>(</w:t>
            </w:r>
            <w:r w:rsidRPr="00E54349">
              <w:t>24.871</w:t>
            </w:r>
            <w:r>
              <w:t>)</w:t>
            </w:r>
          </w:p>
        </w:tc>
        <w:tc>
          <w:tcPr>
            <w:tcW w:w="147" w:type="pct"/>
            <w:shd w:val="clear" w:color="auto" w:fill="auto"/>
            <w:vAlign w:val="center"/>
          </w:tcPr>
          <w:p w14:paraId="5AB95BF5" w14:textId="77777777" w:rsidR="00375569" w:rsidRPr="005861DC" w:rsidRDefault="00375569" w:rsidP="00914F92">
            <w:pPr>
              <w:pStyle w:val="08-Tabelageral"/>
              <w:rPr>
                <w:b/>
              </w:rPr>
            </w:pPr>
          </w:p>
        </w:tc>
        <w:tc>
          <w:tcPr>
            <w:tcW w:w="735" w:type="pct"/>
            <w:shd w:val="clear" w:color="auto" w:fill="auto"/>
            <w:vAlign w:val="center"/>
          </w:tcPr>
          <w:p w14:paraId="1409997A" w14:textId="77777777" w:rsidR="00375569" w:rsidRPr="009B5769" w:rsidRDefault="00375569" w:rsidP="00914F92">
            <w:pPr>
              <w:pStyle w:val="08-Tabelageral"/>
            </w:pPr>
            <w:r w:rsidRPr="009B5769">
              <w:t>(2.623)</w:t>
            </w:r>
          </w:p>
        </w:tc>
        <w:tc>
          <w:tcPr>
            <w:tcW w:w="736" w:type="pct"/>
            <w:shd w:val="clear" w:color="auto" w:fill="auto"/>
            <w:vAlign w:val="center"/>
          </w:tcPr>
          <w:p w14:paraId="4F519E22" w14:textId="77777777" w:rsidR="00375569" w:rsidRPr="003C7F4A" w:rsidRDefault="00375569" w:rsidP="00914F92">
            <w:pPr>
              <w:pStyle w:val="08-Tabelageral"/>
            </w:pPr>
            <w:r>
              <w:t>(</w:t>
            </w:r>
            <w:r w:rsidRPr="003C7F4A">
              <w:t>24.871</w:t>
            </w:r>
            <w:r>
              <w:t>)</w:t>
            </w:r>
          </w:p>
        </w:tc>
      </w:tr>
      <w:tr w:rsidR="00375569" w:rsidRPr="005861DC" w14:paraId="038354EA" w14:textId="77777777" w:rsidTr="00725333">
        <w:trPr>
          <w:trHeight w:val="238"/>
          <w:jc w:val="center"/>
        </w:trPr>
        <w:tc>
          <w:tcPr>
            <w:tcW w:w="1605" w:type="pct"/>
            <w:shd w:val="clear" w:color="auto" w:fill="auto"/>
            <w:vAlign w:val="center"/>
          </w:tcPr>
          <w:p w14:paraId="05EF7996" w14:textId="77777777" w:rsidR="00375569" w:rsidRPr="005861DC" w:rsidRDefault="00375569" w:rsidP="007C0E3C">
            <w:pPr>
              <w:pStyle w:val="08-Tabelageral"/>
              <w:ind w:left="113"/>
              <w:jc w:val="left"/>
            </w:pPr>
            <w:r w:rsidRPr="005861DC">
              <w:t>Serviços do sistema financeiro</w:t>
            </w:r>
          </w:p>
        </w:tc>
        <w:tc>
          <w:tcPr>
            <w:tcW w:w="313" w:type="pct"/>
            <w:shd w:val="clear" w:color="auto" w:fill="auto"/>
          </w:tcPr>
          <w:p w14:paraId="4F1833AD" w14:textId="77777777" w:rsidR="00375569" w:rsidRPr="005861DC" w:rsidRDefault="00375569" w:rsidP="00FD7E5F">
            <w:pPr>
              <w:pStyle w:val="08-Tabelageral"/>
              <w:ind w:left="113"/>
              <w:jc w:val="center"/>
              <w:rPr>
                <w:rFonts w:cs="Arial"/>
                <w:szCs w:val="14"/>
              </w:rPr>
            </w:pPr>
          </w:p>
        </w:tc>
        <w:tc>
          <w:tcPr>
            <w:tcW w:w="732" w:type="pct"/>
            <w:shd w:val="clear" w:color="auto" w:fill="auto"/>
            <w:vAlign w:val="center"/>
          </w:tcPr>
          <w:p w14:paraId="6E8358EC" w14:textId="77777777" w:rsidR="00375569" w:rsidRPr="005861DC" w:rsidRDefault="00375569" w:rsidP="00914F92">
            <w:pPr>
              <w:pStyle w:val="08-Tabelageral"/>
            </w:pPr>
            <w:r>
              <w:t>(617)</w:t>
            </w:r>
          </w:p>
        </w:tc>
        <w:tc>
          <w:tcPr>
            <w:tcW w:w="732" w:type="pct"/>
            <w:shd w:val="clear" w:color="auto" w:fill="auto"/>
            <w:vAlign w:val="center"/>
          </w:tcPr>
          <w:p w14:paraId="3FF75736" w14:textId="77777777" w:rsidR="00375569" w:rsidRPr="005861DC" w:rsidRDefault="00375569" w:rsidP="00914F92">
            <w:pPr>
              <w:pStyle w:val="08-Tabelageral"/>
            </w:pPr>
            <w:r w:rsidRPr="00914F92">
              <w:t>(</w:t>
            </w:r>
            <w:r w:rsidRPr="00E54349">
              <w:t>480</w:t>
            </w:r>
            <w:r w:rsidRPr="00914F92">
              <w:t>)</w:t>
            </w:r>
          </w:p>
        </w:tc>
        <w:tc>
          <w:tcPr>
            <w:tcW w:w="147" w:type="pct"/>
            <w:shd w:val="clear" w:color="auto" w:fill="auto"/>
            <w:vAlign w:val="center"/>
          </w:tcPr>
          <w:p w14:paraId="0ED987AA" w14:textId="77777777" w:rsidR="00375569" w:rsidRPr="005861DC" w:rsidRDefault="00375569" w:rsidP="00914F92">
            <w:pPr>
              <w:pStyle w:val="08-Tabelageral"/>
            </w:pPr>
          </w:p>
        </w:tc>
        <w:tc>
          <w:tcPr>
            <w:tcW w:w="735" w:type="pct"/>
            <w:shd w:val="clear" w:color="auto" w:fill="auto"/>
            <w:vAlign w:val="center"/>
          </w:tcPr>
          <w:p w14:paraId="4A363E74" w14:textId="77777777" w:rsidR="00375569" w:rsidRPr="005861DC" w:rsidRDefault="00375569" w:rsidP="00E40A05">
            <w:pPr>
              <w:pStyle w:val="08-Tabelageral"/>
            </w:pPr>
            <w:r>
              <w:t>(</w:t>
            </w:r>
            <w:r w:rsidRPr="00F27D08">
              <w:t>1</w:t>
            </w:r>
            <w:r>
              <w:t>.</w:t>
            </w:r>
            <w:r w:rsidRPr="00F27D08">
              <w:t>041</w:t>
            </w:r>
            <w:r>
              <w:t>)</w:t>
            </w:r>
          </w:p>
        </w:tc>
        <w:tc>
          <w:tcPr>
            <w:tcW w:w="736" w:type="pct"/>
            <w:shd w:val="clear" w:color="auto" w:fill="auto"/>
            <w:vAlign w:val="center"/>
          </w:tcPr>
          <w:p w14:paraId="1E06BCBD" w14:textId="77777777" w:rsidR="00375569" w:rsidRPr="005861DC" w:rsidRDefault="00375569" w:rsidP="00914F92">
            <w:pPr>
              <w:pStyle w:val="08-Tabelageral"/>
            </w:pPr>
            <w:r w:rsidRPr="001B0EFE">
              <w:t>(</w:t>
            </w:r>
            <w:r w:rsidRPr="003C7F4A">
              <w:t>828</w:t>
            </w:r>
            <w:r w:rsidRPr="001B0EFE">
              <w:t>)</w:t>
            </w:r>
          </w:p>
        </w:tc>
      </w:tr>
      <w:tr w:rsidR="00375569" w:rsidRPr="005861DC" w14:paraId="48280279" w14:textId="77777777" w:rsidTr="00725333">
        <w:trPr>
          <w:trHeight w:val="238"/>
          <w:jc w:val="center"/>
        </w:trPr>
        <w:tc>
          <w:tcPr>
            <w:tcW w:w="1605" w:type="pct"/>
            <w:shd w:val="clear" w:color="auto" w:fill="auto"/>
            <w:vAlign w:val="center"/>
          </w:tcPr>
          <w:p w14:paraId="605D359A" w14:textId="77777777" w:rsidR="00375569" w:rsidRPr="005861DC" w:rsidRDefault="00375569" w:rsidP="001B0EFE">
            <w:pPr>
              <w:pStyle w:val="08-Tabelageral"/>
              <w:ind w:left="113"/>
              <w:jc w:val="left"/>
            </w:pPr>
            <w:r w:rsidRPr="005861DC">
              <w:t>Perdas em aplicações financeiras</w:t>
            </w:r>
          </w:p>
        </w:tc>
        <w:tc>
          <w:tcPr>
            <w:tcW w:w="313" w:type="pct"/>
            <w:shd w:val="clear" w:color="auto" w:fill="auto"/>
          </w:tcPr>
          <w:p w14:paraId="72DE2F4E" w14:textId="77777777" w:rsidR="00375569" w:rsidRPr="005861DC" w:rsidRDefault="00375569" w:rsidP="001B0EFE">
            <w:pPr>
              <w:pStyle w:val="08-Tabelageral"/>
              <w:ind w:left="113"/>
              <w:jc w:val="center"/>
              <w:rPr>
                <w:rFonts w:cs="Arial"/>
                <w:szCs w:val="14"/>
              </w:rPr>
            </w:pPr>
          </w:p>
        </w:tc>
        <w:tc>
          <w:tcPr>
            <w:tcW w:w="732" w:type="pct"/>
            <w:shd w:val="clear" w:color="auto" w:fill="auto"/>
            <w:vAlign w:val="center"/>
          </w:tcPr>
          <w:p w14:paraId="50C9C5C9" w14:textId="77777777" w:rsidR="00375569" w:rsidRPr="005861DC" w:rsidRDefault="00375569" w:rsidP="001B0EFE">
            <w:pPr>
              <w:pStyle w:val="08-Tabelageral"/>
            </w:pPr>
            <w:r>
              <w:t>(</w:t>
            </w:r>
            <w:r w:rsidRPr="00F21A84">
              <w:t>851</w:t>
            </w:r>
            <w:r>
              <w:t>)</w:t>
            </w:r>
          </w:p>
        </w:tc>
        <w:tc>
          <w:tcPr>
            <w:tcW w:w="732" w:type="pct"/>
            <w:shd w:val="clear" w:color="auto" w:fill="auto"/>
            <w:vAlign w:val="center"/>
          </w:tcPr>
          <w:p w14:paraId="67B592FF" w14:textId="77777777" w:rsidR="00375569" w:rsidRPr="005861DC" w:rsidRDefault="00375569" w:rsidP="001B0EFE">
            <w:pPr>
              <w:pStyle w:val="08-Tabelageral"/>
            </w:pPr>
            <w:r w:rsidRPr="00914F92">
              <w:t>(</w:t>
            </w:r>
            <w:r w:rsidRPr="00E54349">
              <w:t>117</w:t>
            </w:r>
            <w:r w:rsidRPr="00914F92">
              <w:t>)</w:t>
            </w:r>
          </w:p>
        </w:tc>
        <w:tc>
          <w:tcPr>
            <w:tcW w:w="147" w:type="pct"/>
            <w:shd w:val="clear" w:color="auto" w:fill="auto"/>
            <w:vAlign w:val="center"/>
          </w:tcPr>
          <w:p w14:paraId="3BD53ED1" w14:textId="77777777" w:rsidR="00375569" w:rsidRPr="005861DC" w:rsidRDefault="00375569" w:rsidP="001B0EFE">
            <w:pPr>
              <w:pStyle w:val="08-Tabelageral"/>
            </w:pPr>
          </w:p>
        </w:tc>
        <w:tc>
          <w:tcPr>
            <w:tcW w:w="735" w:type="pct"/>
            <w:shd w:val="clear" w:color="auto" w:fill="auto"/>
            <w:vAlign w:val="center"/>
          </w:tcPr>
          <w:p w14:paraId="7ED7AD44" w14:textId="77777777" w:rsidR="00375569" w:rsidRPr="005861DC" w:rsidRDefault="00375569" w:rsidP="00E40A05">
            <w:pPr>
              <w:pStyle w:val="08-Tabelageral"/>
            </w:pPr>
            <w:r>
              <w:t>(</w:t>
            </w:r>
            <w:r w:rsidRPr="00F27D08">
              <w:t>851</w:t>
            </w:r>
            <w:r>
              <w:t>)</w:t>
            </w:r>
          </w:p>
        </w:tc>
        <w:tc>
          <w:tcPr>
            <w:tcW w:w="736" w:type="pct"/>
            <w:shd w:val="clear" w:color="auto" w:fill="auto"/>
            <w:vAlign w:val="center"/>
          </w:tcPr>
          <w:p w14:paraId="331F05A3" w14:textId="77777777" w:rsidR="00375569" w:rsidRPr="005861DC" w:rsidRDefault="00375569" w:rsidP="001B0EFE">
            <w:pPr>
              <w:pStyle w:val="08-Tabelageral"/>
            </w:pPr>
            <w:r w:rsidRPr="00914F92">
              <w:t>(</w:t>
            </w:r>
            <w:r w:rsidRPr="003C7F4A">
              <w:t>1.803</w:t>
            </w:r>
            <w:r w:rsidRPr="00914F92">
              <w:t>)</w:t>
            </w:r>
          </w:p>
        </w:tc>
      </w:tr>
      <w:tr w:rsidR="00375569" w:rsidRPr="005861DC" w14:paraId="49E92F74" w14:textId="77777777" w:rsidTr="00725333">
        <w:trPr>
          <w:trHeight w:val="238"/>
          <w:jc w:val="center"/>
        </w:trPr>
        <w:tc>
          <w:tcPr>
            <w:tcW w:w="1605" w:type="pct"/>
            <w:shd w:val="clear" w:color="auto" w:fill="auto"/>
            <w:vAlign w:val="center"/>
          </w:tcPr>
          <w:p w14:paraId="41F3C801" w14:textId="77777777" w:rsidR="00375569" w:rsidRPr="005861DC" w:rsidRDefault="00375569" w:rsidP="001B0EFE">
            <w:pPr>
              <w:pStyle w:val="08-Tabelageral"/>
              <w:ind w:left="113"/>
              <w:jc w:val="left"/>
            </w:pPr>
            <w:r w:rsidRPr="00E54349">
              <w:t>Outras</w:t>
            </w:r>
          </w:p>
        </w:tc>
        <w:tc>
          <w:tcPr>
            <w:tcW w:w="313" w:type="pct"/>
            <w:shd w:val="clear" w:color="auto" w:fill="auto"/>
          </w:tcPr>
          <w:p w14:paraId="404CA55B" w14:textId="77777777" w:rsidR="00375569" w:rsidRPr="005861DC" w:rsidRDefault="00375569" w:rsidP="001B0EFE">
            <w:pPr>
              <w:pStyle w:val="08-Tabelageral"/>
              <w:ind w:left="113"/>
              <w:jc w:val="center"/>
              <w:rPr>
                <w:rFonts w:cs="Arial"/>
                <w:szCs w:val="14"/>
              </w:rPr>
            </w:pPr>
          </w:p>
        </w:tc>
        <w:tc>
          <w:tcPr>
            <w:tcW w:w="732" w:type="pct"/>
            <w:shd w:val="clear" w:color="auto" w:fill="auto"/>
            <w:vAlign w:val="center"/>
          </w:tcPr>
          <w:p w14:paraId="5770697A" w14:textId="77777777" w:rsidR="00375569" w:rsidRPr="005861DC" w:rsidRDefault="00375569" w:rsidP="001B0EFE">
            <w:pPr>
              <w:pStyle w:val="08-Tabelageral"/>
            </w:pPr>
            <w:r>
              <w:t>--</w:t>
            </w:r>
          </w:p>
        </w:tc>
        <w:tc>
          <w:tcPr>
            <w:tcW w:w="732" w:type="pct"/>
            <w:shd w:val="clear" w:color="auto" w:fill="auto"/>
            <w:vAlign w:val="center"/>
          </w:tcPr>
          <w:p w14:paraId="0E8B49DC" w14:textId="77777777" w:rsidR="00375569" w:rsidRPr="00914F92" w:rsidRDefault="00375569" w:rsidP="001B0EFE">
            <w:pPr>
              <w:pStyle w:val="08-Tabelageral"/>
            </w:pPr>
            <w:r>
              <w:t>(1)</w:t>
            </w:r>
          </w:p>
        </w:tc>
        <w:tc>
          <w:tcPr>
            <w:tcW w:w="147" w:type="pct"/>
            <w:shd w:val="clear" w:color="auto" w:fill="auto"/>
            <w:vAlign w:val="center"/>
          </w:tcPr>
          <w:p w14:paraId="109D3CEA" w14:textId="77777777" w:rsidR="00375569" w:rsidRPr="005861DC" w:rsidRDefault="00375569" w:rsidP="001B0EFE">
            <w:pPr>
              <w:pStyle w:val="08-Tabelageral"/>
            </w:pPr>
          </w:p>
        </w:tc>
        <w:tc>
          <w:tcPr>
            <w:tcW w:w="735" w:type="pct"/>
            <w:shd w:val="clear" w:color="auto" w:fill="auto"/>
            <w:vAlign w:val="center"/>
          </w:tcPr>
          <w:p w14:paraId="7B369520" w14:textId="77777777" w:rsidR="00375569" w:rsidRPr="005861DC" w:rsidRDefault="00375569" w:rsidP="00E40A05">
            <w:pPr>
              <w:pStyle w:val="08-Tabelageral"/>
            </w:pPr>
            <w:r>
              <w:t>--</w:t>
            </w:r>
          </w:p>
        </w:tc>
        <w:tc>
          <w:tcPr>
            <w:tcW w:w="736" w:type="pct"/>
            <w:shd w:val="clear" w:color="auto" w:fill="auto"/>
            <w:vAlign w:val="center"/>
          </w:tcPr>
          <w:p w14:paraId="7803EEB3" w14:textId="77777777" w:rsidR="00375569" w:rsidRPr="00914F92" w:rsidRDefault="00375569" w:rsidP="001B0EFE">
            <w:pPr>
              <w:pStyle w:val="08-Tabelageral"/>
            </w:pPr>
            <w:r>
              <w:t>(5)</w:t>
            </w:r>
          </w:p>
        </w:tc>
      </w:tr>
      <w:tr w:rsidR="00375569" w:rsidRPr="00DB06CF" w14:paraId="68497CFF" w14:textId="77777777" w:rsidTr="00725333">
        <w:trPr>
          <w:trHeight w:val="238"/>
          <w:jc w:val="center"/>
        </w:trPr>
        <w:tc>
          <w:tcPr>
            <w:tcW w:w="1605" w:type="pct"/>
            <w:tcBorders>
              <w:bottom w:val="single" w:sz="2" w:space="0" w:color="1F4E79" w:themeColor="accent1" w:themeShade="80"/>
            </w:tcBorders>
            <w:shd w:val="clear" w:color="auto" w:fill="auto"/>
            <w:vAlign w:val="center"/>
          </w:tcPr>
          <w:p w14:paraId="11CE5AAC" w14:textId="77777777" w:rsidR="00375569" w:rsidRPr="005861DC" w:rsidRDefault="00375569" w:rsidP="001B0EFE">
            <w:pPr>
              <w:pStyle w:val="08-Tabelageral"/>
              <w:jc w:val="left"/>
              <w:rPr>
                <w:b/>
              </w:rPr>
            </w:pPr>
            <w:r w:rsidRPr="005861DC">
              <w:rPr>
                <w:b/>
              </w:rPr>
              <w:t>Resultado Financeiro</w:t>
            </w:r>
          </w:p>
        </w:tc>
        <w:tc>
          <w:tcPr>
            <w:tcW w:w="313" w:type="pct"/>
            <w:tcBorders>
              <w:bottom w:val="single" w:sz="2" w:space="0" w:color="1F4E79" w:themeColor="accent1" w:themeShade="80"/>
            </w:tcBorders>
            <w:shd w:val="clear" w:color="auto" w:fill="auto"/>
          </w:tcPr>
          <w:p w14:paraId="347930AE" w14:textId="77777777" w:rsidR="00375569" w:rsidRPr="005861DC" w:rsidRDefault="00375569" w:rsidP="001B0EFE">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284D65E5" w14:textId="77777777" w:rsidR="00375569" w:rsidRPr="005861DC" w:rsidRDefault="00375569" w:rsidP="001B0EFE">
            <w:pPr>
              <w:pStyle w:val="08-Tabelageral"/>
              <w:rPr>
                <w:b/>
              </w:rPr>
            </w:pPr>
            <w:r w:rsidRPr="00DE6A77">
              <w:rPr>
                <w:b/>
              </w:rPr>
              <w:t>22.901</w:t>
            </w:r>
          </w:p>
        </w:tc>
        <w:tc>
          <w:tcPr>
            <w:tcW w:w="732" w:type="pct"/>
            <w:tcBorders>
              <w:bottom w:val="single" w:sz="2" w:space="0" w:color="1F4E79" w:themeColor="accent1" w:themeShade="80"/>
            </w:tcBorders>
            <w:shd w:val="clear" w:color="auto" w:fill="auto"/>
            <w:vAlign w:val="center"/>
          </w:tcPr>
          <w:p w14:paraId="3C4ABE22" w14:textId="77777777" w:rsidR="00375569" w:rsidRPr="005861DC" w:rsidRDefault="00375569" w:rsidP="001B0EFE">
            <w:pPr>
              <w:pStyle w:val="08-Tabelageral"/>
              <w:rPr>
                <w:b/>
              </w:rPr>
            </w:pPr>
            <w:r w:rsidRPr="00E54349">
              <w:rPr>
                <w:b/>
              </w:rPr>
              <w:t>37.295</w:t>
            </w:r>
          </w:p>
        </w:tc>
        <w:tc>
          <w:tcPr>
            <w:tcW w:w="147" w:type="pct"/>
            <w:tcBorders>
              <w:bottom w:val="single" w:sz="2" w:space="0" w:color="1F4E79" w:themeColor="accent1" w:themeShade="80"/>
            </w:tcBorders>
            <w:shd w:val="clear" w:color="auto" w:fill="auto"/>
            <w:vAlign w:val="center"/>
          </w:tcPr>
          <w:p w14:paraId="1A6D042F" w14:textId="77777777" w:rsidR="00375569" w:rsidRPr="005861DC" w:rsidRDefault="00375569" w:rsidP="001B0EFE">
            <w:pPr>
              <w:pStyle w:val="08-Tabelageral"/>
              <w:rPr>
                <w:b/>
              </w:rPr>
            </w:pPr>
          </w:p>
        </w:tc>
        <w:tc>
          <w:tcPr>
            <w:tcW w:w="735" w:type="pct"/>
            <w:tcBorders>
              <w:bottom w:val="single" w:sz="2" w:space="0" w:color="1F4E79" w:themeColor="accent1" w:themeShade="80"/>
            </w:tcBorders>
            <w:shd w:val="clear" w:color="auto" w:fill="auto"/>
            <w:vAlign w:val="center"/>
          </w:tcPr>
          <w:p w14:paraId="63462CC7" w14:textId="77777777" w:rsidR="00375569" w:rsidRPr="005861DC" w:rsidRDefault="00375569" w:rsidP="001B0EFE">
            <w:pPr>
              <w:pStyle w:val="08-Tabelageral"/>
              <w:rPr>
                <w:b/>
              </w:rPr>
            </w:pPr>
            <w:r w:rsidRPr="00DE6A77">
              <w:rPr>
                <w:b/>
              </w:rPr>
              <w:t>147.224</w:t>
            </w:r>
          </w:p>
        </w:tc>
        <w:tc>
          <w:tcPr>
            <w:tcW w:w="736" w:type="pct"/>
            <w:tcBorders>
              <w:bottom w:val="single" w:sz="2" w:space="0" w:color="1F4E79" w:themeColor="accent1" w:themeShade="80"/>
            </w:tcBorders>
            <w:shd w:val="clear" w:color="auto" w:fill="auto"/>
            <w:vAlign w:val="center"/>
          </w:tcPr>
          <w:p w14:paraId="1630C6DB" w14:textId="77777777" w:rsidR="00375569" w:rsidRPr="00DB06CF" w:rsidRDefault="00375569" w:rsidP="001B0EFE">
            <w:pPr>
              <w:pStyle w:val="08-Tabelageral"/>
              <w:rPr>
                <w:b/>
              </w:rPr>
            </w:pPr>
            <w:r w:rsidRPr="003C7F4A">
              <w:rPr>
                <w:b/>
              </w:rPr>
              <w:t>111.150</w:t>
            </w:r>
          </w:p>
        </w:tc>
      </w:tr>
      <w:bookmarkEnd w:id="85"/>
    </w:tbl>
    <w:p w14:paraId="3CB98766" w14:textId="77777777" w:rsidR="00375569" w:rsidRDefault="00375569" w:rsidP="00D57984">
      <w:pPr>
        <w:pStyle w:val="05-Textonormal"/>
      </w:pPr>
    </w:p>
    <w:p w14:paraId="3A0E9620" w14:textId="5C7E9944" w:rsidR="00375569" w:rsidRPr="00725333" w:rsidRDefault="00375569" w:rsidP="00725333">
      <w:pPr>
        <w:pStyle w:val="02-TtulodeNota"/>
        <w:rPr>
          <w:color w:val="1F4E79" w:themeColor="accent1" w:themeShade="80"/>
        </w:rPr>
      </w:pPr>
      <w:bookmarkStart w:id="88" w:name="OLE_LINK8"/>
      <w:bookmarkStart w:id="89" w:name="_Toc94861073"/>
      <w:r w:rsidRPr="00725333">
        <w:rPr>
          <w:color w:val="1F4E79" w:themeColor="accent1" w:themeShade="80"/>
        </w:rPr>
        <w:t>15 – CAIXA E EQUIVALENTES DE CAIXA</w:t>
      </w:r>
      <w:bookmarkEnd w:id="89"/>
    </w:p>
    <w:p w14:paraId="5CA22B8E" w14:textId="77777777" w:rsidR="00375569" w:rsidRDefault="00375569" w:rsidP="00DB20DC">
      <w:pPr>
        <w:spacing w:after="0"/>
        <w:jc w:val="right"/>
        <w:rPr>
          <w:rFonts w:cs="Arial"/>
          <w:b/>
          <w:sz w:val="14"/>
          <w:szCs w:val="14"/>
          <w:lang w:eastAsia="pt-BR"/>
        </w:rPr>
      </w:pPr>
      <w:r w:rsidRPr="00DB20DC">
        <w:rPr>
          <w:rFonts w:cs="Arial"/>
          <w:b/>
          <w:sz w:val="14"/>
          <w:szCs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375569" w:rsidRPr="00BC7DA5" w14:paraId="220D3F8D" w14:textId="77777777" w:rsidTr="00725333">
        <w:trPr>
          <w:trHeight w:val="238"/>
          <w:jc w:val="center"/>
        </w:trPr>
        <w:tc>
          <w:tcPr>
            <w:tcW w:w="3261" w:type="dxa"/>
            <w:tcBorders>
              <w:top w:val="single" w:sz="2" w:space="0" w:color="1F4E79" w:themeColor="accent1" w:themeShade="80"/>
              <w:bottom w:val="nil"/>
            </w:tcBorders>
            <w:shd w:val="clear" w:color="auto" w:fill="auto"/>
          </w:tcPr>
          <w:p w14:paraId="546DCFEF" w14:textId="77777777" w:rsidR="00375569" w:rsidRPr="00BC7DA5" w:rsidRDefault="00375569" w:rsidP="004C0FD6">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13CEEC81" w14:textId="77777777" w:rsidR="00375569" w:rsidRPr="00BC7DA5" w:rsidRDefault="00375569" w:rsidP="004C0FD6">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453BAD4" w14:textId="77777777" w:rsidR="00375569" w:rsidRPr="00BC7DA5" w:rsidRDefault="00375569" w:rsidP="004C0FD6">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1B32FFB4" w14:textId="77777777" w:rsidR="00375569" w:rsidRPr="00BC7DA5" w:rsidRDefault="00375569" w:rsidP="004C0FD6">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E886812" w14:textId="77777777" w:rsidR="00375569" w:rsidRPr="00BC7DA5" w:rsidRDefault="00375569" w:rsidP="004C0FD6">
            <w:pPr>
              <w:keepNext/>
              <w:keepLines/>
              <w:spacing w:after="0"/>
              <w:jc w:val="center"/>
              <w:rPr>
                <w:rFonts w:cs="Arial"/>
                <w:b/>
                <w:szCs w:val="18"/>
              </w:rPr>
            </w:pPr>
            <w:r w:rsidRPr="00BC7DA5">
              <w:rPr>
                <w:rFonts w:cs="Arial"/>
                <w:b/>
                <w:sz w:val="14"/>
                <w:szCs w:val="18"/>
              </w:rPr>
              <w:t>Consolidado</w:t>
            </w:r>
          </w:p>
        </w:tc>
      </w:tr>
      <w:tr w:rsidR="00375569" w:rsidRPr="00BC7DA5" w14:paraId="65F62CC0" w14:textId="77777777" w:rsidTr="00725333">
        <w:trPr>
          <w:trHeight w:val="238"/>
          <w:jc w:val="center"/>
        </w:trPr>
        <w:tc>
          <w:tcPr>
            <w:tcW w:w="3261" w:type="dxa"/>
            <w:tcBorders>
              <w:top w:val="nil"/>
              <w:bottom w:val="single" w:sz="2" w:space="0" w:color="1F4E79" w:themeColor="accent1" w:themeShade="80"/>
            </w:tcBorders>
            <w:shd w:val="clear" w:color="auto" w:fill="auto"/>
          </w:tcPr>
          <w:p w14:paraId="714BC2DC" w14:textId="77777777" w:rsidR="00375569" w:rsidRPr="00BC7DA5" w:rsidRDefault="00375569" w:rsidP="004C0FD6">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027F6C6F" w14:textId="77777777" w:rsidR="00375569" w:rsidRPr="00BC7DA5" w:rsidRDefault="00375569" w:rsidP="004C0FD6">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D6F9133" w14:textId="77777777" w:rsidR="00375569" w:rsidRPr="00BC7DA5" w:rsidRDefault="00375569" w:rsidP="00B834F0">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C22382E" w14:textId="77777777" w:rsidR="00375569" w:rsidRPr="00BC7DA5" w:rsidRDefault="00375569" w:rsidP="004C0FD6">
            <w:pPr>
              <w:pStyle w:val="08-Tabelageral"/>
              <w:rPr>
                <w:rFonts w:cs="Arial"/>
                <w:b/>
              </w:rPr>
            </w:pPr>
            <w:r w:rsidRPr="00BC7DA5">
              <w:rPr>
                <w:rFonts w:cs="Arial"/>
                <w:b/>
              </w:rPr>
              <w:t>31.12.20</w:t>
            </w:r>
            <w:r>
              <w:rPr>
                <w:rFonts w:cs="Arial"/>
                <w:b/>
              </w:rPr>
              <w:t>20</w:t>
            </w:r>
          </w:p>
        </w:tc>
        <w:tc>
          <w:tcPr>
            <w:tcW w:w="283" w:type="dxa"/>
            <w:tcBorders>
              <w:top w:val="nil"/>
              <w:bottom w:val="single" w:sz="2" w:space="0" w:color="1F4E79" w:themeColor="accent1" w:themeShade="80"/>
            </w:tcBorders>
            <w:shd w:val="clear" w:color="auto" w:fill="auto"/>
            <w:vAlign w:val="center"/>
          </w:tcPr>
          <w:p w14:paraId="77D227C8" w14:textId="77777777" w:rsidR="00375569" w:rsidRPr="00BC7DA5" w:rsidRDefault="00375569" w:rsidP="004C0FD6">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44D1339" w14:textId="77777777" w:rsidR="00375569" w:rsidRPr="00BC7DA5" w:rsidRDefault="00375569" w:rsidP="00B834F0">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BE75D61" w14:textId="77777777" w:rsidR="00375569" w:rsidRPr="00BC7DA5" w:rsidRDefault="00375569" w:rsidP="004C0FD6">
            <w:pPr>
              <w:pStyle w:val="08-Tabelageral"/>
              <w:rPr>
                <w:rFonts w:cs="Arial"/>
                <w:b/>
                <w:vertAlign w:val="superscript"/>
              </w:rPr>
            </w:pPr>
            <w:r w:rsidRPr="00BC7DA5">
              <w:rPr>
                <w:rFonts w:cs="Arial"/>
                <w:b/>
              </w:rPr>
              <w:t>31.12.20</w:t>
            </w:r>
            <w:r>
              <w:rPr>
                <w:rFonts w:cs="Arial"/>
                <w:b/>
              </w:rPr>
              <w:t>20</w:t>
            </w:r>
          </w:p>
        </w:tc>
      </w:tr>
      <w:tr w:rsidR="00375569" w:rsidRPr="009D0C3F" w14:paraId="5D45712E" w14:textId="77777777" w:rsidTr="00725333">
        <w:trPr>
          <w:trHeight w:val="238"/>
          <w:jc w:val="center"/>
        </w:trPr>
        <w:tc>
          <w:tcPr>
            <w:tcW w:w="3261" w:type="dxa"/>
            <w:tcBorders>
              <w:top w:val="single" w:sz="2" w:space="0" w:color="1F4E79" w:themeColor="accent1" w:themeShade="80"/>
            </w:tcBorders>
            <w:shd w:val="clear" w:color="auto" w:fill="auto"/>
          </w:tcPr>
          <w:p w14:paraId="301FABC6" w14:textId="77777777" w:rsidR="00375569" w:rsidRPr="00DB20DC" w:rsidRDefault="00375569" w:rsidP="006A7655">
            <w:pPr>
              <w:pStyle w:val="08-Tabelageral"/>
              <w:ind w:left="113"/>
              <w:jc w:val="left"/>
              <w:rPr>
                <w:b/>
              </w:rPr>
            </w:pPr>
            <w:r w:rsidRPr="00DB20DC">
              <w:t xml:space="preserve">Caixa </w:t>
            </w:r>
          </w:p>
        </w:tc>
        <w:tc>
          <w:tcPr>
            <w:tcW w:w="437" w:type="dxa"/>
            <w:tcBorders>
              <w:top w:val="single" w:sz="2" w:space="0" w:color="1F4E79" w:themeColor="accent1" w:themeShade="80"/>
              <w:bottom w:val="nil"/>
            </w:tcBorders>
            <w:shd w:val="clear" w:color="auto" w:fill="auto"/>
          </w:tcPr>
          <w:p w14:paraId="4A0DA598" w14:textId="77777777" w:rsidR="00375569" w:rsidRPr="009D0C3F" w:rsidRDefault="00375569" w:rsidP="006A7655">
            <w:pPr>
              <w:pStyle w:val="08-Tabelageral"/>
              <w:rPr>
                <w:rFonts w:cs="Arial"/>
                <w:b/>
              </w:rPr>
            </w:pPr>
          </w:p>
        </w:tc>
        <w:tc>
          <w:tcPr>
            <w:tcW w:w="1411" w:type="dxa"/>
            <w:tcBorders>
              <w:top w:val="single" w:sz="2" w:space="0" w:color="8EAADB" w:themeColor="accent5" w:themeTint="99"/>
              <w:bottom w:val="nil"/>
            </w:tcBorders>
          </w:tcPr>
          <w:p w14:paraId="089689D2" w14:textId="77777777" w:rsidR="00375569" w:rsidRPr="00A02918" w:rsidRDefault="00375569" w:rsidP="006A7655">
            <w:pPr>
              <w:pStyle w:val="08-Tabelageral"/>
            </w:pPr>
            <w:r>
              <w:t>453</w:t>
            </w:r>
          </w:p>
        </w:tc>
        <w:tc>
          <w:tcPr>
            <w:tcW w:w="1412" w:type="dxa"/>
            <w:tcBorders>
              <w:top w:val="single" w:sz="2" w:space="0" w:color="1F4E79" w:themeColor="accent1" w:themeShade="80"/>
            </w:tcBorders>
            <w:shd w:val="clear" w:color="auto" w:fill="auto"/>
          </w:tcPr>
          <w:p w14:paraId="1231E95A" w14:textId="77777777" w:rsidR="00375569" w:rsidRPr="00A02918" w:rsidRDefault="00375569" w:rsidP="006A7655">
            <w:pPr>
              <w:pStyle w:val="08-Tabelageral"/>
            </w:pPr>
            <w:r>
              <w:t>424</w:t>
            </w:r>
          </w:p>
        </w:tc>
        <w:tc>
          <w:tcPr>
            <w:tcW w:w="283" w:type="dxa"/>
            <w:tcBorders>
              <w:top w:val="single" w:sz="2" w:space="0" w:color="1F4E79" w:themeColor="accent1" w:themeShade="80"/>
              <w:bottom w:val="nil"/>
            </w:tcBorders>
            <w:shd w:val="clear" w:color="auto" w:fill="auto"/>
            <w:vAlign w:val="center"/>
          </w:tcPr>
          <w:p w14:paraId="1FD1CDAE" w14:textId="77777777" w:rsidR="00375569" w:rsidRPr="009D0C3F" w:rsidRDefault="00375569" w:rsidP="006A7655">
            <w:pPr>
              <w:pStyle w:val="08-Tabelageral"/>
              <w:rPr>
                <w:rFonts w:cs="Arial"/>
                <w:b/>
              </w:rPr>
            </w:pPr>
          </w:p>
        </w:tc>
        <w:tc>
          <w:tcPr>
            <w:tcW w:w="1417" w:type="dxa"/>
            <w:tcBorders>
              <w:top w:val="single" w:sz="2" w:space="0" w:color="8EAADB" w:themeColor="accent5" w:themeTint="99"/>
              <w:bottom w:val="nil"/>
            </w:tcBorders>
          </w:tcPr>
          <w:p w14:paraId="4ECC5797" w14:textId="77777777" w:rsidR="00375569" w:rsidRPr="0057573E" w:rsidRDefault="00375569" w:rsidP="006A7655">
            <w:pPr>
              <w:pStyle w:val="08-Tabelageral"/>
            </w:pPr>
            <w:r>
              <w:t>3.609</w:t>
            </w:r>
          </w:p>
        </w:tc>
        <w:tc>
          <w:tcPr>
            <w:tcW w:w="1418" w:type="dxa"/>
            <w:tcBorders>
              <w:top w:val="single" w:sz="2" w:space="0" w:color="1F4E79" w:themeColor="accent1" w:themeShade="80"/>
            </w:tcBorders>
            <w:shd w:val="clear" w:color="auto" w:fill="auto"/>
          </w:tcPr>
          <w:p w14:paraId="10490B5C" w14:textId="77777777" w:rsidR="00375569" w:rsidRPr="0057573E" w:rsidRDefault="00375569" w:rsidP="006A7655">
            <w:pPr>
              <w:pStyle w:val="08-Tabelageral"/>
            </w:pPr>
            <w:r>
              <w:t>3.475</w:t>
            </w:r>
          </w:p>
        </w:tc>
      </w:tr>
      <w:tr w:rsidR="00375569" w:rsidRPr="009D0C3F" w14:paraId="2F5EECCE" w14:textId="77777777" w:rsidTr="00725333">
        <w:trPr>
          <w:trHeight w:val="238"/>
          <w:jc w:val="center"/>
        </w:trPr>
        <w:tc>
          <w:tcPr>
            <w:tcW w:w="3261" w:type="dxa"/>
            <w:shd w:val="clear" w:color="auto" w:fill="auto"/>
          </w:tcPr>
          <w:p w14:paraId="4C13EAB8" w14:textId="77777777" w:rsidR="00375569" w:rsidRPr="00DB20DC" w:rsidRDefault="00375569" w:rsidP="006A7655">
            <w:pPr>
              <w:pStyle w:val="08-Tabelageral"/>
              <w:ind w:left="113"/>
              <w:jc w:val="left"/>
              <w:rPr>
                <w:b/>
              </w:rPr>
            </w:pPr>
            <w:r w:rsidRPr="00DB20DC">
              <w:t xml:space="preserve">Fundo de </w:t>
            </w:r>
            <w:r>
              <w:t>c</w:t>
            </w:r>
            <w:r w:rsidRPr="00DB20DC">
              <w:t xml:space="preserve">urto </w:t>
            </w:r>
            <w:r>
              <w:t>p</w:t>
            </w:r>
            <w:r w:rsidRPr="00DB20DC">
              <w:t>razo</w:t>
            </w:r>
          </w:p>
        </w:tc>
        <w:tc>
          <w:tcPr>
            <w:tcW w:w="437" w:type="dxa"/>
            <w:tcBorders>
              <w:top w:val="nil"/>
              <w:bottom w:val="nil"/>
            </w:tcBorders>
            <w:shd w:val="clear" w:color="auto" w:fill="auto"/>
          </w:tcPr>
          <w:p w14:paraId="33207C19" w14:textId="77777777" w:rsidR="00375569" w:rsidRPr="009D0C3F" w:rsidRDefault="00375569" w:rsidP="006A7655">
            <w:pPr>
              <w:pStyle w:val="08-Tabelageral"/>
              <w:rPr>
                <w:rFonts w:cs="Arial"/>
              </w:rPr>
            </w:pPr>
          </w:p>
        </w:tc>
        <w:tc>
          <w:tcPr>
            <w:tcW w:w="1411" w:type="dxa"/>
            <w:tcBorders>
              <w:top w:val="nil"/>
              <w:bottom w:val="nil"/>
            </w:tcBorders>
          </w:tcPr>
          <w:p w14:paraId="00458A1A" w14:textId="77777777" w:rsidR="00375569" w:rsidRPr="00666448" w:rsidRDefault="00375569" w:rsidP="006A7655">
            <w:pPr>
              <w:pStyle w:val="08-Tabelageral"/>
            </w:pPr>
            <w:r>
              <w:t>--</w:t>
            </w:r>
          </w:p>
        </w:tc>
        <w:tc>
          <w:tcPr>
            <w:tcW w:w="1412" w:type="dxa"/>
            <w:shd w:val="clear" w:color="auto" w:fill="auto"/>
          </w:tcPr>
          <w:p w14:paraId="06CFB1B5" w14:textId="77777777" w:rsidR="00375569" w:rsidRPr="00666448" w:rsidRDefault="00375569" w:rsidP="006A7655">
            <w:pPr>
              <w:pStyle w:val="08-Tabelageral"/>
            </w:pPr>
            <w:r>
              <w:t>--</w:t>
            </w:r>
          </w:p>
        </w:tc>
        <w:tc>
          <w:tcPr>
            <w:tcW w:w="283" w:type="dxa"/>
            <w:tcBorders>
              <w:top w:val="nil"/>
              <w:bottom w:val="nil"/>
            </w:tcBorders>
            <w:shd w:val="clear" w:color="auto" w:fill="auto"/>
            <w:vAlign w:val="center"/>
          </w:tcPr>
          <w:p w14:paraId="68E13150" w14:textId="77777777" w:rsidR="00375569" w:rsidRPr="009D0C3F" w:rsidRDefault="00375569" w:rsidP="006A7655">
            <w:pPr>
              <w:pStyle w:val="08-Tabelageral"/>
              <w:rPr>
                <w:rFonts w:cs="Arial"/>
              </w:rPr>
            </w:pPr>
          </w:p>
        </w:tc>
        <w:tc>
          <w:tcPr>
            <w:tcW w:w="1417" w:type="dxa"/>
            <w:tcBorders>
              <w:top w:val="nil"/>
              <w:bottom w:val="nil"/>
            </w:tcBorders>
          </w:tcPr>
          <w:p w14:paraId="222DBA00" w14:textId="77777777" w:rsidR="00375569" w:rsidRPr="0057573E" w:rsidRDefault="00375569" w:rsidP="006A7655">
            <w:pPr>
              <w:pStyle w:val="08-Tabelageral"/>
            </w:pPr>
            <w:r>
              <w:t>--</w:t>
            </w:r>
          </w:p>
        </w:tc>
        <w:tc>
          <w:tcPr>
            <w:tcW w:w="1418" w:type="dxa"/>
            <w:shd w:val="clear" w:color="auto" w:fill="auto"/>
          </w:tcPr>
          <w:p w14:paraId="4F45446D" w14:textId="77777777" w:rsidR="00375569" w:rsidRPr="0057573E" w:rsidRDefault="00375569" w:rsidP="006A7655">
            <w:pPr>
              <w:pStyle w:val="08-Tabelageral"/>
            </w:pPr>
            <w:r>
              <w:t>10</w:t>
            </w:r>
          </w:p>
        </w:tc>
      </w:tr>
      <w:tr w:rsidR="00375569" w:rsidRPr="00BC7DA5" w14:paraId="4FEA8297" w14:textId="77777777" w:rsidTr="00725333">
        <w:trPr>
          <w:trHeight w:val="238"/>
          <w:jc w:val="center"/>
        </w:trPr>
        <w:tc>
          <w:tcPr>
            <w:tcW w:w="3261" w:type="dxa"/>
            <w:tcBorders>
              <w:bottom w:val="nil"/>
            </w:tcBorders>
            <w:shd w:val="clear" w:color="auto" w:fill="auto"/>
          </w:tcPr>
          <w:p w14:paraId="67AF6131" w14:textId="77777777" w:rsidR="00375569" w:rsidRPr="00DB20DC" w:rsidRDefault="00375569" w:rsidP="006A7655">
            <w:pPr>
              <w:pStyle w:val="08-Tabelageral"/>
              <w:ind w:left="113"/>
              <w:jc w:val="left"/>
              <w:rPr>
                <w:b/>
              </w:rPr>
            </w:pPr>
            <w:r w:rsidRPr="00DB20DC">
              <w:t xml:space="preserve">Operações </w:t>
            </w:r>
            <w:r>
              <w:t>c</w:t>
            </w:r>
            <w:r w:rsidRPr="00DB20DC">
              <w:t xml:space="preserve">ompromissadas </w:t>
            </w:r>
            <w:r w:rsidRPr="000704E7">
              <w:rPr>
                <w:vertAlign w:val="superscript"/>
              </w:rPr>
              <w:t>(1)</w:t>
            </w:r>
          </w:p>
        </w:tc>
        <w:tc>
          <w:tcPr>
            <w:tcW w:w="437" w:type="dxa"/>
            <w:tcBorders>
              <w:top w:val="nil"/>
              <w:bottom w:val="nil"/>
            </w:tcBorders>
            <w:shd w:val="clear" w:color="auto" w:fill="auto"/>
          </w:tcPr>
          <w:p w14:paraId="4E308425" w14:textId="77777777" w:rsidR="00375569" w:rsidRPr="00BC7DA5" w:rsidRDefault="00375569" w:rsidP="006A7655">
            <w:pPr>
              <w:pStyle w:val="08-Tabelageral"/>
              <w:jc w:val="center"/>
              <w:rPr>
                <w:rFonts w:cs="Arial"/>
                <w:szCs w:val="14"/>
              </w:rPr>
            </w:pPr>
          </w:p>
        </w:tc>
        <w:tc>
          <w:tcPr>
            <w:tcW w:w="1411" w:type="dxa"/>
            <w:tcBorders>
              <w:top w:val="nil"/>
              <w:bottom w:val="nil"/>
            </w:tcBorders>
          </w:tcPr>
          <w:p w14:paraId="364A5622" w14:textId="77777777" w:rsidR="00375569" w:rsidRPr="00666448" w:rsidRDefault="00375569" w:rsidP="006A7655">
            <w:pPr>
              <w:pStyle w:val="08-Tabelageral"/>
            </w:pPr>
            <w:r>
              <w:t>368.889</w:t>
            </w:r>
          </w:p>
        </w:tc>
        <w:tc>
          <w:tcPr>
            <w:tcW w:w="1412" w:type="dxa"/>
            <w:tcBorders>
              <w:bottom w:val="nil"/>
            </w:tcBorders>
            <w:shd w:val="clear" w:color="auto" w:fill="auto"/>
          </w:tcPr>
          <w:p w14:paraId="5CD73642" w14:textId="77777777" w:rsidR="00375569" w:rsidRPr="00666448" w:rsidRDefault="00375569" w:rsidP="006A7655">
            <w:pPr>
              <w:pStyle w:val="08-Tabelageral"/>
            </w:pPr>
            <w:r>
              <w:t>208.469</w:t>
            </w:r>
          </w:p>
        </w:tc>
        <w:tc>
          <w:tcPr>
            <w:tcW w:w="283" w:type="dxa"/>
            <w:tcBorders>
              <w:top w:val="nil"/>
              <w:bottom w:val="nil"/>
            </w:tcBorders>
            <w:shd w:val="clear" w:color="auto" w:fill="auto"/>
            <w:vAlign w:val="center"/>
          </w:tcPr>
          <w:p w14:paraId="47496EFF" w14:textId="77777777" w:rsidR="00375569" w:rsidRPr="00BC7DA5" w:rsidRDefault="00375569" w:rsidP="006A7655">
            <w:pPr>
              <w:pStyle w:val="08-Tabelageral"/>
              <w:rPr>
                <w:rFonts w:cs="Arial"/>
                <w:szCs w:val="14"/>
              </w:rPr>
            </w:pPr>
          </w:p>
        </w:tc>
        <w:tc>
          <w:tcPr>
            <w:tcW w:w="1417" w:type="dxa"/>
            <w:tcBorders>
              <w:top w:val="nil"/>
              <w:bottom w:val="nil"/>
            </w:tcBorders>
          </w:tcPr>
          <w:p w14:paraId="6734117D" w14:textId="77777777" w:rsidR="00375569" w:rsidRPr="0057573E" w:rsidRDefault="00375569" w:rsidP="006A7655">
            <w:pPr>
              <w:pStyle w:val="08-Tabelageral"/>
            </w:pPr>
            <w:r>
              <w:t>4.086.952</w:t>
            </w:r>
          </w:p>
        </w:tc>
        <w:tc>
          <w:tcPr>
            <w:tcW w:w="1418" w:type="dxa"/>
            <w:tcBorders>
              <w:bottom w:val="nil"/>
            </w:tcBorders>
            <w:shd w:val="clear" w:color="auto" w:fill="auto"/>
          </w:tcPr>
          <w:p w14:paraId="538FD4FB" w14:textId="77777777" w:rsidR="00375569" w:rsidRPr="0057573E" w:rsidRDefault="00375569" w:rsidP="006A7655">
            <w:pPr>
              <w:pStyle w:val="08-Tabelageral"/>
            </w:pPr>
            <w:r>
              <w:t>2.191.960</w:t>
            </w:r>
          </w:p>
        </w:tc>
      </w:tr>
      <w:tr w:rsidR="00375569" w:rsidRPr="00BC7DA5" w14:paraId="34D86298" w14:textId="77777777" w:rsidTr="00725333">
        <w:trPr>
          <w:trHeight w:val="238"/>
          <w:jc w:val="center"/>
        </w:trPr>
        <w:tc>
          <w:tcPr>
            <w:tcW w:w="3261" w:type="dxa"/>
            <w:tcBorders>
              <w:top w:val="nil"/>
              <w:bottom w:val="single" w:sz="4" w:space="0" w:color="1F4E79" w:themeColor="accent1" w:themeShade="80"/>
            </w:tcBorders>
            <w:shd w:val="clear" w:color="auto" w:fill="auto"/>
          </w:tcPr>
          <w:p w14:paraId="72A0B9C9" w14:textId="77777777" w:rsidR="00375569" w:rsidRPr="0091717A" w:rsidRDefault="00375569" w:rsidP="006A7655">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1B04598B" w14:textId="77777777" w:rsidR="00375569" w:rsidRPr="00BC7DA5" w:rsidRDefault="00375569" w:rsidP="006A7655">
            <w:pPr>
              <w:pStyle w:val="08-Tabelageral"/>
              <w:jc w:val="center"/>
              <w:rPr>
                <w:rFonts w:cs="Arial"/>
                <w:szCs w:val="14"/>
              </w:rPr>
            </w:pPr>
          </w:p>
        </w:tc>
        <w:tc>
          <w:tcPr>
            <w:tcW w:w="1411" w:type="dxa"/>
            <w:tcBorders>
              <w:top w:val="nil"/>
              <w:bottom w:val="single" w:sz="4" w:space="0" w:color="1F4E79" w:themeColor="accent1" w:themeShade="80"/>
            </w:tcBorders>
          </w:tcPr>
          <w:p w14:paraId="10EBF75A" w14:textId="77777777" w:rsidR="00375569" w:rsidRPr="002D2193" w:rsidRDefault="00375569" w:rsidP="006A7655">
            <w:pPr>
              <w:pStyle w:val="08-Tabelageral"/>
              <w:rPr>
                <w:b/>
              </w:rPr>
            </w:pPr>
            <w:r>
              <w:rPr>
                <w:b/>
              </w:rPr>
              <w:t>369.342</w:t>
            </w:r>
          </w:p>
        </w:tc>
        <w:tc>
          <w:tcPr>
            <w:tcW w:w="1412" w:type="dxa"/>
            <w:tcBorders>
              <w:top w:val="nil"/>
              <w:bottom w:val="single" w:sz="4" w:space="0" w:color="1F4E79" w:themeColor="accent1" w:themeShade="80"/>
            </w:tcBorders>
            <w:shd w:val="clear" w:color="auto" w:fill="auto"/>
          </w:tcPr>
          <w:p w14:paraId="477CE09B" w14:textId="77777777" w:rsidR="00375569" w:rsidRPr="0091717A" w:rsidRDefault="00375569" w:rsidP="006A7655">
            <w:pPr>
              <w:pStyle w:val="08-Tabelageral"/>
              <w:rPr>
                <w:b/>
              </w:rPr>
            </w:pPr>
            <w:r>
              <w:rPr>
                <w:b/>
              </w:rPr>
              <w:t>208.893</w:t>
            </w:r>
          </w:p>
        </w:tc>
        <w:tc>
          <w:tcPr>
            <w:tcW w:w="283" w:type="dxa"/>
            <w:tcBorders>
              <w:top w:val="nil"/>
              <w:bottom w:val="single" w:sz="4" w:space="0" w:color="1F4E79" w:themeColor="accent1" w:themeShade="80"/>
            </w:tcBorders>
            <w:shd w:val="clear" w:color="auto" w:fill="auto"/>
            <w:vAlign w:val="center"/>
          </w:tcPr>
          <w:p w14:paraId="1CC17AE5" w14:textId="77777777" w:rsidR="00375569" w:rsidRPr="00BC7DA5" w:rsidRDefault="00375569" w:rsidP="006A7655">
            <w:pPr>
              <w:pStyle w:val="08-Tabelageral"/>
              <w:rPr>
                <w:rFonts w:cs="Arial"/>
                <w:szCs w:val="14"/>
              </w:rPr>
            </w:pPr>
          </w:p>
        </w:tc>
        <w:tc>
          <w:tcPr>
            <w:tcW w:w="1417" w:type="dxa"/>
            <w:tcBorders>
              <w:top w:val="nil"/>
              <w:bottom w:val="single" w:sz="4" w:space="0" w:color="1F4E79" w:themeColor="accent1" w:themeShade="80"/>
            </w:tcBorders>
          </w:tcPr>
          <w:p w14:paraId="45945BD6" w14:textId="77777777" w:rsidR="00375569" w:rsidRPr="002D2193" w:rsidRDefault="00375569" w:rsidP="006A7655">
            <w:pPr>
              <w:pStyle w:val="08-Tabelageral"/>
              <w:rPr>
                <w:b/>
              </w:rPr>
            </w:pPr>
            <w:r>
              <w:rPr>
                <w:b/>
              </w:rPr>
              <w:t>4.090.561</w:t>
            </w:r>
          </w:p>
        </w:tc>
        <w:tc>
          <w:tcPr>
            <w:tcW w:w="1418" w:type="dxa"/>
            <w:tcBorders>
              <w:top w:val="nil"/>
              <w:bottom w:val="single" w:sz="4" w:space="0" w:color="1F4E79" w:themeColor="accent1" w:themeShade="80"/>
            </w:tcBorders>
            <w:shd w:val="clear" w:color="auto" w:fill="auto"/>
          </w:tcPr>
          <w:p w14:paraId="679406DE" w14:textId="77777777" w:rsidR="00375569" w:rsidRPr="0091717A" w:rsidRDefault="00375569" w:rsidP="006A7655">
            <w:pPr>
              <w:pStyle w:val="08-Tabelageral"/>
              <w:rPr>
                <w:b/>
              </w:rPr>
            </w:pPr>
            <w:r>
              <w:rPr>
                <w:b/>
              </w:rPr>
              <w:t>2.195.445</w:t>
            </w:r>
          </w:p>
        </w:tc>
      </w:tr>
    </w:tbl>
    <w:p w14:paraId="6C4B22EE" w14:textId="77777777" w:rsidR="00375569" w:rsidRDefault="00375569" w:rsidP="007F4615">
      <w:pPr>
        <w:pStyle w:val="07-Legenda"/>
        <w:numPr>
          <w:ilvl w:val="0"/>
          <w:numId w:val="33"/>
        </w:numPr>
        <w:tabs>
          <w:tab w:val="left" w:pos="0"/>
        </w:tabs>
        <w:ind w:left="284" w:hanging="284"/>
        <w:rPr>
          <w:rFonts w:cs="Arial"/>
          <w:snapToGrid w:val="0"/>
        </w:rPr>
      </w:pPr>
      <w:r>
        <w:rPr>
          <w:rFonts w:cs="Arial"/>
          <w:snapToGrid w:val="0"/>
        </w:rPr>
        <w:t xml:space="preserve">Referem-se aos investimentos em operações compromissadas junto ao Banco do Brasil S.A. lastreadas em títulos públicos federais com liquidez diária e risco insignificante de mudança de valor justo. </w:t>
      </w:r>
    </w:p>
    <w:p w14:paraId="1987E9C4" w14:textId="77777777" w:rsidR="00375569" w:rsidRDefault="00375569" w:rsidP="00446547">
      <w:pPr>
        <w:pStyle w:val="05-Textonormal"/>
      </w:pPr>
      <w:r w:rsidRPr="00843EE4">
        <w:t>As aplicações financeiras em fundos de curto prazo e operações compromissadas estão categorizadas como ativos financeiros pelo valor justo por meio do resultado.</w:t>
      </w:r>
      <w:bookmarkEnd w:id="88"/>
    </w:p>
    <w:p w14:paraId="014F9291" w14:textId="5F80DD43" w:rsidR="00375569" w:rsidRPr="00725333" w:rsidRDefault="00375569" w:rsidP="00725333">
      <w:pPr>
        <w:pStyle w:val="02-TtulodeNota"/>
        <w:keepNext/>
        <w:keepLines/>
        <w:pageBreakBefore/>
        <w:rPr>
          <w:color w:val="1F4E79" w:themeColor="accent1" w:themeShade="80"/>
        </w:rPr>
      </w:pPr>
      <w:bookmarkStart w:id="90" w:name="OLE_LINK9"/>
      <w:bookmarkStart w:id="91" w:name="_Toc94861074"/>
      <w:r w:rsidRPr="00725333">
        <w:rPr>
          <w:color w:val="1F4E79" w:themeColor="accent1" w:themeShade="80"/>
        </w:rPr>
        <w:lastRenderedPageBreak/>
        <w:t>16 – INSTRUMENTOS FINANCEIROS</w:t>
      </w:r>
      <w:bookmarkEnd w:id="91"/>
      <w:r w:rsidRPr="00725333">
        <w:rPr>
          <w:color w:val="1F4E79" w:themeColor="accent1" w:themeShade="80"/>
        </w:rPr>
        <w:t xml:space="preserve"> </w:t>
      </w:r>
    </w:p>
    <w:p w14:paraId="64B6675E" w14:textId="77777777" w:rsidR="00375569" w:rsidRPr="00C274BC" w:rsidRDefault="00375569" w:rsidP="00C274BC"/>
    <w:p w14:paraId="44A86A4F" w14:textId="77777777" w:rsidR="00375569" w:rsidRPr="00DB3513" w:rsidRDefault="00375569" w:rsidP="007F4615">
      <w:pPr>
        <w:pStyle w:val="05-Textonormal"/>
        <w:numPr>
          <w:ilvl w:val="0"/>
          <w:numId w:val="35"/>
        </w:numPr>
        <w:rPr>
          <w:b/>
          <w:color w:val="1F4E79" w:themeColor="accent1" w:themeShade="80"/>
          <w:sz w:val="20"/>
          <w:szCs w:val="20"/>
        </w:rPr>
      </w:pPr>
      <w:r w:rsidRPr="00DB3513">
        <w:rPr>
          <w:b/>
          <w:color w:val="1F4E79" w:themeColor="accent1" w:themeShade="80"/>
          <w:sz w:val="20"/>
          <w:szCs w:val="20"/>
        </w:rPr>
        <w:t xml:space="preserve">Ativos Financeiros ao Valor Justo por meio do Resultado </w:t>
      </w:r>
    </w:p>
    <w:p w14:paraId="0C032C2C" w14:textId="77777777" w:rsidR="00375569" w:rsidRDefault="00375569" w:rsidP="00636D03">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375569" w:rsidRPr="00F80522" w14:paraId="19206710" w14:textId="77777777" w:rsidTr="00725333">
        <w:trPr>
          <w:trHeight w:val="238"/>
          <w:jc w:val="center"/>
        </w:trPr>
        <w:tc>
          <w:tcPr>
            <w:tcW w:w="2268" w:type="dxa"/>
            <w:tcBorders>
              <w:top w:val="single" w:sz="2" w:space="0" w:color="1F4E79" w:themeColor="accent1" w:themeShade="80"/>
            </w:tcBorders>
            <w:shd w:val="clear" w:color="auto" w:fill="auto"/>
          </w:tcPr>
          <w:p w14:paraId="70C254CB" w14:textId="77777777" w:rsidR="00375569" w:rsidRPr="00F80522" w:rsidRDefault="00375569"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6A3BF484" w14:textId="77777777" w:rsidR="00375569" w:rsidRPr="00F80522" w:rsidRDefault="00375569" w:rsidP="00F80522">
            <w:pPr>
              <w:pStyle w:val="08-Tabelageral"/>
              <w:jc w:val="center"/>
              <w:rPr>
                <w:rFonts w:cs="Arial"/>
                <w:b/>
                <w:szCs w:val="14"/>
              </w:rPr>
            </w:pPr>
            <w:r w:rsidRPr="00F80522">
              <w:rPr>
                <w:rFonts w:cs="Arial"/>
                <w:b/>
                <w:szCs w:val="14"/>
              </w:rPr>
              <w:t>Controlador</w:t>
            </w:r>
          </w:p>
        </w:tc>
      </w:tr>
      <w:tr w:rsidR="00375569" w:rsidRPr="00F80522" w14:paraId="76CF75EA" w14:textId="77777777" w:rsidTr="00725333">
        <w:trPr>
          <w:trHeight w:val="238"/>
          <w:jc w:val="center"/>
        </w:trPr>
        <w:tc>
          <w:tcPr>
            <w:tcW w:w="2268" w:type="dxa"/>
            <w:shd w:val="clear" w:color="auto" w:fill="auto"/>
          </w:tcPr>
          <w:p w14:paraId="0B1E9500" w14:textId="77777777" w:rsidR="00375569" w:rsidRPr="00F80522" w:rsidRDefault="00375569"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2F46DFB7" w14:textId="77777777" w:rsidR="00375569" w:rsidRPr="00F80522" w:rsidRDefault="00375569" w:rsidP="00BF381C">
            <w:pPr>
              <w:spacing w:after="0"/>
              <w:jc w:val="center"/>
              <w:rPr>
                <w:rFonts w:cs="Arial"/>
                <w:b/>
                <w:sz w:val="14"/>
                <w:szCs w:val="14"/>
              </w:rPr>
            </w:pPr>
            <w:r w:rsidRPr="00F80522">
              <w:rPr>
                <w:rFonts w:cs="Arial"/>
                <w:b/>
                <w:sz w:val="14"/>
                <w:szCs w:val="14"/>
              </w:rPr>
              <w:t>31.12.20</w:t>
            </w:r>
            <w:r>
              <w:rPr>
                <w:rFonts w:cs="Arial"/>
                <w:b/>
                <w:sz w:val="14"/>
                <w:szCs w:val="14"/>
              </w:rPr>
              <w:t>20</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D014A98" w14:textId="77777777" w:rsidR="00375569" w:rsidRPr="00F80522" w:rsidRDefault="00375569" w:rsidP="00F80522">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5977E43" w14:textId="77777777" w:rsidR="00375569" w:rsidRPr="00F80522" w:rsidRDefault="00375569" w:rsidP="00F80522">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5FD3B065" w14:textId="77777777" w:rsidR="00375569" w:rsidRPr="00F80522" w:rsidRDefault="00375569"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57230DA6" w14:textId="77777777" w:rsidR="00375569" w:rsidRPr="00F80522" w:rsidRDefault="00375569" w:rsidP="006F6648">
            <w:pPr>
              <w:spacing w:after="0"/>
              <w:jc w:val="center"/>
              <w:rPr>
                <w:rFonts w:cs="Arial"/>
                <w:b/>
                <w:sz w:val="14"/>
                <w:szCs w:val="14"/>
              </w:rPr>
            </w:pPr>
            <w:r w:rsidRPr="00F80522">
              <w:rPr>
                <w:rFonts w:cs="Arial"/>
                <w:b/>
                <w:sz w:val="14"/>
                <w:szCs w:val="14"/>
              </w:rPr>
              <w:t>3</w:t>
            </w:r>
            <w:r>
              <w:rPr>
                <w:rFonts w:cs="Arial"/>
                <w:b/>
                <w:sz w:val="14"/>
                <w:szCs w:val="14"/>
              </w:rPr>
              <w:t>1.12</w:t>
            </w:r>
            <w:r w:rsidRPr="00F80522">
              <w:rPr>
                <w:rFonts w:cs="Arial"/>
                <w:b/>
                <w:sz w:val="14"/>
                <w:szCs w:val="14"/>
              </w:rPr>
              <w:t>.202</w:t>
            </w:r>
            <w:r>
              <w:rPr>
                <w:rFonts w:cs="Arial"/>
                <w:b/>
                <w:sz w:val="14"/>
                <w:szCs w:val="14"/>
              </w:rPr>
              <w:t>1</w:t>
            </w:r>
          </w:p>
        </w:tc>
      </w:tr>
      <w:tr w:rsidR="00375569" w:rsidRPr="00F80522" w14:paraId="62F87FFF" w14:textId="77777777" w:rsidTr="00725333">
        <w:trPr>
          <w:trHeight w:val="238"/>
          <w:jc w:val="center"/>
        </w:trPr>
        <w:tc>
          <w:tcPr>
            <w:tcW w:w="2268" w:type="dxa"/>
            <w:tcBorders>
              <w:bottom w:val="single" w:sz="2" w:space="0" w:color="1F4E79" w:themeColor="accent1" w:themeShade="80"/>
            </w:tcBorders>
            <w:shd w:val="clear" w:color="auto" w:fill="auto"/>
          </w:tcPr>
          <w:p w14:paraId="0FEB7F55" w14:textId="77777777" w:rsidR="00375569" w:rsidRPr="00F80522" w:rsidRDefault="00375569" w:rsidP="005F4702">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588093F4" w14:textId="77777777" w:rsidR="00375569" w:rsidRPr="00F80522" w:rsidRDefault="00375569" w:rsidP="00213F0C">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7B8DAB2" w14:textId="77777777" w:rsidR="00375569" w:rsidRPr="00F80522" w:rsidRDefault="00375569" w:rsidP="00213F0C">
            <w:pPr>
              <w:spacing w:after="0"/>
              <w:jc w:val="right"/>
              <w:rPr>
                <w:rFonts w:cs="Arial"/>
                <w:b/>
                <w:sz w:val="14"/>
                <w:szCs w:val="14"/>
              </w:rPr>
            </w:pPr>
            <w:r w:rsidRPr="00F80522">
              <w:rPr>
                <w:rFonts w:cs="Arial"/>
                <w:b/>
                <w:sz w:val="14"/>
                <w:szCs w:val="14"/>
              </w:rPr>
              <w:t>Valor de Mercado/ Contábil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9AABD72" w14:textId="77777777" w:rsidR="00375569" w:rsidRPr="00F80522" w:rsidRDefault="00375569" w:rsidP="00213F0C">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632B600" w14:textId="77777777" w:rsidR="00375569" w:rsidRPr="00F80522" w:rsidRDefault="00375569" w:rsidP="00213F0C">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27CF3F1" w14:textId="77777777" w:rsidR="00375569" w:rsidRPr="00F80522" w:rsidRDefault="00375569" w:rsidP="00213F0C">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EA74B81" w14:textId="77777777" w:rsidR="00375569" w:rsidRPr="00F80522" w:rsidRDefault="00375569" w:rsidP="00213F0C">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3085D85" w14:textId="77777777" w:rsidR="00375569" w:rsidRPr="00F80522" w:rsidRDefault="00375569" w:rsidP="00213F0C">
            <w:pPr>
              <w:pStyle w:val="08-Tabelageral"/>
              <w:rPr>
                <w:rFonts w:cs="Arial"/>
                <w:b/>
              </w:rPr>
            </w:pPr>
            <w:r w:rsidRPr="00F80522">
              <w:rPr>
                <w:rFonts w:cs="Arial"/>
                <w:b/>
              </w:rPr>
              <w:t>Valor de Mercado/ Contábil</w:t>
            </w:r>
          </w:p>
        </w:tc>
      </w:tr>
      <w:tr w:rsidR="00375569" w:rsidRPr="00F80522" w14:paraId="55C5EFA6" w14:textId="77777777" w:rsidTr="00725333">
        <w:trPr>
          <w:trHeight w:val="238"/>
          <w:jc w:val="center"/>
        </w:trPr>
        <w:tc>
          <w:tcPr>
            <w:tcW w:w="2268" w:type="dxa"/>
            <w:tcBorders>
              <w:top w:val="single" w:sz="2" w:space="0" w:color="1F4E79" w:themeColor="accent1" w:themeShade="80"/>
            </w:tcBorders>
            <w:shd w:val="clear" w:color="auto" w:fill="auto"/>
          </w:tcPr>
          <w:p w14:paraId="72533AD1" w14:textId="77777777" w:rsidR="00375569" w:rsidRPr="00F80522" w:rsidRDefault="00375569" w:rsidP="00FA138D">
            <w:pPr>
              <w:pStyle w:val="08-Tabelageral"/>
              <w:ind w:left="113"/>
              <w:jc w:val="left"/>
              <w:rPr>
                <w:szCs w:val="14"/>
              </w:rPr>
            </w:pPr>
            <w:r w:rsidRPr="00F80522">
              <w:rPr>
                <w:szCs w:val="14"/>
              </w:rPr>
              <w:t>Fundo de longo prazo</w:t>
            </w:r>
          </w:p>
        </w:tc>
        <w:tc>
          <w:tcPr>
            <w:tcW w:w="993" w:type="dxa"/>
            <w:tcBorders>
              <w:top w:val="single" w:sz="2" w:space="0" w:color="1F4E79" w:themeColor="accent1" w:themeShade="80"/>
            </w:tcBorders>
            <w:shd w:val="clear" w:color="auto" w:fill="auto"/>
          </w:tcPr>
          <w:p w14:paraId="7E045451" w14:textId="77777777" w:rsidR="00375569" w:rsidRPr="00F80522" w:rsidRDefault="00375569" w:rsidP="00FA138D">
            <w:pPr>
              <w:pStyle w:val="08-Tabelageral"/>
              <w:rPr>
                <w:szCs w:val="14"/>
              </w:rPr>
            </w:pPr>
            <w:r>
              <w:rPr>
                <w:szCs w:val="14"/>
              </w:rPr>
              <w:t>4.157</w:t>
            </w:r>
          </w:p>
        </w:tc>
        <w:tc>
          <w:tcPr>
            <w:tcW w:w="992" w:type="dxa"/>
            <w:tcBorders>
              <w:top w:val="single" w:sz="2" w:space="0" w:color="1F4E79" w:themeColor="accent1" w:themeShade="80"/>
            </w:tcBorders>
            <w:shd w:val="clear" w:color="auto" w:fill="auto"/>
          </w:tcPr>
          <w:p w14:paraId="072392F4" w14:textId="77777777" w:rsidR="00375569" w:rsidRPr="00F80522" w:rsidRDefault="00375569" w:rsidP="00FA138D">
            <w:pPr>
              <w:pStyle w:val="08-Tabelageral"/>
              <w:rPr>
                <w:szCs w:val="14"/>
              </w:rPr>
            </w:pPr>
            <w:r>
              <w:rPr>
                <w:szCs w:val="14"/>
              </w:rPr>
              <w:t>3.948</w:t>
            </w:r>
          </w:p>
        </w:tc>
        <w:tc>
          <w:tcPr>
            <w:tcW w:w="1134" w:type="dxa"/>
            <w:tcBorders>
              <w:top w:val="nil"/>
              <w:left w:val="nil"/>
              <w:right w:val="nil"/>
            </w:tcBorders>
            <w:shd w:val="clear" w:color="auto" w:fill="auto"/>
            <w:vAlign w:val="bottom"/>
          </w:tcPr>
          <w:p w14:paraId="7AC940ED" w14:textId="77777777" w:rsidR="00375569" w:rsidRPr="00ED0236" w:rsidRDefault="00375569" w:rsidP="00FA138D">
            <w:pPr>
              <w:pStyle w:val="08-Tabelageral"/>
              <w:rPr>
                <w:rFonts w:cs="Arial"/>
              </w:rPr>
            </w:pPr>
            <w:r>
              <w:rPr>
                <w:rFonts w:cs="Arial"/>
              </w:rPr>
              <w:t>5.190</w:t>
            </w:r>
          </w:p>
        </w:tc>
        <w:tc>
          <w:tcPr>
            <w:tcW w:w="992" w:type="dxa"/>
            <w:tcBorders>
              <w:top w:val="nil"/>
              <w:left w:val="nil"/>
              <w:right w:val="nil"/>
            </w:tcBorders>
            <w:shd w:val="clear" w:color="auto" w:fill="auto"/>
            <w:vAlign w:val="bottom"/>
          </w:tcPr>
          <w:p w14:paraId="15CCBD56" w14:textId="77777777" w:rsidR="00375569" w:rsidRPr="00ED0236" w:rsidRDefault="00375569" w:rsidP="00FA138D">
            <w:pPr>
              <w:pStyle w:val="08-Tabelageral"/>
              <w:rPr>
                <w:rFonts w:cs="Arial"/>
              </w:rPr>
            </w:pPr>
            <w:r>
              <w:rPr>
                <w:rFonts w:cs="Arial"/>
              </w:rPr>
              <w:t>(2.019)</w:t>
            </w:r>
          </w:p>
        </w:tc>
        <w:tc>
          <w:tcPr>
            <w:tcW w:w="1276" w:type="dxa"/>
            <w:tcBorders>
              <w:top w:val="nil"/>
              <w:left w:val="nil"/>
              <w:right w:val="nil"/>
            </w:tcBorders>
            <w:shd w:val="clear" w:color="auto" w:fill="auto"/>
            <w:vAlign w:val="bottom"/>
          </w:tcPr>
          <w:p w14:paraId="6A883BD2" w14:textId="77777777" w:rsidR="00375569" w:rsidRPr="00ED0236" w:rsidRDefault="00375569" w:rsidP="00A00180">
            <w:pPr>
              <w:pStyle w:val="08-Tabelageral"/>
              <w:rPr>
                <w:rFonts w:cs="Arial"/>
              </w:rPr>
            </w:pPr>
            <w:r>
              <w:rPr>
                <w:rFonts w:cs="Arial"/>
              </w:rPr>
              <w:t>6.892</w:t>
            </w:r>
          </w:p>
        </w:tc>
        <w:tc>
          <w:tcPr>
            <w:tcW w:w="992" w:type="dxa"/>
            <w:tcBorders>
              <w:top w:val="nil"/>
              <w:left w:val="nil"/>
              <w:right w:val="nil"/>
            </w:tcBorders>
            <w:shd w:val="clear" w:color="auto" w:fill="auto"/>
            <w:vAlign w:val="bottom"/>
          </w:tcPr>
          <w:p w14:paraId="076BCE3F" w14:textId="77777777" w:rsidR="00375569" w:rsidRPr="00ED0236" w:rsidRDefault="00375569" w:rsidP="00FA138D">
            <w:pPr>
              <w:pStyle w:val="08-Tabelageral"/>
              <w:rPr>
                <w:rFonts w:cs="Arial"/>
              </w:rPr>
            </w:pPr>
            <w:r>
              <w:rPr>
                <w:rFonts w:cs="Arial"/>
              </w:rPr>
              <w:t>7.328</w:t>
            </w:r>
          </w:p>
        </w:tc>
        <w:tc>
          <w:tcPr>
            <w:tcW w:w="992" w:type="dxa"/>
            <w:tcBorders>
              <w:top w:val="nil"/>
              <w:left w:val="nil"/>
              <w:right w:val="nil"/>
            </w:tcBorders>
            <w:shd w:val="clear" w:color="auto" w:fill="auto"/>
            <w:vAlign w:val="bottom"/>
          </w:tcPr>
          <w:p w14:paraId="4DD3EA07" w14:textId="77777777" w:rsidR="00375569" w:rsidRPr="00ED0236" w:rsidRDefault="00375569" w:rsidP="00A00180">
            <w:pPr>
              <w:pStyle w:val="08-Tabelageral"/>
              <w:rPr>
                <w:rFonts w:cs="Arial"/>
              </w:rPr>
            </w:pPr>
            <w:r>
              <w:rPr>
                <w:rFonts w:cs="Arial"/>
              </w:rPr>
              <w:t>14.011</w:t>
            </w:r>
          </w:p>
        </w:tc>
      </w:tr>
      <w:tr w:rsidR="00375569" w:rsidRPr="00F80522" w14:paraId="385565AB" w14:textId="77777777" w:rsidTr="00725333">
        <w:trPr>
          <w:trHeight w:val="238"/>
          <w:jc w:val="center"/>
        </w:trPr>
        <w:tc>
          <w:tcPr>
            <w:tcW w:w="2268" w:type="dxa"/>
            <w:tcBorders>
              <w:bottom w:val="single" w:sz="4" w:space="0" w:color="1F4E79" w:themeColor="accent1" w:themeShade="80"/>
            </w:tcBorders>
            <w:shd w:val="clear" w:color="auto" w:fill="auto"/>
          </w:tcPr>
          <w:p w14:paraId="25879CBB" w14:textId="77777777" w:rsidR="00375569" w:rsidRPr="00F80522" w:rsidRDefault="00375569" w:rsidP="00FA138D">
            <w:pPr>
              <w:pStyle w:val="08-Tabelageral"/>
              <w:jc w:val="left"/>
              <w:rPr>
                <w:b/>
                <w:szCs w:val="14"/>
              </w:rPr>
            </w:pPr>
            <w:r w:rsidRPr="00F80522">
              <w:rPr>
                <w:b/>
                <w:szCs w:val="14"/>
              </w:rPr>
              <w:t xml:space="preserve">Total </w:t>
            </w:r>
          </w:p>
        </w:tc>
        <w:tc>
          <w:tcPr>
            <w:tcW w:w="993" w:type="dxa"/>
            <w:tcBorders>
              <w:bottom w:val="single" w:sz="4" w:space="0" w:color="1F4E79" w:themeColor="accent1" w:themeShade="80"/>
            </w:tcBorders>
            <w:shd w:val="clear" w:color="auto" w:fill="auto"/>
          </w:tcPr>
          <w:p w14:paraId="5E947B36" w14:textId="77777777" w:rsidR="00375569" w:rsidRPr="00F80522" w:rsidRDefault="00375569" w:rsidP="00FA138D">
            <w:pPr>
              <w:pStyle w:val="08-Tabelageral"/>
              <w:rPr>
                <w:b/>
                <w:szCs w:val="14"/>
              </w:rPr>
            </w:pPr>
            <w:r>
              <w:rPr>
                <w:b/>
                <w:szCs w:val="14"/>
              </w:rPr>
              <w:t>4.157</w:t>
            </w:r>
          </w:p>
        </w:tc>
        <w:tc>
          <w:tcPr>
            <w:tcW w:w="992" w:type="dxa"/>
            <w:tcBorders>
              <w:bottom w:val="single" w:sz="4" w:space="0" w:color="1F4E79" w:themeColor="accent1" w:themeShade="80"/>
            </w:tcBorders>
            <w:shd w:val="clear" w:color="auto" w:fill="auto"/>
          </w:tcPr>
          <w:p w14:paraId="0147B930" w14:textId="77777777" w:rsidR="00375569" w:rsidRPr="00F80522" w:rsidRDefault="00375569" w:rsidP="00FA138D">
            <w:pPr>
              <w:pStyle w:val="08-Tabelageral"/>
              <w:rPr>
                <w:b/>
                <w:szCs w:val="14"/>
              </w:rPr>
            </w:pPr>
            <w:r>
              <w:rPr>
                <w:b/>
                <w:szCs w:val="14"/>
              </w:rPr>
              <w:t>3.948</w:t>
            </w:r>
          </w:p>
        </w:tc>
        <w:tc>
          <w:tcPr>
            <w:tcW w:w="1134" w:type="dxa"/>
            <w:tcBorders>
              <w:top w:val="nil"/>
              <w:left w:val="nil"/>
              <w:bottom w:val="single" w:sz="4" w:space="0" w:color="1F4E79" w:themeColor="accent1" w:themeShade="80"/>
              <w:right w:val="nil"/>
            </w:tcBorders>
            <w:shd w:val="clear" w:color="auto" w:fill="auto"/>
            <w:vAlign w:val="bottom"/>
          </w:tcPr>
          <w:p w14:paraId="37980F80" w14:textId="77777777" w:rsidR="00375569" w:rsidRPr="00ED0236" w:rsidRDefault="00375569" w:rsidP="00FA138D">
            <w:pPr>
              <w:pStyle w:val="08-Tabelageral"/>
              <w:rPr>
                <w:rFonts w:cs="Arial"/>
                <w:b/>
              </w:rPr>
            </w:pPr>
            <w:r>
              <w:rPr>
                <w:rFonts w:cs="Arial"/>
                <w:b/>
              </w:rPr>
              <w:t>5.190</w:t>
            </w:r>
          </w:p>
        </w:tc>
        <w:tc>
          <w:tcPr>
            <w:tcW w:w="992" w:type="dxa"/>
            <w:tcBorders>
              <w:top w:val="nil"/>
              <w:left w:val="nil"/>
              <w:bottom w:val="single" w:sz="4" w:space="0" w:color="1F4E79" w:themeColor="accent1" w:themeShade="80"/>
              <w:right w:val="nil"/>
            </w:tcBorders>
            <w:shd w:val="clear" w:color="auto" w:fill="auto"/>
            <w:vAlign w:val="bottom"/>
          </w:tcPr>
          <w:p w14:paraId="5F9769A8" w14:textId="77777777" w:rsidR="00375569" w:rsidRPr="00ED0236" w:rsidRDefault="00375569" w:rsidP="00FA138D">
            <w:pPr>
              <w:pStyle w:val="08-Tabelageral"/>
              <w:rPr>
                <w:rFonts w:cs="Arial"/>
                <w:b/>
              </w:rPr>
            </w:pPr>
            <w:r>
              <w:rPr>
                <w:rFonts w:cs="Arial"/>
                <w:b/>
              </w:rPr>
              <w:t>(2.019)</w:t>
            </w:r>
          </w:p>
        </w:tc>
        <w:tc>
          <w:tcPr>
            <w:tcW w:w="1276" w:type="dxa"/>
            <w:tcBorders>
              <w:top w:val="nil"/>
              <w:left w:val="nil"/>
              <w:bottom w:val="single" w:sz="4" w:space="0" w:color="1F4E79" w:themeColor="accent1" w:themeShade="80"/>
              <w:right w:val="nil"/>
            </w:tcBorders>
            <w:shd w:val="clear" w:color="auto" w:fill="auto"/>
            <w:vAlign w:val="bottom"/>
          </w:tcPr>
          <w:p w14:paraId="4EBD3443" w14:textId="77777777" w:rsidR="00375569" w:rsidRPr="00ED0236" w:rsidRDefault="00375569" w:rsidP="00A00180">
            <w:pPr>
              <w:pStyle w:val="08-Tabelageral"/>
              <w:rPr>
                <w:rFonts w:cs="Arial"/>
                <w:b/>
              </w:rPr>
            </w:pPr>
            <w:r>
              <w:rPr>
                <w:rFonts w:cs="Arial"/>
                <w:b/>
              </w:rPr>
              <w:t>6.892</w:t>
            </w:r>
          </w:p>
        </w:tc>
        <w:tc>
          <w:tcPr>
            <w:tcW w:w="992" w:type="dxa"/>
            <w:tcBorders>
              <w:top w:val="nil"/>
              <w:left w:val="nil"/>
              <w:bottom w:val="single" w:sz="4" w:space="0" w:color="1F4E79" w:themeColor="accent1" w:themeShade="80"/>
              <w:right w:val="nil"/>
            </w:tcBorders>
            <w:shd w:val="clear" w:color="auto" w:fill="auto"/>
            <w:vAlign w:val="bottom"/>
          </w:tcPr>
          <w:p w14:paraId="4B8ACD33" w14:textId="77777777" w:rsidR="00375569" w:rsidRPr="00ED0236" w:rsidRDefault="00375569" w:rsidP="00FA138D">
            <w:pPr>
              <w:pStyle w:val="08-Tabelageral"/>
              <w:rPr>
                <w:rFonts w:cs="Arial"/>
                <w:b/>
              </w:rPr>
            </w:pPr>
            <w:r>
              <w:rPr>
                <w:rFonts w:cs="Arial"/>
                <w:b/>
              </w:rPr>
              <w:t>7.328</w:t>
            </w:r>
          </w:p>
        </w:tc>
        <w:tc>
          <w:tcPr>
            <w:tcW w:w="992" w:type="dxa"/>
            <w:tcBorders>
              <w:top w:val="nil"/>
              <w:left w:val="nil"/>
              <w:bottom w:val="single" w:sz="4" w:space="0" w:color="1F4E79" w:themeColor="accent1" w:themeShade="80"/>
              <w:right w:val="nil"/>
            </w:tcBorders>
            <w:shd w:val="clear" w:color="auto" w:fill="auto"/>
            <w:vAlign w:val="bottom"/>
          </w:tcPr>
          <w:p w14:paraId="26EEF5B8" w14:textId="77777777" w:rsidR="00375569" w:rsidRPr="00ED0236" w:rsidRDefault="00375569" w:rsidP="00A00180">
            <w:pPr>
              <w:pStyle w:val="08-Tabelageral"/>
              <w:rPr>
                <w:rFonts w:cs="Arial"/>
                <w:b/>
              </w:rPr>
            </w:pPr>
            <w:r>
              <w:rPr>
                <w:rFonts w:cs="Arial"/>
                <w:b/>
              </w:rPr>
              <w:t>14.011</w:t>
            </w:r>
          </w:p>
        </w:tc>
      </w:tr>
    </w:tbl>
    <w:p w14:paraId="3F2A1216" w14:textId="77777777" w:rsidR="00375569" w:rsidRDefault="00375569" w:rsidP="00500F56">
      <w:pPr>
        <w:pStyle w:val="08-Tabelageral"/>
        <w:rPr>
          <w:rFonts w:cs="Arial"/>
        </w:rPr>
      </w:pPr>
    </w:p>
    <w:p w14:paraId="4C049BFA" w14:textId="77777777" w:rsidR="00375569" w:rsidRDefault="00375569" w:rsidP="00636D03">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375569" w:rsidRPr="00F80522" w14:paraId="7A330D06" w14:textId="77777777" w:rsidTr="001A3FB9">
        <w:trPr>
          <w:trHeight w:val="238"/>
          <w:jc w:val="center"/>
        </w:trPr>
        <w:tc>
          <w:tcPr>
            <w:tcW w:w="2268" w:type="dxa"/>
            <w:tcBorders>
              <w:top w:val="single" w:sz="2" w:space="0" w:color="1F4E79" w:themeColor="accent1" w:themeShade="80"/>
            </w:tcBorders>
            <w:shd w:val="clear" w:color="auto" w:fill="auto"/>
          </w:tcPr>
          <w:p w14:paraId="67E09252" w14:textId="77777777" w:rsidR="00375569" w:rsidRPr="00F80522" w:rsidRDefault="00375569"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2D5A3F16" w14:textId="77777777" w:rsidR="00375569" w:rsidRPr="00F80522" w:rsidRDefault="00375569" w:rsidP="00F80522">
            <w:pPr>
              <w:pStyle w:val="08-Tabelageral"/>
              <w:jc w:val="center"/>
              <w:rPr>
                <w:rFonts w:cs="Arial"/>
                <w:b/>
                <w:szCs w:val="14"/>
              </w:rPr>
            </w:pPr>
            <w:r w:rsidRPr="00F80522">
              <w:rPr>
                <w:rFonts w:cs="Arial"/>
                <w:b/>
                <w:szCs w:val="14"/>
              </w:rPr>
              <w:t>Consolidado</w:t>
            </w:r>
          </w:p>
        </w:tc>
      </w:tr>
      <w:tr w:rsidR="00375569" w:rsidRPr="00F80522" w14:paraId="2393FB76" w14:textId="77777777" w:rsidTr="001A3FB9">
        <w:trPr>
          <w:trHeight w:val="238"/>
          <w:jc w:val="center"/>
        </w:trPr>
        <w:tc>
          <w:tcPr>
            <w:tcW w:w="2268" w:type="dxa"/>
            <w:shd w:val="clear" w:color="auto" w:fill="auto"/>
          </w:tcPr>
          <w:p w14:paraId="13879DD0" w14:textId="77777777" w:rsidR="00375569" w:rsidRPr="00F80522" w:rsidRDefault="00375569"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54BDE723" w14:textId="77777777" w:rsidR="00375569" w:rsidRPr="00F80522" w:rsidRDefault="00375569" w:rsidP="005034C9">
            <w:pPr>
              <w:spacing w:after="0"/>
              <w:jc w:val="center"/>
              <w:rPr>
                <w:rFonts w:cs="Arial"/>
                <w:b/>
                <w:sz w:val="14"/>
                <w:szCs w:val="14"/>
              </w:rPr>
            </w:pPr>
            <w:r w:rsidRPr="00F80522">
              <w:rPr>
                <w:rFonts w:cs="Arial"/>
                <w:b/>
                <w:sz w:val="14"/>
                <w:szCs w:val="14"/>
              </w:rPr>
              <w:t>31.12.20</w:t>
            </w:r>
            <w:r>
              <w:rPr>
                <w:rFonts w:cs="Arial"/>
                <w:b/>
                <w:sz w:val="14"/>
                <w:szCs w:val="14"/>
              </w:rPr>
              <w:t>20</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4591ADC" w14:textId="77777777" w:rsidR="00375569" w:rsidRPr="00F80522" w:rsidRDefault="00375569" w:rsidP="00F80522">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968280A" w14:textId="77777777" w:rsidR="00375569" w:rsidRPr="00F80522" w:rsidRDefault="00375569" w:rsidP="00F80522">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BD4D15C" w14:textId="77777777" w:rsidR="00375569" w:rsidRPr="00F80522" w:rsidRDefault="00375569"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5E70AC6F" w14:textId="77777777" w:rsidR="00375569" w:rsidRPr="00F80522" w:rsidRDefault="00375569" w:rsidP="006F6648">
            <w:pPr>
              <w:spacing w:after="0"/>
              <w:jc w:val="center"/>
              <w:rPr>
                <w:rFonts w:cs="Arial"/>
                <w:b/>
                <w:sz w:val="14"/>
                <w:szCs w:val="14"/>
              </w:rPr>
            </w:pPr>
            <w:r w:rsidRPr="00F80522">
              <w:rPr>
                <w:rFonts w:cs="Arial"/>
                <w:b/>
                <w:sz w:val="14"/>
                <w:szCs w:val="14"/>
              </w:rPr>
              <w:t>3</w:t>
            </w:r>
            <w:r>
              <w:rPr>
                <w:rFonts w:cs="Arial"/>
                <w:b/>
                <w:sz w:val="14"/>
                <w:szCs w:val="14"/>
              </w:rPr>
              <w:t>1</w:t>
            </w:r>
            <w:r w:rsidRPr="00F80522">
              <w:rPr>
                <w:rFonts w:cs="Arial"/>
                <w:b/>
                <w:sz w:val="14"/>
                <w:szCs w:val="14"/>
              </w:rPr>
              <w:t>.</w:t>
            </w:r>
            <w:r>
              <w:rPr>
                <w:rFonts w:cs="Arial"/>
                <w:b/>
                <w:sz w:val="14"/>
                <w:szCs w:val="14"/>
              </w:rPr>
              <w:t>12</w:t>
            </w:r>
            <w:r w:rsidRPr="00F80522">
              <w:rPr>
                <w:rFonts w:cs="Arial"/>
                <w:b/>
                <w:sz w:val="14"/>
                <w:szCs w:val="14"/>
              </w:rPr>
              <w:t>.202</w:t>
            </w:r>
            <w:r>
              <w:rPr>
                <w:rFonts w:cs="Arial"/>
                <w:b/>
                <w:sz w:val="14"/>
                <w:szCs w:val="14"/>
              </w:rPr>
              <w:t>1</w:t>
            </w:r>
          </w:p>
        </w:tc>
      </w:tr>
      <w:tr w:rsidR="00375569" w:rsidRPr="00F80522" w14:paraId="79479929" w14:textId="77777777" w:rsidTr="001A3FB9">
        <w:trPr>
          <w:trHeight w:val="238"/>
          <w:jc w:val="center"/>
        </w:trPr>
        <w:tc>
          <w:tcPr>
            <w:tcW w:w="2268" w:type="dxa"/>
            <w:tcBorders>
              <w:bottom w:val="single" w:sz="2" w:space="0" w:color="1F4E79" w:themeColor="accent1" w:themeShade="80"/>
            </w:tcBorders>
            <w:shd w:val="clear" w:color="auto" w:fill="auto"/>
          </w:tcPr>
          <w:p w14:paraId="7F22AF3C" w14:textId="77777777" w:rsidR="00375569" w:rsidRPr="00F80522" w:rsidRDefault="00375569" w:rsidP="00CB3F38">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0A99B09" w14:textId="77777777" w:rsidR="00375569" w:rsidRPr="00F80522" w:rsidRDefault="00375569" w:rsidP="00213F0C">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5ADAD6B" w14:textId="77777777" w:rsidR="00375569" w:rsidRPr="00F80522" w:rsidRDefault="00375569" w:rsidP="00213F0C">
            <w:pPr>
              <w:spacing w:after="0"/>
              <w:jc w:val="right"/>
              <w:rPr>
                <w:rFonts w:cs="Arial"/>
                <w:b/>
                <w:sz w:val="14"/>
                <w:szCs w:val="14"/>
              </w:rPr>
            </w:pPr>
            <w:r w:rsidRPr="00F80522">
              <w:rPr>
                <w:rFonts w:cs="Arial"/>
                <w:b/>
                <w:sz w:val="14"/>
                <w:szCs w:val="14"/>
              </w:rPr>
              <w:t>Valor de Mercado/ Contábil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2E2B32B" w14:textId="77777777" w:rsidR="00375569" w:rsidRPr="00F80522" w:rsidRDefault="00375569" w:rsidP="00213F0C">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E005589" w14:textId="77777777" w:rsidR="00375569" w:rsidRPr="00F80522" w:rsidRDefault="00375569" w:rsidP="00213F0C">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5DDE253C" w14:textId="77777777" w:rsidR="00375569" w:rsidRPr="00F80522" w:rsidRDefault="00375569" w:rsidP="00213F0C">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E475F0A" w14:textId="77777777" w:rsidR="00375569" w:rsidRPr="00F80522" w:rsidRDefault="00375569" w:rsidP="00213F0C">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315E039" w14:textId="77777777" w:rsidR="00375569" w:rsidRPr="00F80522" w:rsidRDefault="00375569" w:rsidP="00213F0C">
            <w:pPr>
              <w:pStyle w:val="08-Tabelageral"/>
              <w:rPr>
                <w:rFonts w:cs="Arial"/>
                <w:b/>
              </w:rPr>
            </w:pPr>
            <w:r w:rsidRPr="00F80522">
              <w:rPr>
                <w:rFonts w:cs="Arial"/>
                <w:b/>
              </w:rPr>
              <w:t>Valor de Mercado/ Contábil</w:t>
            </w:r>
          </w:p>
        </w:tc>
      </w:tr>
      <w:tr w:rsidR="00375569" w:rsidRPr="00F80522" w14:paraId="666F9B98" w14:textId="77777777" w:rsidTr="00F2619D">
        <w:trPr>
          <w:trHeight w:val="238"/>
          <w:jc w:val="center"/>
        </w:trPr>
        <w:tc>
          <w:tcPr>
            <w:tcW w:w="2268" w:type="dxa"/>
            <w:tcBorders>
              <w:top w:val="single" w:sz="2" w:space="0" w:color="1F4E79" w:themeColor="accent1" w:themeShade="80"/>
            </w:tcBorders>
            <w:shd w:val="clear" w:color="auto" w:fill="auto"/>
          </w:tcPr>
          <w:p w14:paraId="4ACBAB6A" w14:textId="77777777" w:rsidR="00375569" w:rsidRPr="00F80522" w:rsidRDefault="00375569" w:rsidP="00F2619D">
            <w:pPr>
              <w:pStyle w:val="08-Tabelageral"/>
              <w:ind w:left="113"/>
              <w:jc w:val="left"/>
              <w:rPr>
                <w:szCs w:val="14"/>
              </w:rPr>
            </w:pPr>
            <w:r w:rsidRPr="00F80522">
              <w:rPr>
                <w:szCs w:val="14"/>
              </w:rPr>
              <w:t xml:space="preserve">Fundo de longo prazo </w:t>
            </w:r>
            <w:r w:rsidRPr="00F80522">
              <w:rPr>
                <w:szCs w:val="14"/>
                <w:vertAlign w:val="superscript"/>
              </w:rPr>
              <w:t>(</w:t>
            </w:r>
            <w:r>
              <w:rPr>
                <w:szCs w:val="14"/>
                <w:vertAlign w:val="superscript"/>
              </w:rPr>
              <w:t>1</w:t>
            </w:r>
            <w:r w:rsidRPr="00F80522">
              <w:rPr>
                <w:szCs w:val="14"/>
                <w:vertAlign w:val="superscript"/>
              </w:rPr>
              <w:t>)</w:t>
            </w:r>
          </w:p>
        </w:tc>
        <w:tc>
          <w:tcPr>
            <w:tcW w:w="993" w:type="dxa"/>
            <w:tcBorders>
              <w:top w:val="single" w:sz="2" w:space="0" w:color="1F4E79" w:themeColor="accent1" w:themeShade="80"/>
            </w:tcBorders>
            <w:shd w:val="clear" w:color="auto" w:fill="auto"/>
          </w:tcPr>
          <w:p w14:paraId="027BD31C" w14:textId="77777777" w:rsidR="00375569" w:rsidRPr="00F80522" w:rsidRDefault="00375569" w:rsidP="00F2619D">
            <w:pPr>
              <w:pStyle w:val="08-Tabelageral"/>
              <w:rPr>
                <w:szCs w:val="14"/>
              </w:rPr>
            </w:pPr>
            <w:r>
              <w:rPr>
                <w:szCs w:val="14"/>
              </w:rPr>
              <w:t>4.953</w:t>
            </w:r>
          </w:p>
        </w:tc>
        <w:tc>
          <w:tcPr>
            <w:tcW w:w="992" w:type="dxa"/>
            <w:tcBorders>
              <w:top w:val="single" w:sz="2" w:space="0" w:color="1F4E79" w:themeColor="accent1" w:themeShade="80"/>
            </w:tcBorders>
            <w:shd w:val="clear" w:color="auto" w:fill="auto"/>
          </w:tcPr>
          <w:p w14:paraId="635E853A" w14:textId="77777777" w:rsidR="00375569" w:rsidRPr="00F80522" w:rsidRDefault="00375569" w:rsidP="00F2619D">
            <w:pPr>
              <w:pStyle w:val="08-Tabelageral"/>
              <w:rPr>
                <w:szCs w:val="14"/>
              </w:rPr>
            </w:pPr>
            <w:r>
              <w:rPr>
                <w:szCs w:val="14"/>
              </w:rPr>
              <w:t>4.986</w:t>
            </w:r>
          </w:p>
        </w:tc>
        <w:tc>
          <w:tcPr>
            <w:tcW w:w="1134" w:type="dxa"/>
            <w:tcBorders>
              <w:top w:val="nil"/>
              <w:left w:val="nil"/>
              <w:right w:val="nil"/>
            </w:tcBorders>
            <w:shd w:val="clear" w:color="auto" w:fill="auto"/>
            <w:vAlign w:val="bottom"/>
          </w:tcPr>
          <w:p w14:paraId="3C29FAC8" w14:textId="77777777" w:rsidR="00375569" w:rsidRPr="00ED0236" w:rsidRDefault="00375569" w:rsidP="00F2619D">
            <w:pPr>
              <w:pStyle w:val="08-Tabelageral"/>
              <w:rPr>
                <w:rFonts w:cs="Arial"/>
              </w:rPr>
            </w:pPr>
            <w:r>
              <w:rPr>
                <w:rFonts w:cs="Arial"/>
              </w:rPr>
              <w:t>5.190</w:t>
            </w:r>
          </w:p>
        </w:tc>
        <w:tc>
          <w:tcPr>
            <w:tcW w:w="992" w:type="dxa"/>
            <w:tcBorders>
              <w:top w:val="nil"/>
              <w:left w:val="nil"/>
              <w:right w:val="nil"/>
            </w:tcBorders>
            <w:shd w:val="clear" w:color="auto" w:fill="auto"/>
            <w:vAlign w:val="bottom"/>
          </w:tcPr>
          <w:p w14:paraId="3186AD0A" w14:textId="77777777" w:rsidR="00375569" w:rsidRPr="00ED0236" w:rsidRDefault="00375569" w:rsidP="00F2619D">
            <w:pPr>
              <w:pStyle w:val="08-Tabelageral"/>
              <w:rPr>
                <w:rFonts w:cs="Arial"/>
              </w:rPr>
            </w:pPr>
            <w:r>
              <w:rPr>
                <w:rFonts w:cs="Arial"/>
              </w:rPr>
              <w:t>(3.097)</w:t>
            </w:r>
          </w:p>
        </w:tc>
        <w:tc>
          <w:tcPr>
            <w:tcW w:w="1276" w:type="dxa"/>
            <w:tcBorders>
              <w:top w:val="nil"/>
              <w:left w:val="nil"/>
              <w:right w:val="nil"/>
            </w:tcBorders>
            <w:shd w:val="clear" w:color="auto" w:fill="auto"/>
            <w:vAlign w:val="bottom"/>
          </w:tcPr>
          <w:p w14:paraId="16A91F11" w14:textId="77777777" w:rsidR="00375569" w:rsidRPr="00ED0236" w:rsidRDefault="00375569" w:rsidP="00B8213D">
            <w:pPr>
              <w:pStyle w:val="08-Tabelageral"/>
              <w:rPr>
                <w:rFonts w:cs="Arial"/>
              </w:rPr>
            </w:pPr>
            <w:r>
              <w:rPr>
                <w:rFonts w:cs="Arial"/>
              </w:rPr>
              <w:t>6.932</w:t>
            </w:r>
          </w:p>
        </w:tc>
        <w:tc>
          <w:tcPr>
            <w:tcW w:w="992" w:type="dxa"/>
            <w:tcBorders>
              <w:top w:val="nil"/>
              <w:left w:val="nil"/>
              <w:right w:val="nil"/>
            </w:tcBorders>
            <w:shd w:val="clear" w:color="auto" w:fill="auto"/>
            <w:vAlign w:val="bottom"/>
          </w:tcPr>
          <w:p w14:paraId="71199F1F" w14:textId="77777777" w:rsidR="00375569" w:rsidRPr="00ED0236" w:rsidRDefault="00375569" w:rsidP="00F2619D">
            <w:pPr>
              <w:pStyle w:val="08-Tabelageral"/>
              <w:rPr>
                <w:rFonts w:cs="Arial"/>
              </w:rPr>
            </w:pPr>
            <w:r>
              <w:rPr>
                <w:rFonts w:cs="Arial"/>
              </w:rPr>
              <w:t>7.328</w:t>
            </w:r>
          </w:p>
        </w:tc>
        <w:tc>
          <w:tcPr>
            <w:tcW w:w="992" w:type="dxa"/>
            <w:tcBorders>
              <w:top w:val="nil"/>
              <w:left w:val="nil"/>
              <w:right w:val="nil"/>
            </w:tcBorders>
            <w:shd w:val="clear" w:color="auto" w:fill="auto"/>
            <w:vAlign w:val="bottom"/>
          </w:tcPr>
          <w:p w14:paraId="7EFA6131" w14:textId="77777777" w:rsidR="00375569" w:rsidRPr="00ED0236" w:rsidRDefault="00375569" w:rsidP="00F2619D">
            <w:pPr>
              <w:pStyle w:val="08-Tabelageral"/>
              <w:rPr>
                <w:rFonts w:cs="Arial"/>
              </w:rPr>
            </w:pPr>
            <w:r>
              <w:rPr>
                <w:rFonts w:cs="Arial"/>
              </w:rPr>
              <w:t>14.011</w:t>
            </w:r>
          </w:p>
        </w:tc>
      </w:tr>
      <w:tr w:rsidR="00375569" w:rsidRPr="00F80522" w14:paraId="3FC8DDCC" w14:textId="77777777" w:rsidTr="00F2619D">
        <w:trPr>
          <w:trHeight w:val="238"/>
          <w:jc w:val="center"/>
        </w:trPr>
        <w:tc>
          <w:tcPr>
            <w:tcW w:w="2268" w:type="dxa"/>
            <w:tcBorders>
              <w:bottom w:val="single" w:sz="4" w:space="0" w:color="1F4E79" w:themeColor="accent1" w:themeShade="80"/>
            </w:tcBorders>
            <w:shd w:val="clear" w:color="auto" w:fill="auto"/>
          </w:tcPr>
          <w:p w14:paraId="62B10DBA" w14:textId="77777777" w:rsidR="00375569" w:rsidRPr="00F80522" w:rsidRDefault="00375569" w:rsidP="00F2619D">
            <w:pPr>
              <w:pStyle w:val="08-Tabelageral"/>
              <w:jc w:val="left"/>
              <w:rPr>
                <w:b/>
                <w:szCs w:val="14"/>
              </w:rPr>
            </w:pPr>
            <w:r w:rsidRPr="00F80522">
              <w:rPr>
                <w:b/>
                <w:szCs w:val="14"/>
              </w:rPr>
              <w:t xml:space="preserve">Total </w:t>
            </w:r>
          </w:p>
        </w:tc>
        <w:tc>
          <w:tcPr>
            <w:tcW w:w="993" w:type="dxa"/>
            <w:tcBorders>
              <w:bottom w:val="single" w:sz="4" w:space="0" w:color="1F4E79" w:themeColor="accent1" w:themeShade="80"/>
            </w:tcBorders>
            <w:shd w:val="clear" w:color="auto" w:fill="auto"/>
          </w:tcPr>
          <w:p w14:paraId="3D688DE9" w14:textId="77777777" w:rsidR="00375569" w:rsidRPr="00F80522" w:rsidRDefault="00375569" w:rsidP="00F2619D">
            <w:pPr>
              <w:pStyle w:val="08-Tabelageral"/>
              <w:rPr>
                <w:b/>
                <w:szCs w:val="14"/>
              </w:rPr>
            </w:pPr>
            <w:r>
              <w:rPr>
                <w:b/>
                <w:szCs w:val="14"/>
              </w:rPr>
              <w:t>4.953</w:t>
            </w:r>
          </w:p>
        </w:tc>
        <w:tc>
          <w:tcPr>
            <w:tcW w:w="992" w:type="dxa"/>
            <w:tcBorders>
              <w:bottom w:val="single" w:sz="4" w:space="0" w:color="1F4E79" w:themeColor="accent1" w:themeShade="80"/>
            </w:tcBorders>
            <w:shd w:val="clear" w:color="auto" w:fill="auto"/>
          </w:tcPr>
          <w:p w14:paraId="6F18E85A" w14:textId="77777777" w:rsidR="00375569" w:rsidRPr="00F80522" w:rsidRDefault="00375569" w:rsidP="00F2619D">
            <w:pPr>
              <w:pStyle w:val="08-Tabelageral"/>
              <w:rPr>
                <w:b/>
                <w:szCs w:val="14"/>
              </w:rPr>
            </w:pPr>
            <w:r>
              <w:rPr>
                <w:b/>
                <w:szCs w:val="14"/>
              </w:rPr>
              <w:t>4.986</w:t>
            </w:r>
          </w:p>
        </w:tc>
        <w:tc>
          <w:tcPr>
            <w:tcW w:w="1134" w:type="dxa"/>
            <w:tcBorders>
              <w:top w:val="nil"/>
              <w:left w:val="nil"/>
              <w:bottom w:val="single" w:sz="4" w:space="0" w:color="1F4E79" w:themeColor="accent1" w:themeShade="80"/>
              <w:right w:val="nil"/>
            </w:tcBorders>
            <w:shd w:val="clear" w:color="auto" w:fill="auto"/>
            <w:vAlign w:val="bottom"/>
          </w:tcPr>
          <w:p w14:paraId="2996B431" w14:textId="77777777" w:rsidR="00375569" w:rsidRPr="00ED0236" w:rsidRDefault="00375569" w:rsidP="00F2619D">
            <w:pPr>
              <w:pStyle w:val="08-Tabelageral"/>
              <w:rPr>
                <w:rFonts w:cs="Arial"/>
                <w:b/>
              </w:rPr>
            </w:pPr>
            <w:r>
              <w:rPr>
                <w:rFonts w:cs="Arial"/>
                <w:b/>
              </w:rPr>
              <w:t>5.190</w:t>
            </w:r>
          </w:p>
        </w:tc>
        <w:tc>
          <w:tcPr>
            <w:tcW w:w="992" w:type="dxa"/>
            <w:tcBorders>
              <w:top w:val="nil"/>
              <w:left w:val="nil"/>
              <w:bottom w:val="single" w:sz="4" w:space="0" w:color="1F4E79" w:themeColor="accent1" w:themeShade="80"/>
              <w:right w:val="nil"/>
            </w:tcBorders>
            <w:shd w:val="clear" w:color="auto" w:fill="auto"/>
            <w:vAlign w:val="bottom"/>
          </w:tcPr>
          <w:p w14:paraId="158B7A12" w14:textId="77777777" w:rsidR="00375569" w:rsidRPr="00ED0236" w:rsidRDefault="00375569" w:rsidP="00F2619D">
            <w:pPr>
              <w:pStyle w:val="08-Tabelageral"/>
              <w:rPr>
                <w:rFonts w:cs="Arial"/>
                <w:b/>
              </w:rPr>
            </w:pPr>
            <w:r>
              <w:rPr>
                <w:rFonts w:cs="Arial"/>
                <w:b/>
              </w:rPr>
              <w:t>(3.097)</w:t>
            </w:r>
          </w:p>
        </w:tc>
        <w:tc>
          <w:tcPr>
            <w:tcW w:w="1276" w:type="dxa"/>
            <w:tcBorders>
              <w:top w:val="nil"/>
              <w:left w:val="nil"/>
              <w:bottom w:val="single" w:sz="4" w:space="0" w:color="1F4E79" w:themeColor="accent1" w:themeShade="80"/>
              <w:right w:val="nil"/>
            </w:tcBorders>
            <w:shd w:val="clear" w:color="auto" w:fill="auto"/>
            <w:vAlign w:val="bottom"/>
          </w:tcPr>
          <w:p w14:paraId="22D6B5D8" w14:textId="77777777" w:rsidR="00375569" w:rsidRPr="00ED0236" w:rsidRDefault="00375569" w:rsidP="00B8213D">
            <w:pPr>
              <w:pStyle w:val="08-Tabelageral"/>
              <w:rPr>
                <w:rFonts w:cs="Arial"/>
                <w:b/>
              </w:rPr>
            </w:pPr>
            <w:r>
              <w:rPr>
                <w:rFonts w:cs="Arial"/>
                <w:b/>
              </w:rPr>
              <w:t>6.932</w:t>
            </w:r>
          </w:p>
        </w:tc>
        <w:tc>
          <w:tcPr>
            <w:tcW w:w="992" w:type="dxa"/>
            <w:tcBorders>
              <w:top w:val="nil"/>
              <w:left w:val="nil"/>
              <w:bottom w:val="single" w:sz="4" w:space="0" w:color="1F4E79" w:themeColor="accent1" w:themeShade="80"/>
              <w:right w:val="nil"/>
            </w:tcBorders>
            <w:shd w:val="clear" w:color="auto" w:fill="auto"/>
            <w:vAlign w:val="bottom"/>
          </w:tcPr>
          <w:p w14:paraId="220AE6E1" w14:textId="77777777" w:rsidR="00375569" w:rsidRPr="00ED0236" w:rsidRDefault="00375569" w:rsidP="00F2619D">
            <w:pPr>
              <w:pStyle w:val="08-Tabelageral"/>
              <w:rPr>
                <w:rFonts w:cs="Arial"/>
                <w:b/>
              </w:rPr>
            </w:pPr>
            <w:r>
              <w:rPr>
                <w:rFonts w:cs="Arial"/>
                <w:b/>
              </w:rPr>
              <w:t>7.328</w:t>
            </w:r>
          </w:p>
        </w:tc>
        <w:tc>
          <w:tcPr>
            <w:tcW w:w="992" w:type="dxa"/>
            <w:tcBorders>
              <w:top w:val="nil"/>
              <w:left w:val="nil"/>
              <w:bottom w:val="single" w:sz="4" w:space="0" w:color="1F4E79" w:themeColor="accent1" w:themeShade="80"/>
              <w:right w:val="nil"/>
            </w:tcBorders>
            <w:shd w:val="clear" w:color="auto" w:fill="auto"/>
            <w:vAlign w:val="bottom"/>
          </w:tcPr>
          <w:p w14:paraId="1747FD30" w14:textId="77777777" w:rsidR="00375569" w:rsidRPr="00ED0236" w:rsidRDefault="00375569" w:rsidP="00F2619D">
            <w:pPr>
              <w:pStyle w:val="08-Tabelageral"/>
              <w:rPr>
                <w:rFonts w:cs="Arial"/>
                <w:b/>
              </w:rPr>
            </w:pPr>
            <w:r>
              <w:rPr>
                <w:rFonts w:cs="Arial"/>
                <w:b/>
              </w:rPr>
              <w:t>14.011</w:t>
            </w:r>
          </w:p>
        </w:tc>
      </w:tr>
    </w:tbl>
    <w:p w14:paraId="17F1C044" w14:textId="77777777" w:rsidR="00375569" w:rsidRPr="00ED0236" w:rsidRDefault="00375569" w:rsidP="007F4615">
      <w:pPr>
        <w:pStyle w:val="07-Legenda"/>
        <w:numPr>
          <w:ilvl w:val="0"/>
          <w:numId w:val="34"/>
        </w:numPr>
        <w:ind w:left="284" w:hanging="284"/>
        <w:rPr>
          <w:rFonts w:cs="Arial"/>
        </w:rPr>
      </w:pPr>
      <w:r>
        <w:rPr>
          <w:rFonts w:cs="Arial"/>
        </w:rPr>
        <w:t>Do total de R$ 14.011 mil, R$ 9.489 mil,  r</w:t>
      </w:r>
      <w:r w:rsidRPr="00ED0236">
        <w:rPr>
          <w:rFonts w:cs="Arial"/>
        </w:rPr>
        <w:t>efere</w:t>
      </w:r>
      <w:r>
        <w:rPr>
          <w:rFonts w:cs="Arial"/>
        </w:rPr>
        <w:t>-se</w:t>
      </w:r>
      <w:r w:rsidRPr="00ED0236">
        <w:rPr>
          <w:rFonts w:cs="Arial"/>
        </w:rPr>
        <w:t xml:space="preserve"> ao fundo Brasil Aceleradora de Startups cuja política prevê aplicações de no mínimo 90% de seu Patrimônio Líquido na aquisição de ações e debêntures emitidas pelas empresas Startups (Companh</w:t>
      </w:r>
      <w:r>
        <w:rPr>
          <w:rFonts w:cs="Arial"/>
        </w:rPr>
        <w:t xml:space="preserve">ias Alvo) conversíveis em ações e R$ 999 mil refere-se ao fundo Domo Ventures, cujo objetivo é obter rendimentos de longo prazo por meio o investimento de, no mínimo, 90% dos ativos em títulos e valores mobiliários conversíveis ou permutáveis em participação em sociedades limitadas (Ativos Alvo) e R$ 3.523 mil refere-se ao fundo Agventure II, cujo objetivo é obter rendimentos de longo prazo por meio o investimento de, no mínimo, 95% dos ativos no fundo </w:t>
      </w:r>
      <w:r w:rsidRPr="00FA21C0">
        <w:rPr>
          <w:rFonts w:cs="Arial"/>
        </w:rPr>
        <w:t>AGVENTURES II INVESTMENT FUND</w:t>
      </w:r>
      <w:r>
        <w:rPr>
          <w:rFonts w:cs="Arial"/>
        </w:rPr>
        <w:t>.</w:t>
      </w:r>
    </w:p>
    <w:p w14:paraId="3069AC6C" w14:textId="77777777" w:rsidR="00375569" w:rsidRPr="00B64E4A" w:rsidRDefault="00375569" w:rsidP="00C274BC">
      <w:pPr>
        <w:pStyle w:val="07-Legenda"/>
        <w:ind w:firstLine="0"/>
        <w:rPr>
          <w:rFonts w:cs="Arial"/>
        </w:rPr>
      </w:pPr>
    </w:p>
    <w:p w14:paraId="61087C28" w14:textId="77777777" w:rsidR="00375569" w:rsidRPr="00DB3513" w:rsidRDefault="00375569" w:rsidP="007F4615">
      <w:pPr>
        <w:pStyle w:val="05-Textonormal"/>
        <w:numPr>
          <w:ilvl w:val="0"/>
          <w:numId w:val="35"/>
        </w:numPr>
        <w:rPr>
          <w:b/>
          <w:color w:val="1F4E79" w:themeColor="accent1" w:themeShade="80"/>
          <w:sz w:val="20"/>
          <w:szCs w:val="20"/>
        </w:rPr>
      </w:pPr>
      <w:r w:rsidRPr="00DB3513">
        <w:rPr>
          <w:b/>
          <w:color w:val="1F4E79" w:themeColor="accent1" w:themeShade="80"/>
          <w:sz w:val="20"/>
          <w:szCs w:val="20"/>
        </w:rPr>
        <w:t>Ativos Financeiros Mensurados pelo Custo Amortizado</w:t>
      </w:r>
    </w:p>
    <w:p w14:paraId="1D8FEAF7" w14:textId="77777777" w:rsidR="00375569" w:rsidRPr="0067794A" w:rsidRDefault="00375569" w:rsidP="0067794A">
      <w:pPr>
        <w:spacing w:after="0"/>
        <w:jc w:val="right"/>
        <w:rPr>
          <w:rFonts w:cs="Arial"/>
          <w:b/>
          <w:lang w:eastAsia="pt-BR"/>
        </w:rPr>
      </w:pPr>
      <w:r w:rsidRPr="0067794A">
        <w:rPr>
          <w:rFonts w:cs="Arial"/>
          <w:b/>
          <w:sz w:val="14"/>
          <w:szCs w:val="14"/>
        </w:rPr>
        <w:t>R$ mil</w:t>
      </w:r>
    </w:p>
    <w:tbl>
      <w:tblPr>
        <w:tblW w:w="9639" w:type="dxa"/>
        <w:jc w:val="center"/>
        <w:tblLayout w:type="fixed"/>
        <w:tblLook w:val="04A0" w:firstRow="1" w:lastRow="0" w:firstColumn="1" w:lastColumn="0" w:noHBand="0" w:noVBand="1"/>
      </w:tblPr>
      <w:tblGrid>
        <w:gridCol w:w="3067"/>
        <w:gridCol w:w="1168"/>
        <w:gridCol w:w="877"/>
        <w:gridCol w:w="1022"/>
        <w:gridCol w:w="876"/>
        <w:gridCol w:w="876"/>
        <w:gridCol w:w="877"/>
        <w:gridCol w:w="876"/>
      </w:tblGrid>
      <w:tr w:rsidR="00375569" w:rsidRPr="00F80522" w14:paraId="125A01BB" w14:textId="77777777" w:rsidTr="00311C00">
        <w:trPr>
          <w:trHeight w:val="238"/>
          <w:jc w:val="center"/>
        </w:trPr>
        <w:tc>
          <w:tcPr>
            <w:tcW w:w="3067" w:type="dxa"/>
            <w:tcBorders>
              <w:top w:val="single" w:sz="2" w:space="0" w:color="1F4E79" w:themeColor="accent1" w:themeShade="80"/>
            </w:tcBorders>
            <w:shd w:val="clear" w:color="auto" w:fill="auto"/>
            <w:vAlign w:val="center"/>
          </w:tcPr>
          <w:p w14:paraId="3535D6CE" w14:textId="77777777" w:rsidR="00375569" w:rsidRPr="00F80522" w:rsidRDefault="00375569" w:rsidP="00146CAA">
            <w:pPr>
              <w:spacing w:after="0"/>
              <w:jc w:val="center"/>
              <w:rPr>
                <w:rFonts w:cs="Arial"/>
                <w:b/>
                <w:sz w:val="14"/>
                <w:szCs w:val="14"/>
              </w:rPr>
            </w:pPr>
          </w:p>
        </w:tc>
        <w:tc>
          <w:tcPr>
            <w:tcW w:w="1168" w:type="dxa"/>
            <w:tcBorders>
              <w:top w:val="single" w:sz="2" w:space="0" w:color="1F4E79" w:themeColor="accent1" w:themeShade="80"/>
            </w:tcBorders>
            <w:shd w:val="clear" w:color="auto" w:fill="auto"/>
            <w:vAlign w:val="center"/>
          </w:tcPr>
          <w:p w14:paraId="6D7E64D7" w14:textId="77777777" w:rsidR="00375569" w:rsidRPr="00F80522" w:rsidRDefault="00375569" w:rsidP="00CC7DA9">
            <w:pPr>
              <w:spacing w:after="0"/>
              <w:jc w:val="right"/>
              <w:rPr>
                <w:rFonts w:cs="Arial"/>
                <w:b/>
                <w:i/>
                <w:iCs/>
                <w:sz w:val="14"/>
                <w:szCs w:val="14"/>
              </w:rPr>
            </w:pPr>
          </w:p>
        </w:tc>
        <w:tc>
          <w:tcPr>
            <w:tcW w:w="5404" w:type="dxa"/>
            <w:gridSpan w:val="6"/>
            <w:tcBorders>
              <w:top w:val="single" w:sz="2" w:space="0" w:color="1F4E79" w:themeColor="accent1" w:themeShade="80"/>
              <w:bottom w:val="single" w:sz="2" w:space="0" w:color="1F4E79" w:themeColor="accent1" w:themeShade="80"/>
            </w:tcBorders>
            <w:shd w:val="clear" w:color="auto" w:fill="auto"/>
            <w:vAlign w:val="center"/>
          </w:tcPr>
          <w:p w14:paraId="24EF7B4D" w14:textId="77777777" w:rsidR="00375569" w:rsidRPr="00F80522" w:rsidRDefault="00375569" w:rsidP="00F80522">
            <w:pPr>
              <w:pStyle w:val="08-Tabelageral"/>
              <w:jc w:val="center"/>
              <w:rPr>
                <w:rFonts w:cs="Arial"/>
                <w:b/>
                <w:lang w:eastAsia="en-US"/>
              </w:rPr>
            </w:pPr>
            <w:r w:rsidRPr="00F80522">
              <w:rPr>
                <w:rFonts w:cs="Arial"/>
                <w:b/>
                <w:szCs w:val="14"/>
              </w:rPr>
              <w:t>Consolidado</w:t>
            </w:r>
          </w:p>
        </w:tc>
      </w:tr>
      <w:tr w:rsidR="00375569" w:rsidRPr="00F80522" w14:paraId="1EDC88E7" w14:textId="77777777" w:rsidTr="00311C00">
        <w:trPr>
          <w:trHeight w:val="238"/>
          <w:jc w:val="center"/>
        </w:trPr>
        <w:tc>
          <w:tcPr>
            <w:tcW w:w="3067" w:type="dxa"/>
            <w:shd w:val="clear" w:color="auto" w:fill="auto"/>
            <w:vAlign w:val="center"/>
          </w:tcPr>
          <w:p w14:paraId="220124B9" w14:textId="77777777" w:rsidR="00375569" w:rsidRPr="00F80522" w:rsidRDefault="00375569" w:rsidP="00146CAA">
            <w:pPr>
              <w:spacing w:after="0"/>
              <w:jc w:val="center"/>
              <w:rPr>
                <w:rFonts w:cs="Arial"/>
                <w:b/>
                <w:sz w:val="14"/>
                <w:szCs w:val="14"/>
              </w:rPr>
            </w:pPr>
          </w:p>
        </w:tc>
        <w:tc>
          <w:tcPr>
            <w:tcW w:w="1168" w:type="dxa"/>
            <w:vMerge w:val="restart"/>
            <w:shd w:val="clear" w:color="auto" w:fill="auto"/>
            <w:vAlign w:val="center"/>
          </w:tcPr>
          <w:p w14:paraId="20EA931E" w14:textId="77777777" w:rsidR="00375569" w:rsidRPr="00F80522" w:rsidRDefault="00375569" w:rsidP="00CC7DA9">
            <w:pPr>
              <w:spacing w:after="0"/>
              <w:jc w:val="right"/>
              <w:rPr>
                <w:rFonts w:cs="Arial"/>
                <w:b/>
                <w:bCs/>
                <w:sz w:val="14"/>
                <w:szCs w:val="14"/>
              </w:rPr>
            </w:pPr>
            <w:r w:rsidRPr="00F80522">
              <w:rPr>
                <w:rFonts w:cs="Arial"/>
                <w:b/>
                <w:i/>
                <w:iCs/>
                <w:sz w:val="14"/>
                <w:szCs w:val="14"/>
              </w:rPr>
              <w:t>Rating da Contraparte</w:t>
            </w:r>
          </w:p>
        </w:tc>
        <w:tc>
          <w:tcPr>
            <w:tcW w:w="2775" w:type="dxa"/>
            <w:gridSpan w:val="3"/>
            <w:tcBorders>
              <w:top w:val="single" w:sz="2" w:space="0" w:color="1F4E79" w:themeColor="accent1" w:themeShade="80"/>
              <w:bottom w:val="single" w:sz="2" w:space="0" w:color="1F4E79" w:themeColor="accent1" w:themeShade="80"/>
            </w:tcBorders>
            <w:shd w:val="clear" w:color="auto" w:fill="auto"/>
            <w:vAlign w:val="center"/>
          </w:tcPr>
          <w:p w14:paraId="621AAB6E" w14:textId="77777777" w:rsidR="00375569" w:rsidRPr="00F80522" w:rsidRDefault="00375569" w:rsidP="008145DA">
            <w:pPr>
              <w:pStyle w:val="08-Tabelageral"/>
              <w:jc w:val="center"/>
              <w:rPr>
                <w:rFonts w:cs="Arial"/>
                <w:b/>
                <w:bCs/>
                <w:szCs w:val="14"/>
              </w:rPr>
            </w:pPr>
            <w:r w:rsidRPr="00F80522">
              <w:rPr>
                <w:rFonts w:cs="Arial"/>
                <w:b/>
                <w:lang w:eastAsia="en-US"/>
              </w:rPr>
              <w:t>3</w:t>
            </w:r>
            <w:r>
              <w:rPr>
                <w:rFonts w:cs="Arial"/>
                <w:b/>
                <w:lang w:eastAsia="en-US"/>
              </w:rPr>
              <w:t>1</w:t>
            </w:r>
            <w:r w:rsidRPr="00F80522">
              <w:rPr>
                <w:rFonts w:cs="Arial"/>
                <w:b/>
                <w:lang w:eastAsia="en-US"/>
              </w:rPr>
              <w:t>.</w:t>
            </w:r>
            <w:r>
              <w:rPr>
                <w:rFonts w:cs="Arial"/>
                <w:b/>
                <w:lang w:eastAsia="en-US"/>
              </w:rPr>
              <w:t>12</w:t>
            </w:r>
            <w:r w:rsidRPr="00F80522">
              <w:rPr>
                <w:rFonts w:cs="Arial"/>
                <w:b/>
                <w:lang w:eastAsia="en-US"/>
              </w:rPr>
              <w:t>.202</w:t>
            </w:r>
            <w:r>
              <w:rPr>
                <w:rFonts w:cs="Arial"/>
                <w:b/>
                <w:lang w:eastAsia="en-US"/>
              </w:rPr>
              <w:t>1</w:t>
            </w:r>
          </w:p>
        </w:tc>
        <w:tc>
          <w:tcPr>
            <w:tcW w:w="2629" w:type="dxa"/>
            <w:gridSpan w:val="3"/>
            <w:tcBorders>
              <w:top w:val="single" w:sz="2" w:space="0" w:color="1F4E79" w:themeColor="accent1" w:themeShade="80"/>
              <w:bottom w:val="single" w:sz="2" w:space="0" w:color="1F4E79" w:themeColor="accent1" w:themeShade="80"/>
            </w:tcBorders>
            <w:shd w:val="clear" w:color="auto" w:fill="auto"/>
            <w:vAlign w:val="center"/>
          </w:tcPr>
          <w:p w14:paraId="342F8A61" w14:textId="77777777" w:rsidR="00375569" w:rsidRPr="00F80522" w:rsidRDefault="00375569" w:rsidP="005034C9">
            <w:pPr>
              <w:pStyle w:val="08-Tabelageral"/>
              <w:jc w:val="center"/>
              <w:rPr>
                <w:rFonts w:cs="Arial"/>
                <w:b/>
                <w:szCs w:val="14"/>
              </w:rPr>
            </w:pPr>
            <w:r w:rsidRPr="00F80522">
              <w:rPr>
                <w:rFonts w:cs="Arial"/>
                <w:b/>
                <w:lang w:eastAsia="en-US"/>
              </w:rPr>
              <w:t>31.12.20</w:t>
            </w:r>
            <w:r>
              <w:rPr>
                <w:rFonts w:cs="Arial"/>
                <w:b/>
                <w:lang w:eastAsia="en-US"/>
              </w:rPr>
              <w:t>20</w:t>
            </w:r>
          </w:p>
        </w:tc>
      </w:tr>
      <w:tr w:rsidR="00375569" w:rsidRPr="00F80522" w14:paraId="47B3F27D" w14:textId="77777777" w:rsidTr="00311C00">
        <w:trPr>
          <w:trHeight w:val="238"/>
          <w:jc w:val="center"/>
        </w:trPr>
        <w:tc>
          <w:tcPr>
            <w:tcW w:w="3067" w:type="dxa"/>
            <w:tcBorders>
              <w:bottom w:val="single" w:sz="2" w:space="0" w:color="1F4E79" w:themeColor="accent1" w:themeShade="80"/>
            </w:tcBorders>
            <w:shd w:val="clear" w:color="auto" w:fill="auto"/>
            <w:vAlign w:val="center"/>
          </w:tcPr>
          <w:p w14:paraId="0D7CBB58" w14:textId="77777777" w:rsidR="00375569" w:rsidRPr="00F80522" w:rsidRDefault="00375569" w:rsidP="00A066B5">
            <w:pPr>
              <w:spacing w:after="0"/>
              <w:jc w:val="center"/>
              <w:rPr>
                <w:rFonts w:cs="Arial"/>
                <w:b/>
                <w:sz w:val="14"/>
                <w:szCs w:val="14"/>
              </w:rPr>
            </w:pPr>
          </w:p>
        </w:tc>
        <w:tc>
          <w:tcPr>
            <w:tcW w:w="1168" w:type="dxa"/>
            <w:vMerge/>
            <w:tcBorders>
              <w:bottom w:val="single" w:sz="2" w:space="0" w:color="1F4E79" w:themeColor="accent1" w:themeShade="80"/>
            </w:tcBorders>
            <w:shd w:val="clear" w:color="auto" w:fill="auto"/>
            <w:vAlign w:val="center"/>
          </w:tcPr>
          <w:p w14:paraId="052BE601" w14:textId="77777777" w:rsidR="00375569" w:rsidRPr="00F80522" w:rsidRDefault="00375569" w:rsidP="00F80522">
            <w:pPr>
              <w:spacing w:after="0"/>
              <w:jc w:val="center"/>
              <w:rPr>
                <w:rFonts w:cs="Arial"/>
                <w:b/>
                <w:sz w:val="14"/>
                <w:szCs w:val="14"/>
              </w:rPr>
            </w:pPr>
          </w:p>
        </w:tc>
        <w:tc>
          <w:tcPr>
            <w:tcW w:w="877" w:type="dxa"/>
            <w:tcBorders>
              <w:top w:val="single" w:sz="2" w:space="0" w:color="1F4E79" w:themeColor="accent1" w:themeShade="80"/>
              <w:bottom w:val="single" w:sz="2" w:space="0" w:color="1F4E79" w:themeColor="accent1" w:themeShade="80"/>
            </w:tcBorders>
            <w:shd w:val="clear" w:color="auto" w:fill="auto"/>
            <w:vAlign w:val="center"/>
          </w:tcPr>
          <w:p w14:paraId="00236F56"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de Custo</w:t>
            </w:r>
          </w:p>
        </w:tc>
        <w:tc>
          <w:tcPr>
            <w:tcW w:w="1022" w:type="dxa"/>
            <w:tcBorders>
              <w:top w:val="single" w:sz="2" w:space="0" w:color="1F4E79" w:themeColor="accent1" w:themeShade="80"/>
              <w:bottom w:val="single" w:sz="2" w:space="0" w:color="1F4E79" w:themeColor="accent1" w:themeShade="80"/>
            </w:tcBorders>
            <w:shd w:val="clear" w:color="auto" w:fill="auto"/>
            <w:vAlign w:val="center"/>
          </w:tcPr>
          <w:p w14:paraId="6A72E7D8"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Contábil</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55352CC0"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de Mercado</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74029D76"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de Custo</w:t>
            </w:r>
          </w:p>
        </w:tc>
        <w:tc>
          <w:tcPr>
            <w:tcW w:w="877" w:type="dxa"/>
            <w:tcBorders>
              <w:top w:val="single" w:sz="2" w:space="0" w:color="1F4E79" w:themeColor="accent1" w:themeShade="80"/>
              <w:bottom w:val="single" w:sz="2" w:space="0" w:color="1F4E79" w:themeColor="accent1" w:themeShade="80"/>
            </w:tcBorders>
            <w:shd w:val="clear" w:color="auto" w:fill="auto"/>
            <w:vAlign w:val="center"/>
          </w:tcPr>
          <w:p w14:paraId="235F9E4C"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Contábil</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264888C7" w14:textId="77777777" w:rsidR="00375569" w:rsidRPr="00F80522" w:rsidRDefault="00375569" w:rsidP="00CC7DA9">
            <w:pPr>
              <w:pStyle w:val="08-Tabelageral"/>
              <w:spacing w:line="256" w:lineRule="auto"/>
              <w:rPr>
                <w:rFonts w:cs="Arial"/>
                <w:b/>
                <w:lang w:eastAsia="en-US"/>
              </w:rPr>
            </w:pPr>
            <w:r w:rsidRPr="00F80522">
              <w:rPr>
                <w:rFonts w:cs="Arial"/>
                <w:b/>
                <w:lang w:eastAsia="en-US"/>
              </w:rPr>
              <w:t>Valor de Mercado</w:t>
            </w:r>
          </w:p>
        </w:tc>
      </w:tr>
      <w:tr w:rsidR="00375569" w:rsidRPr="00F80522" w14:paraId="4174B7D1" w14:textId="77777777" w:rsidTr="00311C00">
        <w:trPr>
          <w:trHeight w:val="238"/>
          <w:jc w:val="center"/>
        </w:trPr>
        <w:tc>
          <w:tcPr>
            <w:tcW w:w="3067" w:type="dxa"/>
            <w:tcBorders>
              <w:top w:val="single" w:sz="2" w:space="0" w:color="1F4E79" w:themeColor="accent1" w:themeShade="80"/>
            </w:tcBorders>
            <w:shd w:val="clear" w:color="auto" w:fill="auto"/>
            <w:vAlign w:val="center"/>
          </w:tcPr>
          <w:p w14:paraId="5D6A8817" w14:textId="77777777" w:rsidR="00375569" w:rsidRPr="00F80522" w:rsidRDefault="00375569" w:rsidP="007551D8">
            <w:pPr>
              <w:pStyle w:val="08-Tabelageral"/>
              <w:spacing w:line="257" w:lineRule="auto"/>
              <w:ind w:left="113"/>
              <w:jc w:val="left"/>
              <w:rPr>
                <w:rFonts w:cs="Arial"/>
                <w:lang w:eastAsia="en-US"/>
              </w:rPr>
            </w:pPr>
            <w:r w:rsidRPr="00F80522">
              <w:rPr>
                <w:rFonts w:cs="Arial"/>
                <w:lang w:eastAsia="en-US"/>
              </w:rPr>
              <w:t xml:space="preserve">Letras financeiras de curto prazo </w:t>
            </w:r>
          </w:p>
        </w:tc>
        <w:tc>
          <w:tcPr>
            <w:tcW w:w="1168" w:type="dxa"/>
            <w:tcBorders>
              <w:top w:val="single" w:sz="2" w:space="0" w:color="1F4E79" w:themeColor="accent1" w:themeShade="80"/>
            </w:tcBorders>
            <w:shd w:val="clear" w:color="auto" w:fill="auto"/>
            <w:vAlign w:val="center"/>
          </w:tcPr>
          <w:p w14:paraId="5AF3BCA9" w14:textId="77777777" w:rsidR="00375569" w:rsidRPr="00F80522" w:rsidRDefault="00375569" w:rsidP="005034C9">
            <w:pPr>
              <w:pStyle w:val="08-Tabelageral"/>
              <w:spacing w:line="256" w:lineRule="auto"/>
              <w:rPr>
                <w:rFonts w:cs="Arial"/>
                <w:lang w:eastAsia="en-US"/>
              </w:rPr>
            </w:pPr>
            <w:r w:rsidRPr="00F80522">
              <w:rPr>
                <w:rFonts w:cs="Arial"/>
                <w:lang w:eastAsia="en-US"/>
              </w:rPr>
              <w:t>AA-</w:t>
            </w:r>
          </w:p>
        </w:tc>
        <w:tc>
          <w:tcPr>
            <w:tcW w:w="877" w:type="dxa"/>
            <w:tcBorders>
              <w:top w:val="single" w:sz="2" w:space="0" w:color="1F4E79" w:themeColor="accent1" w:themeShade="80"/>
            </w:tcBorders>
            <w:shd w:val="clear" w:color="auto" w:fill="auto"/>
            <w:vAlign w:val="center"/>
          </w:tcPr>
          <w:p w14:paraId="53998539" w14:textId="77777777" w:rsidR="00375569" w:rsidRPr="00F80522" w:rsidRDefault="00375569" w:rsidP="005034C9">
            <w:pPr>
              <w:pStyle w:val="08-Tabelageral"/>
              <w:rPr>
                <w:rFonts w:cs="Arial"/>
              </w:rPr>
            </w:pPr>
            <w:r>
              <w:rPr>
                <w:rFonts w:cs="Arial"/>
              </w:rPr>
              <w:t>--</w:t>
            </w:r>
          </w:p>
        </w:tc>
        <w:tc>
          <w:tcPr>
            <w:tcW w:w="1022" w:type="dxa"/>
            <w:tcBorders>
              <w:top w:val="single" w:sz="2" w:space="0" w:color="1F4E79" w:themeColor="accent1" w:themeShade="80"/>
            </w:tcBorders>
            <w:shd w:val="clear" w:color="auto" w:fill="auto"/>
            <w:vAlign w:val="center"/>
          </w:tcPr>
          <w:p w14:paraId="4398AFC7" w14:textId="77777777" w:rsidR="00375569" w:rsidRPr="00F80522" w:rsidRDefault="00375569" w:rsidP="005034C9">
            <w:pPr>
              <w:pStyle w:val="08-Tabelageral"/>
              <w:rPr>
                <w:szCs w:val="14"/>
              </w:rPr>
            </w:pPr>
            <w:r>
              <w:rPr>
                <w:szCs w:val="14"/>
              </w:rPr>
              <w:t>--</w:t>
            </w:r>
          </w:p>
        </w:tc>
        <w:tc>
          <w:tcPr>
            <w:tcW w:w="876" w:type="dxa"/>
            <w:tcBorders>
              <w:top w:val="single" w:sz="2" w:space="0" w:color="1F4E79" w:themeColor="accent1" w:themeShade="80"/>
            </w:tcBorders>
            <w:shd w:val="clear" w:color="auto" w:fill="auto"/>
            <w:vAlign w:val="center"/>
          </w:tcPr>
          <w:p w14:paraId="539C377D" w14:textId="77777777" w:rsidR="00375569" w:rsidRPr="00F80522" w:rsidRDefault="00375569" w:rsidP="005034C9">
            <w:pPr>
              <w:pStyle w:val="08-Tabelageral"/>
              <w:rPr>
                <w:szCs w:val="14"/>
              </w:rPr>
            </w:pPr>
            <w:r>
              <w:rPr>
                <w:szCs w:val="14"/>
              </w:rPr>
              <w:t>--</w:t>
            </w:r>
          </w:p>
        </w:tc>
        <w:tc>
          <w:tcPr>
            <w:tcW w:w="876" w:type="dxa"/>
            <w:tcBorders>
              <w:top w:val="single" w:sz="2" w:space="0" w:color="1F4E79" w:themeColor="accent1" w:themeShade="80"/>
            </w:tcBorders>
            <w:shd w:val="clear" w:color="auto" w:fill="auto"/>
            <w:vAlign w:val="center"/>
          </w:tcPr>
          <w:p w14:paraId="2B099A37" w14:textId="77777777" w:rsidR="00375569" w:rsidRPr="00F80522" w:rsidRDefault="00375569" w:rsidP="005034C9">
            <w:pPr>
              <w:pStyle w:val="08-Tabelageral"/>
              <w:rPr>
                <w:rFonts w:cs="Arial"/>
              </w:rPr>
            </w:pPr>
            <w:r>
              <w:rPr>
                <w:rFonts w:cs="Arial"/>
              </w:rPr>
              <w:t>220.400</w:t>
            </w:r>
          </w:p>
        </w:tc>
        <w:tc>
          <w:tcPr>
            <w:tcW w:w="877" w:type="dxa"/>
            <w:tcBorders>
              <w:top w:val="single" w:sz="2" w:space="0" w:color="1F4E79" w:themeColor="accent1" w:themeShade="80"/>
            </w:tcBorders>
            <w:shd w:val="clear" w:color="auto" w:fill="auto"/>
            <w:vAlign w:val="center"/>
          </w:tcPr>
          <w:p w14:paraId="2A6E07B9" w14:textId="77777777" w:rsidR="00375569" w:rsidRPr="00F80522" w:rsidRDefault="00375569" w:rsidP="005034C9">
            <w:pPr>
              <w:pStyle w:val="08-Tabelageral"/>
              <w:rPr>
                <w:szCs w:val="14"/>
              </w:rPr>
            </w:pPr>
            <w:r>
              <w:rPr>
                <w:szCs w:val="14"/>
              </w:rPr>
              <w:t>245.101</w:t>
            </w:r>
          </w:p>
        </w:tc>
        <w:tc>
          <w:tcPr>
            <w:tcW w:w="876" w:type="dxa"/>
            <w:tcBorders>
              <w:top w:val="single" w:sz="2" w:space="0" w:color="1F4E79" w:themeColor="accent1" w:themeShade="80"/>
            </w:tcBorders>
            <w:shd w:val="clear" w:color="auto" w:fill="auto"/>
            <w:vAlign w:val="center"/>
          </w:tcPr>
          <w:p w14:paraId="5A2B1295" w14:textId="77777777" w:rsidR="00375569" w:rsidRPr="00F80522" w:rsidRDefault="00375569" w:rsidP="005034C9">
            <w:pPr>
              <w:pStyle w:val="08-Tabelageral"/>
              <w:rPr>
                <w:szCs w:val="14"/>
              </w:rPr>
            </w:pPr>
            <w:r>
              <w:rPr>
                <w:szCs w:val="14"/>
              </w:rPr>
              <w:t>245.033</w:t>
            </w:r>
          </w:p>
        </w:tc>
      </w:tr>
      <w:tr w:rsidR="00375569" w:rsidRPr="00F80522" w14:paraId="4347CFD2" w14:textId="77777777" w:rsidTr="00311C00">
        <w:trPr>
          <w:trHeight w:val="238"/>
          <w:jc w:val="center"/>
        </w:trPr>
        <w:tc>
          <w:tcPr>
            <w:tcW w:w="3067" w:type="dxa"/>
            <w:shd w:val="clear" w:color="auto" w:fill="auto"/>
            <w:vAlign w:val="center"/>
          </w:tcPr>
          <w:p w14:paraId="35BCB706" w14:textId="77777777" w:rsidR="00375569" w:rsidRPr="00F80522" w:rsidRDefault="00375569" w:rsidP="006466EE">
            <w:pPr>
              <w:pStyle w:val="08-Tabelageral"/>
              <w:spacing w:line="257" w:lineRule="auto"/>
              <w:ind w:left="113"/>
              <w:jc w:val="left"/>
              <w:rPr>
                <w:rFonts w:cs="Arial"/>
                <w:lang w:eastAsia="en-US"/>
              </w:rPr>
            </w:pPr>
            <w:r w:rsidRPr="00F80522">
              <w:rPr>
                <w:rFonts w:cs="Arial"/>
                <w:lang w:eastAsia="en-US"/>
              </w:rPr>
              <w:t>Letras financeiras de longo prazo</w:t>
            </w:r>
          </w:p>
        </w:tc>
        <w:tc>
          <w:tcPr>
            <w:tcW w:w="1168" w:type="dxa"/>
            <w:shd w:val="clear" w:color="auto" w:fill="auto"/>
            <w:vAlign w:val="center"/>
          </w:tcPr>
          <w:p w14:paraId="23C642D0" w14:textId="77777777" w:rsidR="00375569" w:rsidRPr="00F80522" w:rsidRDefault="00375569" w:rsidP="005034C9">
            <w:pPr>
              <w:pStyle w:val="08-Tabelageral"/>
              <w:spacing w:line="256" w:lineRule="auto"/>
              <w:rPr>
                <w:rFonts w:cs="Arial"/>
                <w:lang w:eastAsia="en-US"/>
              </w:rPr>
            </w:pPr>
            <w:r w:rsidRPr="00F80522">
              <w:rPr>
                <w:rFonts w:cs="Arial"/>
                <w:lang w:eastAsia="en-US"/>
              </w:rPr>
              <w:t>AA-</w:t>
            </w:r>
          </w:p>
        </w:tc>
        <w:tc>
          <w:tcPr>
            <w:tcW w:w="877" w:type="dxa"/>
            <w:shd w:val="clear" w:color="auto" w:fill="auto"/>
            <w:vAlign w:val="center"/>
          </w:tcPr>
          <w:p w14:paraId="07FDF30B" w14:textId="77777777" w:rsidR="00375569" w:rsidRPr="00F80522" w:rsidRDefault="00375569" w:rsidP="005034C9">
            <w:pPr>
              <w:pStyle w:val="08-Tabelageral"/>
              <w:rPr>
                <w:rFonts w:cs="Arial"/>
              </w:rPr>
            </w:pPr>
            <w:r>
              <w:rPr>
                <w:rFonts w:cs="Arial"/>
              </w:rPr>
              <w:t>--</w:t>
            </w:r>
          </w:p>
        </w:tc>
        <w:tc>
          <w:tcPr>
            <w:tcW w:w="1022" w:type="dxa"/>
            <w:shd w:val="clear" w:color="auto" w:fill="auto"/>
            <w:vAlign w:val="center"/>
          </w:tcPr>
          <w:p w14:paraId="3461996E" w14:textId="77777777" w:rsidR="00375569" w:rsidRPr="00F80522" w:rsidRDefault="00375569" w:rsidP="005034C9">
            <w:pPr>
              <w:pStyle w:val="08-Tabelageral"/>
              <w:rPr>
                <w:szCs w:val="14"/>
              </w:rPr>
            </w:pPr>
            <w:r>
              <w:rPr>
                <w:szCs w:val="14"/>
              </w:rPr>
              <w:t>--</w:t>
            </w:r>
          </w:p>
        </w:tc>
        <w:tc>
          <w:tcPr>
            <w:tcW w:w="876" w:type="dxa"/>
            <w:shd w:val="clear" w:color="auto" w:fill="auto"/>
            <w:vAlign w:val="center"/>
          </w:tcPr>
          <w:p w14:paraId="1F47DFCA" w14:textId="77777777" w:rsidR="00375569" w:rsidRPr="00F80522" w:rsidRDefault="00375569" w:rsidP="005034C9">
            <w:pPr>
              <w:pStyle w:val="08-Tabelageral"/>
              <w:rPr>
                <w:szCs w:val="14"/>
              </w:rPr>
            </w:pPr>
            <w:r>
              <w:rPr>
                <w:szCs w:val="14"/>
              </w:rPr>
              <w:t>--</w:t>
            </w:r>
          </w:p>
        </w:tc>
        <w:tc>
          <w:tcPr>
            <w:tcW w:w="876" w:type="dxa"/>
            <w:shd w:val="clear" w:color="auto" w:fill="auto"/>
            <w:vAlign w:val="center"/>
          </w:tcPr>
          <w:p w14:paraId="2360FF28" w14:textId="77777777" w:rsidR="00375569" w:rsidRPr="00F80522" w:rsidRDefault="00375569" w:rsidP="005034C9">
            <w:pPr>
              <w:pStyle w:val="08-Tabelageral"/>
              <w:rPr>
                <w:rFonts w:cs="Arial"/>
              </w:rPr>
            </w:pPr>
            <w:r>
              <w:rPr>
                <w:rFonts w:cs="Arial"/>
              </w:rPr>
              <w:t>200.000</w:t>
            </w:r>
          </w:p>
        </w:tc>
        <w:tc>
          <w:tcPr>
            <w:tcW w:w="877" w:type="dxa"/>
            <w:shd w:val="clear" w:color="auto" w:fill="auto"/>
            <w:vAlign w:val="center"/>
          </w:tcPr>
          <w:p w14:paraId="5B2972E7" w14:textId="77777777" w:rsidR="00375569" w:rsidRPr="00F80522" w:rsidRDefault="00375569" w:rsidP="005034C9">
            <w:pPr>
              <w:pStyle w:val="08-Tabelageral"/>
              <w:rPr>
                <w:szCs w:val="14"/>
              </w:rPr>
            </w:pPr>
            <w:r>
              <w:rPr>
                <w:szCs w:val="14"/>
              </w:rPr>
              <w:t>204.449</w:t>
            </w:r>
          </w:p>
        </w:tc>
        <w:tc>
          <w:tcPr>
            <w:tcW w:w="876" w:type="dxa"/>
            <w:shd w:val="clear" w:color="auto" w:fill="auto"/>
            <w:vAlign w:val="center"/>
          </w:tcPr>
          <w:p w14:paraId="6029EBCC" w14:textId="77777777" w:rsidR="00375569" w:rsidRPr="00F80522" w:rsidRDefault="00375569" w:rsidP="005034C9">
            <w:pPr>
              <w:pStyle w:val="08-Tabelageral"/>
              <w:rPr>
                <w:szCs w:val="14"/>
              </w:rPr>
            </w:pPr>
            <w:r>
              <w:rPr>
                <w:szCs w:val="14"/>
              </w:rPr>
              <w:t>203.374</w:t>
            </w:r>
          </w:p>
        </w:tc>
      </w:tr>
      <w:tr w:rsidR="00375569" w:rsidRPr="002106A4" w14:paraId="4D2CA03B" w14:textId="77777777" w:rsidTr="00311C00">
        <w:trPr>
          <w:trHeight w:val="238"/>
          <w:jc w:val="center"/>
        </w:trPr>
        <w:tc>
          <w:tcPr>
            <w:tcW w:w="3067" w:type="dxa"/>
            <w:tcBorders>
              <w:bottom w:val="single" w:sz="2" w:space="0" w:color="1F4E79" w:themeColor="accent1" w:themeShade="80"/>
            </w:tcBorders>
            <w:shd w:val="clear" w:color="auto" w:fill="auto"/>
            <w:vAlign w:val="center"/>
          </w:tcPr>
          <w:p w14:paraId="34FC758B" w14:textId="77777777" w:rsidR="00375569" w:rsidRPr="002106A4" w:rsidRDefault="00375569" w:rsidP="005034C9">
            <w:pPr>
              <w:pStyle w:val="08-Tabelageral"/>
              <w:spacing w:line="256" w:lineRule="auto"/>
              <w:jc w:val="left"/>
              <w:rPr>
                <w:rFonts w:cs="Arial"/>
                <w:b/>
                <w:lang w:eastAsia="en-US"/>
              </w:rPr>
            </w:pPr>
            <w:r w:rsidRPr="002106A4">
              <w:rPr>
                <w:rFonts w:cs="Arial"/>
                <w:b/>
                <w:lang w:eastAsia="en-US"/>
              </w:rPr>
              <w:t>Total</w:t>
            </w:r>
          </w:p>
        </w:tc>
        <w:tc>
          <w:tcPr>
            <w:tcW w:w="1168" w:type="dxa"/>
            <w:tcBorders>
              <w:bottom w:val="single" w:sz="2" w:space="0" w:color="1F4E79" w:themeColor="accent1" w:themeShade="80"/>
            </w:tcBorders>
            <w:shd w:val="clear" w:color="auto" w:fill="auto"/>
            <w:vAlign w:val="center"/>
          </w:tcPr>
          <w:p w14:paraId="54362F8F" w14:textId="77777777" w:rsidR="00375569" w:rsidRPr="002106A4" w:rsidRDefault="00375569" w:rsidP="005034C9">
            <w:pPr>
              <w:pStyle w:val="08-Tabelageral"/>
              <w:rPr>
                <w:rFonts w:cs="Arial"/>
                <w:b/>
              </w:rPr>
            </w:pPr>
          </w:p>
        </w:tc>
        <w:tc>
          <w:tcPr>
            <w:tcW w:w="877" w:type="dxa"/>
            <w:tcBorders>
              <w:bottom w:val="single" w:sz="2" w:space="0" w:color="1F4E79" w:themeColor="accent1" w:themeShade="80"/>
            </w:tcBorders>
            <w:shd w:val="clear" w:color="auto" w:fill="auto"/>
            <w:vAlign w:val="center"/>
          </w:tcPr>
          <w:p w14:paraId="3DCB6787" w14:textId="77777777" w:rsidR="00375569" w:rsidRPr="002106A4" w:rsidRDefault="00375569" w:rsidP="005034C9">
            <w:pPr>
              <w:pStyle w:val="08-Tabelageral"/>
              <w:rPr>
                <w:rFonts w:cs="Arial"/>
                <w:b/>
              </w:rPr>
            </w:pPr>
            <w:r>
              <w:rPr>
                <w:rFonts w:cs="Arial"/>
                <w:b/>
              </w:rPr>
              <w:t>--</w:t>
            </w:r>
          </w:p>
        </w:tc>
        <w:tc>
          <w:tcPr>
            <w:tcW w:w="1022" w:type="dxa"/>
            <w:tcBorders>
              <w:bottom w:val="single" w:sz="2" w:space="0" w:color="1F4E79" w:themeColor="accent1" w:themeShade="80"/>
            </w:tcBorders>
            <w:shd w:val="clear" w:color="auto" w:fill="auto"/>
            <w:vAlign w:val="center"/>
          </w:tcPr>
          <w:p w14:paraId="3F4F7312" w14:textId="77777777" w:rsidR="00375569" w:rsidRPr="002106A4" w:rsidRDefault="00375569" w:rsidP="005034C9">
            <w:pPr>
              <w:pStyle w:val="08-Tabelageral"/>
              <w:rPr>
                <w:b/>
                <w:szCs w:val="14"/>
              </w:rPr>
            </w:pPr>
            <w:r>
              <w:rPr>
                <w:b/>
                <w:szCs w:val="14"/>
              </w:rPr>
              <w:t>--</w:t>
            </w:r>
          </w:p>
        </w:tc>
        <w:tc>
          <w:tcPr>
            <w:tcW w:w="876" w:type="dxa"/>
            <w:tcBorders>
              <w:bottom w:val="single" w:sz="2" w:space="0" w:color="1F4E79" w:themeColor="accent1" w:themeShade="80"/>
            </w:tcBorders>
            <w:shd w:val="clear" w:color="auto" w:fill="auto"/>
            <w:vAlign w:val="center"/>
          </w:tcPr>
          <w:p w14:paraId="65FE48E3" w14:textId="77777777" w:rsidR="00375569" w:rsidRPr="002106A4" w:rsidRDefault="00375569" w:rsidP="005034C9">
            <w:pPr>
              <w:pStyle w:val="08-Tabelageral"/>
              <w:rPr>
                <w:b/>
                <w:szCs w:val="14"/>
              </w:rPr>
            </w:pPr>
            <w:r>
              <w:rPr>
                <w:b/>
                <w:szCs w:val="14"/>
              </w:rPr>
              <w:t>--</w:t>
            </w:r>
          </w:p>
        </w:tc>
        <w:tc>
          <w:tcPr>
            <w:tcW w:w="876" w:type="dxa"/>
            <w:tcBorders>
              <w:bottom w:val="single" w:sz="2" w:space="0" w:color="1F4E79" w:themeColor="accent1" w:themeShade="80"/>
            </w:tcBorders>
            <w:shd w:val="clear" w:color="auto" w:fill="auto"/>
            <w:vAlign w:val="center"/>
          </w:tcPr>
          <w:p w14:paraId="673F1404" w14:textId="77777777" w:rsidR="00375569" w:rsidRPr="002106A4" w:rsidRDefault="00375569" w:rsidP="005034C9">
            <w:pPr>
              <w:pStyle w:val="08-Tabelageral"/>
              <w:rPr>
                <w:rFonts w:cs="Arial"/>
                <w:b/>
              </w:rPr>
            </w:pPr>
            <w:r>
              <w:rPr>
                <w:rFonts w:cs="Arial"/>
                <w:b/>
              </w:rPr>
              <w:t>420.400</w:t>
            </w:r>
          </w:p>
        </w:tc>
        <w:tc>
          <w:tcPr>
            <w:tcW w:w="877" w:type="dxa"/>
            <w:tcBorders>
              <w:bottom w:val="single" w:sz="2" w:space="0" w:color="1F4E79" w:themeColor="accent1" w:themeShade="80"/>
            </w:tcBorders>
            <w:shd w:val="clear" w:color="auto" w:fill="auto"/>
            <w:vAlign w:val="center"/>
          </w:tcPr>
          <w:p w14:paraId="79EFB857" w14:textId="77777777" w:rsidR="00375569" w:rsidRPr="002106A4" w:rsidRDefault="00375569" w:rsidP="005034C9">
            <w:pPr>
              <w:pStyle w:val="08-Tabelageral"/>
              <w:rPr>
                <w:b/>
                <w:szCs w:val="14"/>
              </w:rPr>
            </w:pPr>
            <w:r>
              <w:rPr>
                <w:b/>
                <w:szCs w:val="14"/>
              </w:rPr>
              <w:t>449.550</w:t>
            </w:r>
          </w:p>
        </w:tc>
        <w:tc>
          <w:tcPr>
            <w:tcW w:w="876" w:type="dxa"/>
            <w:tcBorders>
              <w:bottom w:val="single" w:sz="2" w:space="0" w:color="1F4E79" w:themeColor="accent1" w:themeShade="80"/>
            </w:tcBorders>
            <w:shd w:val="clear" w:color="auto" w:fill="auto"/>
            <w:vAlign w:val="center"/>
          </w:tcPr>
          <w:p w14:paraId="7C7FC81B" w14:textId="77777777" w:rsidR="00375569" w:rsidRPr="002106A4" w:rsidRDefault="00375569" w:rsidP="005034C9">
            <w:pPr>
              <w:pStyle w:val="08-Tabelageral"/>
              <w:rPr>
                <w:b/>
                <w:szCs w:val="14"/>
              </w:rPr>
            </w:pPr>
            <w:r>
              <w:rPr>
                <w:b/>
                <w:szCs w:val="14"/>
              </w:rPr>
              <w:t>448.407</w:t>
            </w:r>
          </w:p>
        </w:tc>
      </w:tr>
    </w:tbl>
    <w:p w14:paraId="440BCAFB" w14:textId="77777777" w:rsidR="00375569" w:rsidRDefault="00375569" w:rsidP="00451CC6">
      <w:pPr>
        <w:pStyle w:val="05-Textonormal"/>
        <w:spacing w:before="0" w:line="240" w:lineRule="auto"/>
      </w:pPr>
    </w:p>
    <w:p w14:paraId="1376C6F8" w14:textId="77777777" w:rsidR="00375569" w:rsidRDefault="00375569" w:rsidP="004330D5">
      <w:pPr>
        <w:pStyle w:val="05-Textonormal"/>
      </w:pPr>
      <w:r w:rsidRPr="00ED0236">
        <w:t xml:space="preserve">Não há saldo de ativos financeiros mensurados pelo custo amortizado no Controlador. </w:t>
      </w:r>
    </w:p>
    <w:p w14:paraId="4EBBCC05" w14:textId="77777777" w:rsidR="00375569" w:rsidRDefault="00375569" w:rsidP="004330D5">
      <w:pPr>
        <w:pStyle w:val="05-Textonormal"/>
      </w:pPr>
    </w:p>
    <w:p w14:paraId="158EB0F0" w14:textId="77777777" w:rsidR="00375569" w:rsidRPr="00DB3513" w:rsidRDefault="00375569" w:rsidP="007F4615">
      <w:pPr>
        <w:pStyle w:val="05-Textonormal"/>
        <w:numPr>
          <w:ilvl w:val="0"/>
          <w:numId w:val="35"/>
        </w:numPr>
        <w:rPr>
          <w:b/>
          <w:color w:val="1F4E79" w:themeColor="accent1" w:themeShade="80"/>
          <w:sz w:val="20"/>
          <w:szCs w:val="20"/>
        </w:rPr>
      </w:pPr>
      <w:r w:rsidRPr="00DB3513">
        <w:rPr>
          <w:b/>
          <w:color w:val="1F4E79" w:themeColor="accent1" w:themeShade="80"/>
          <w:sz w:val="20"/>
          <w:szCs w:val="20"/>
        </w:rPr>
        <w:t>Hierarquia de valor justo</w:t>
      </w:r>
      <w:r w:rsidRPr="00DB3513">
        <w:rPr>
          <w:b/>
          <w:color w:val="1F4E79" w:themeColor="accent1" w:themeShade="80"/>
          <w:sz w:val="20"/>
          <w:szCs w:val="20"/>
        </w:rPr>
        <w:tab/>
      </w:r>
    </w:p>
    <w:p w14:paraId="1E26A7DA" w14:textId="77777777" w:rsidR="00375569" w:rsidRPr="00ED0236" w:rsidRDefault="00375569" w:rsidP="004330D5">
      <w:pPr>
        <w:pStyle w:val="05-Textonormal"/>
      </w:pPr>
      <w:r w:rsidRPr="00ED0236">
        <w:t>A Companhia classifica os instrumentos financeiros em três níveis de subjetividade na determinação do valor justo. Os diferentes níveis são definidos conforme segue:</w:t>
      </w:r>
    </w:p>
    <w:p w14:paraId="4C0226AB" w14:textId="77777777" w:rsidR="00375569" w:rsidRPr="00ED0236" w:rsidRDefault="00375569" w:rsidP="00375569">
      <w:pPr>
        <w:pStyle w:val="05-Textonormal"/>
        <w:numPr>
          <w:ilvl w:val="0"/>
          <w:numId w:val="2"/>
        </w:numPr>
        <w:ind w:left="284" w:hanging="284"/>
      </w:pPr>
      <w:r w:rsidRPr="00ED0236">
        <w:t>Nível 1: Preços cotados em mercados ativos para ativos e passivos idênticos;</w:t>
      </w:r>
    </w:p>
    <w:p w14:paraId="09924B1C" w14:textId="77777777" w:rsidR="00375569" w:rsidRPr="00ED0236" w:rsidRDefault="00375569" w:rsidP="00375569">
      <w:pPr>
        <w:pStyle w:val="05-Textonormal"/>
        <w:numPr>
          <w:ilvl w:val="0"/>
          <w:numId w:val="2"/>
        </w:numPr>
        <w:ind w:left="284" w:hanging="284"/>
      </w:pPr>
      <w:r w:rsidRPr="00ED0236">
        <w:t>Nível 2: Inputs, exceto preços cotados, incluídas no Nível 1 que são observáveis para o ativo ou passivo, diretamente (preços) ou indiretamente (derivado de preços);</w:t>
      </w:r>
    </w:p>
    <w:p w14:paraId="4C58349B" w14:textId="77777777" w:rsidR="00375569" w:rsidRPr="00BF079C" w:rsidRDefault="00375569" w:rsidP="00375569">
      <w:pPr>
        <w:pStyle w:val="05-Textonormal"/>
        <w:numPr>
          <w:ilvl w:val="0"/>
          <w:numId w:val="2"/>
        </w:numPr>
        <w:ind w:left="284" w:hanging="284"/>
        <w:rPr>
          <w:b/>
          <w:color w:val="1F4E79" w:themeColor="accent1" w:themeShade="80"/>
        </w:rPr>
      </w:pPr>
      <w:r w:rsidRPr="00ED0236">
        <w:t>Nível 3: Premissas, para o ativo ou passivo, que não são baseadas em dados observáveis de mercado (inputs não observáveis).</w:t>
      </w:r>
      <w:r w:rsidRPr="00ED0236">
        <w:rPr>
          <w:b/>
          <w:color w:val="1F4E79" w:themeColor="accent1" w:themeShade="80"/>
        </w:rPr>
        <w:t xml:space="preserve"> </w:t>
      </w:r>
    </w:p>
    <w:p w14:paraId="6EE70A6D" w14:textId="77777777" w:rsidR="00375569" w:rsidRPr="00ED0236" w:rsidRDefault="00375569" w:rsidP="00BF079C">
      <w:pPr>
        <w:pStyle w:val="PargrafodaLista"/>
        <w:keepNext/>
        <w:spacing w:after="0" w:line="240" w:lineRule="auto"/>
        <w:ind w:left="357" w:right="-1"/>
        <w:jc w:val="right"/>
        <w:rPr>
          <w:rFonts w:ascii="Arial" w:hAnsi="Arial" w:cs="Arial"/>
          <w:b/>
          <w:sz w:val="14"/>
          <w:szCs w:val="14"/>
          <w:lang w:eastAsia="pt-BR"/>
        </w:rPr>
      </w:pPr>
      <w:r w:rsidRPr="00ED0236">
        <w:rPr>
          <w:rFonts w:ascii="Arial" w:hAnsi="Arial" w:cs="Arial"/>
          <w:b/>
          <w:sz w:val="14"/>
          <w:szCs w:val="14"/>
        </w:rPr>
        <w:lastRenderedPageBreak/>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375569" w:rsidRPr="00ED0236" w14:paraId="66A1F58F" w14:textId="77777777" w:rsidTr="00847A80">
        <w:trPr>
          <w:trHeight w:val="238"/>
          <w:jc w:val="center"/>
        </w:trPr>
        <w:tc>
          <w:tcPr>
            <w:tcW w:w="2296" w:type="dxa"/>
            <w:tcBorders>
              <w:top w:val="single" w:sz="2" w:space="0" w:color="1F4E79" w:themeColor="accent1" w:themeShade="80"/>
            </w:tcBorders>
            <w:shd w:val="clear" w:color="auto" w:fill="auto"/>
            <w:noWrap/>
            <w:hideMark/>
          </w:tcPr>
          <w:p w14:paraId="3087FBEC" w14:textId="77777777" w:rsidR="00375569" w:rsidRPr="00ED0236" w:rsidRDefault="00375569" w:rsidP="00BF079C">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6BD85E2E" w14:textId="77777777" w:rsidR="00375569" w:rsidRPr="00ED0236" w:rsidRDefault="00375569" w:rsidP="00BF079C">
            <w:pPr>
              <w:pStyle w:val="08-Tabelageral"/>
              <w:keepLines w:val="0"/>
              <w:jc w:val="center"/>
              <w:rPr>
                <w:rFonts w:cs="Arial"/>
                <w:b/>
              </w:rPr>
            </w:pPr>
            <w:r w:rsidRPr="00ED0236">
              <w:rPr>
                <w:rFonts w:cs="Arial"/>
                <w:b/>
              </w:rPr>
              <w:t>Controlador</w:t>
            </w:r>
          </w:p>
        </w:tc>
      </w:tr>
      <w:tr w:rsidR="00375569" w:rsidRPr="00ED0236" w14:paraId="04D1F9CD" w14:textId="77777777" w:rsidTr="00847A80">
        <w:trPr>
          <w:trHeight w:val="238"/>
          <w:jc w:val="center"/>
        </w:trPr>
        <w:tc>
          <w:tcPr>
            <w:tcW w:w="2296" w:type="dxa"/>
            <w:shd w:val="clear" w:color="auto" w:fill="auto"/>
            <w:noWrap/>
            <w:hideMark/>
          </w:tcPr>
          <w:p w14:paraId="6E5649AF" w14:textId="77777777" w:rsidR="00375569" w:rsidRPr="00ED0236" w:rsidRDefault="00375569" w:rsidP="00BF079C">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7F55BD80" w14:textId="77777777" w:rsidR="00375569" w:rsidRPr="00ED0236" w:rsidRDefault="00375569" w:rsidP="00932D71">
            <w:pPr>
              <w:pStyle w:val="08-Tabelageral"/>
              <w:keepLines w:val="0"/>
              <w:jc w:val="center"/>
              <w:rPr>
                <w:rFonts w:cs="Arial"/>
                <w:b/>
              </w:rPr>
            </w:pPr>
            <w:r>
              <w:rPr>
                <w:rFonts w:cs="Arial"/>
                <w:b/>
              </w:rPr>
              <w:t>31.12.2021</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753CC51" w14:textId="77777777" w:rsidR="00375569" w:rsidRPr="00ED0236" w:rsidRDefault="00375569" w:rsidP="00EB46B6">
            <w:pPr>
              <w:pStyle w:val="08-Tabelageral"/>
              <w:keepLines w:val="0"/>
              <w:jc w:val="center"/>
              <w:rPr>
                <w:rFonts w:cs="Arial"/>
                <w:b/>
              </w:rPr>
            </w:pPr>
            <w:r>
              <w:rPr>
                <w:rFonts w:cs="Arial"/>
                <w:b/>
              </w:rPr>
              <w:t>31.12.2020</w:t>
            </w:r>
          </w:p>
        </w:tc>
      </w:tr>
      <w:tr w:rsidR="00375569" w:rsidRPr="00ED0236" w14:paraId="47B9051A" w14:textId="77777777" w:rsidTr="00074FF7">
        <w:trPr>
          <w:trHeight w:val="238"/>
          <w:jc w:val="center"/>
        </w:trPr>
        <w:tc>
          <w:tcPr>
            <w:tcW w:w="2296" w:type="dxa"/>
            <w:tcBorders>
              <w:bottom w:val="single" w:sz="2" w:space="0" w:color="1F4E79" w:themeColor="accent1" w:themeShade="80"/>
            </w:tcBorders>
            <w:shd w:val="clear" w:color="auto" w:fill="auto"/>
            <w:noWrap/>
            <w:hideMark/>
          </w:tcPr>
          <w:p w14:paraId="0668CDB2" w14:textId="77777777" w:rsidR="00375569" w:rsidRPr="00ED0236" w:rsidRDefault="00375569" w:rsidP="00BF079C">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DA7DD2F" w14:textId="77777777" w:rsidR="00375569" w:rsidRPr="00ED0236" w:rsidRDefault="00375569" w:rsidP="00BF079C">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BDD44C5" w14:textId="77777777" w:rsidR="00375569" w:rsidRPr="00ED0236" w:rsidRDefault="00375569" w:rsidP="00BF079C">
            <w:pPr>
              <w:pStyle w:val="08-Tabelageral"/>
              <w:keepLines w:val="0"/>
              <w:rPr>
                <w:rFonts w:cs="Arial"/>
                <w:b/>
              </w:rPr>
            </w:pPr>
            <w:r w:rsidRPr="00ED0236">
              <w:rPr>
                <w:rFonts w:cs="Arial"/>
                <w:b/>
              </w:rPr>
              <w:t>Nível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2A3F43C" w14:textId="77777777" w:rsidR="00375569" w:rsidRPr="00ED0236" w:rsidRDefault="00375569" w:rsidP="00BF079C">
            <w:pPr>
              <w:pStyle w:val="08-Tabelageral"/>
              <w:keepLines w:val="0"/>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46DD8441" w14:textId="77777777" w:rsidR="00375569" w:rsidRPr="00ED0236" w:rsidRDefault="00375569" w:rsidP="00BF079C">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B277F04" w14:textId="77777777" w:rsidR="00375569" w:rsidRPr="00ED0236" w:rsidRDefault="00375569" w:rsidP="00BF079C">
            <w:pPr>
              <w:pStyle w:val="08-Tabelageral"/>
              <w:keepLines w:val="0"/>
              <w:rPr>
                <w:rFonts w:cs="Arial"/>
                <w:b/>
              </w:rPr>
            </w:pPr>
            <w:r w:rsidRPr="00ED0236">
              <w:rPr>
                <w:rFonts w:cs="Arial"/>
                <w:b/>
              </w:rPr>
              <w:t>Nível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5408847" w14:textId="77777777" w:rsidR="00375569" w:rsidRPr="00ED0236" w:rsidRDefault="00375569" w:rsidP="00BF079C">
            <w:pPr>
              <w:pStyle w:val="08-Tabelageral"/>
              <w:keepLines w:val="0"/>
              <w:rPr>
                <w:rFonts w:cs="Arial"/>
                <w:b/>
              </w:rPr>
            </w:pPr>
            <w:r w:rsidRPr="00ED0236">
              <w:rPr>
                <w:rFonts w:cs="Arial"/>
                <w:b/>
              </w:rPr>
              <w:t>Total</w:t>
            </w:r>
          </w:p>
        </w:tc>
      </w:tr>
      <w:tr w:rsidR="00375569" w:rsidRPr="00ED0236" w14:paraId="41DE8F52" w14:textId="77777777" w:rsidTr="00074FF7">
        <w:trPr>
          <w:trHeight w:val="238"/>
          <w:jc w:val="center"/>
        </w:trPr>
        <w:tc>
          <w:tcPr>
            <w:tcW w:w="2296" w:type="dxa"/>
            <w:tcBorders>
              <w:top w:val="single" w:sz="2" w:space="0" w:color="1F4E79" w:themeColor="accent1" w:themeShade="80"/>
            </w:tcBorders>
            <w:shd w:val="clear" w:color="auto" w:fill="auto"/>
            <w:noWrap/>
            <w:hideMark/>
          </w:tcPr>
          <w:p w14:paraId="20059349" w14:textId="77777777" w:rsidR="00375569" w:rsidRPr="00ED0236" w:rsidRDefault="00375569" w:rsidP="00074FF7">
            <w:pPr>
              <w:pStyle w:val="08-Tabelageral"/>
              <w:keepLines w:val="0"/>
              <w:ind w:left="113"/>
              <w:jc w:val="left"/>
              <w:rPr>
                <w:rFonts w:cs="Arial"/>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p>
        </w:tc>
        <w:tc>
          <w:tcPr>
            <w:tcW w:w="1224" w:type="dxa"/>
            <w:tcBorders>
              <w:top w:val="single" w:sz="2" w:space="0" w:color="1F4E79" w:themeColor="accent1" w:themeShade="80"/>
              <w:left w:val="nil"/>
              <w:bottom w:val="nil"/>
              <w:right w:val="nil"/>
            </w:tcBorders>
            <w:shd w:val="clear" w:color="auto" w:fill="auto"/>
            <w:noWrap/>
            <w:vAlign w:val="bottom"/>
          </w:tcPr>
          <w:p w14:paraId="10F00D06" w14:textId="77777777" w:rsidR="00375569" w:rsidRPr="00C24578" w:rsidRDefault="00375569" w:rsidP="0098428F">
            <w:pPr>
              <w:pStyle w:val="08-Tabelageral"/>
            </w:pPr>
            <w:r>
              <w:t>14.011</w:t>
            </w:r>
          </w:p>
        </w:tc>
        <w:tc>
          <w:tcPr>
            <w:tcW w:w="1224" w:type="dxa"/>
            <w:tcBorders>
              <w:top w:val="single" w:sz="2" w:space="0" w:color="1F4E79" w:themeColor="accent1" w:themeShade="80"/>
              <w:left w:val="nil"/>
              <w:bottom w:val="nil"/>
              <w:right w:val="nil"/>
            </w:tcBorders>
            <w:shd w:val="clear" w:color="auto" w:fill="auto"/>
            <w:noWrap/>
            <w:vAlign w:val="bottom"/>
          </w:tcPr>
          <w:p w14:paraId="643046D1" w14:textId="77777777" w:rsidR="00375569" w:rsidRPr="00C24578" w:rsidRDefault="00375569" w:rsidP="00074FF7">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B199D23" w14:textId="77777777" w:rsidR="00375569" w:rsidRPr="00C24578" w:rsidRDefault="00375569" w:rsidP="0098428F">
            <w:pPr>
              <w:pStyle w:val="08-Tabelageral"/>
            </w:pPr>
            <w:r>
              <w:t>14.011</w:t>
            </w:r>
          </w:p>
        </w:tc>
        <w:tc>
          <w:tcPr>
            <w:tcW w:w="1223" w:type="dxa"/>
            <w:tcBorders>
              <w:top w:val="single" w:sz="2" w:space="0" w:color="1F4E79" w:themeColor="accent1" w:themeShade="80"/>
            </w:tcBorders>
            <w:shd w:val="clear" w:color="auto" w:fill="auto"/>
            <w:noWrap/>
            <w:hideMark/>
          </w:tcPr>
          <w:p w14:paraId="10AE200F" w14:textId="77777777" w:rsidR="00375569" w:rsidRPr="00C24578" w:rsidRDefault="00375569" w:rsidP="00074FF7">
            <w:pPr>
              <w:pStyle w:val="08-Tabelageral"/>
              <w:keepLines w:val="0"/>
            </w:pPr>
            <w:r>
              <w:t>3.948</w:t>
            </w:r>
          </w:p>
        </w:tc>
        <w:tc>
          <w:tcPr>
            <w:tcW w:w="1224" w:type="dxa"/>
            <w:tcBorders>
              <w:top w:val="single" w:sz="2" w:space="0" w:color="1F4E79" w:themeColor="accent1" w:themeShade="80"/>
            </w:tcBorders>
            <w:shd w:val="clear" w:color="auto" w:fill="auto"/>
            <w:noWrap/>
            <w:hideMark/>
          </w:tcPr>
          <w:p w14:paraId="031098D9" w14:textId="77777777" w:rsidR="00375569" w:rsidRPr="00C24578" w:rsidRDefault="00375569" w:rsidP="00074FF7">
            <w:pPr>
              <w:pStyle w:val="08-Tabelageral"/>
              <w:keepLines w:val="0"/>
            </w:pPr>
            <w:r>
              <w:t>--</w:t>
            </w:r>
          </w:p>
        </w:tc>
        <w:tc>
          <w:tcPr>
            <w:tcW w:w="1224" w:type="dxa"/>
            <w:tcBorders>
              <w:top w:val="single" w:sz="2" w:space="0" w:color="1F4E79" w:themeColor="accent1" w:themeShade="80"/>
            </w:tcBorders>
            <w:shd w:val="clear" w:color="auto" w:fill="auto"/>
            <w:noWrap/>
            <w:hideMark/>
          </w:tcPr>
          <w:p w14:paraId="2EC4758E" w14:textId="77777777" w:rsidR="00375569" w:rsidRPr="00C24578" w:rsidRDefault="00375569" w:rsidP="00074FF7">
            <w:pPr>
              <w:pStyle w:val="08-Tabelageral"/>
              <w:keepLines w:val="0"/>
            </w:pPr>
            <w:r>
              <w:t>3.948</w:t>
            </w:r>
          </w:p>
        </w:tc>
      </w:tr>
      <w:tr w:rsidR="00375569" w:rsidRPr="00ED0236" w14:paraId="218FAC34" w14:textId="77777777" w:rsidTr="00074FF7">
        <w:trPr>
          <w:trHeight w:val="238"/>
          <w:jc w:val="center"/>
        </w:trPr>
        <w:tc>
          <w:tcPr>
            <w:tcW w:w="2296" w:type="dxa"/>
            <w:shd w:val="clear" w:color="auto" w:fill="auto"/>
            <w:noWrap/>
            <w:hideMark/>
          </w:tcPr>
          <w:p w14:paraId="122D1941" w14:textId="77777777" w:rsidR="00375569" w:rsidRPr="00ED0236" w:rsidRDefault="00375569" w:rsidP="00074FF7">
            <w:pPr>
              <w:pStyle w:val="08-Tabelageral"/>
              <w:keepLines w:val="0"/>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672E8BA2" w14:textId="77777777" w:rsidR="00375569" w:rsidRPr="00C24578" w:rsidRDefault="00375569" w:rsidP="00074FF7">
            <w:pPr>
              <w:pStyle w:val="08-Tabelageral"/>
            </w:pPr>
            <w:r>
              <w:t>369.342</w:t>
            </w:r>
          </w:p>
        </w:tc>
        <w:tc>
          <w:tcPr>
            <w:tcW w:w="1224" w:type="dxa"/>
            <w:tcBorders>
              <w:top w:val="nil"/>
              <w:left w:val="nil"/>
              <w:right w:val="nil"/>
            </w:tcBorders>
            <w:shd w:val="clear" w:color="auto" w:fill="auto"/>
            <w:noWrap/>
            <w:vAlign w:val="bottom"/>
          </w:tcPr>
          <w:p w14:paraId="7FAFA874" w14:textId="77777777" w:rsidR="00375569" w:rsidRPr="00C24578" w:rsidRDefault="00375569" w:rsidP="00074FF7">
            <w:pPr>
              <w:pStyle w:val="08-Tabelageral"/>
            </w:pPr>
            <w:r>
              <w:t>--</w:t>
            </w:r>
          </w:p>
        </w:tc>
        <w:tc>
          <w:tcPr>
            <w:tcW w:w="1224" w:type="dxa"/>
            <w:tcBorders>
              <w:top w:val="nil"/>
              <w:left w:val="nil"/>
              <w:right w:val="nil"/>
            </w:tcBorders>
            <w:shd w:val="clear" w:color="auto" w:fill="auto"/>
            <w:noWrap/>
            <w:vAlign w:val="bottom"/>
          </w:tcPr>
          <w:p w14:paraId="10DE6BD8" w14:textId="77777777" w:rsidR="00375569" w:rsidRPr="00C24578" w:rsidRDefault="00375569" w:rsidP="00074FF7">
            <w:pPr>
              <w:pStyle w:val="08-Tabelageral"/>
            </w:pPr>
            <w:r>
              <w:t>369.342</w:t>
            </w:r>
          </w:p>
        </w:tc>
        <w:tc>
          <w:tcPr>
            <w:tcW w:w="1223" w:type="dxa"/>
            <w:shd w:val="clear" w:color="auto" w:fill="auto"/>
            <w:noWrap/>
            <w:hideMark/>
          </w:tcPr>
          <w:p w14:paraId="3FDC0121" w14:textId="77777777" w:rsidR="00375569" w:rsidRPr="00C24578" w:rsidRDefault="00375569" w:rsidP="00074FF7">
            <w:pPr>
              <w:pStyle w:val="08-Tabelageral"/>
              <w:keepLines w:val="0"/>
            </w:pPr>
            <w:r>
              <w:t>208.893</w:t>
            </w:r>
          </w:p>
        </w:tc>
        <w:tc>
          <w:tcPr>
            <w:tcW w:w="1224" w:type="dxa"/>
            <w:shd w:val="clear" w:color="auto" w:fill="auto"/>
            <w:noWrap/>
            <w:hideMark/>
          </w:tcPr>
          <w:p w14:paraId="762429A6" w14:textId="77777777" w:rsidR="00375569" w:rsidRPr="00C24578" w:rsidRDefault="00375569" w:rsidP="00074FF7">
            <w:pPr>
              <w:pStyle w:val="08-Tabelageral"/>
              <w:keepLines w:val="0"/>
            </w:pPr>
            <w:r>
              <w:t>--</w:t>
            </w:r>
          </w:p>
        </w:tc>
        <w:tc>
          <w:tcPr>
            <w:tcW w:w="1224" w:type="dxa"/>
            <w:shd w:val="clear" w:color="auto" w:fill="auto"/>
            <w:noWrap/>
            <w:hideMark/>
          </w:tcPr>
          <w:p w14:paraId="645EBD43" w14:textId="77777777" w:rsidR="00375569" w:rsidRPr="00C24578" w:rsidRDefault="00375569" w:rsidP="00074FF7">
            <w:pPr>
              <w:pStyle w:val="08-Tabelageral"/>
              <w:keepLines w:val="0"/>
            </w:pPr>
            <w:r>
              <w:t>208.893</w:t>
            </w:r>
          </w:p>
        </w:tc>
      </w:tr>
      <w:tr w:rsidR="00375569" w:rsidRPr="00ED0236" w14:paraId="38F74EDC" w14:textId="77777777" w:rsidTr="00074FF7">
        <w:trPr>
          <w:trHeight w:val="238"/>
          <w:jc w:val="center"/>
        </w:trPr>
        <w:tc>
          <w:tcPr>
            <w:tcW w:w="2296" w:type="dxa"/>
            <w:tcBorders>
              <w:bottom w:val="single" w:sz="2" w:space="0" w:color="1F4E79" w:themeColor="accent1" w:themeShade="80"/>
            </w:tcBorders>
            <w:shd w:val="clear" w:color="auto" w:fill="auto"/>
            <w:noWrap/>
            <w:hideMark/>
          </w:tcPr>
          <w:p w14:paraId="1FCDF9D8" w14:textId="77777777" w:rsidR="00375569" w:rsidRPr="00ED0236" w:rsidRDefault="00375569" w:rsidP="00074FF7">
            <w:pPr>
              <w:pStyle w:val="08-Tabelageral"/>
              <w:keepLines w:val="0"/>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3BF69ABA" w14:textId="77777777" w:rsidR="00375569" w:rsidRPr="00ED0236" w:rsidRDefault="00375569" w:rsidP="0098428F">
            <w:pPr>
              <w:pStyle w:val="08-Tabelageral"/>
              <w:rPr>
                <w:rFonts w:cs="Arial"/>
                <w:b/>
              </w:rPr>
            </w:pPr>
            <w:r>
              <w:rPr>
                <w:rFonts w:cs="Arial"/>
                <w:b/>
              </w:rPr>
              <w:t>383.353</w:t>
            </w:r>
          </w:p>
        </w:tc>
        <w:tc>
          <w:tcPr>
            <w:tcW w:w="1224" w:type="dxa"/>
            <w:tcBorders>
              <w:top w:val="nil"/>
              <w:left w:val="nil"/>
              <w:bottom w:val="single" w:sz="2" w:space="0" w:color="1F4E79" w:themeColor="accent1" w:themeShade="80"/>
              <w:right w:val="nil"/>
            </w:tcBorders>
            <w:shd w:val="clear" w:color="auto" w:fill="auto"/>
            <w:noWrap/>
            <w:vAlign w:val="bottom"/>
          </w:tcPr>
          <w:p w14:paraId="7E9AA171" w14:textId="77777777" w:rsidR="00375569" w:rsidRPr="00ED0236" w:rsidRDefault="00375569" w:rsidP="00074FF7">
            <w:pPr>
              <w:pStyle w:val="08-Tabelageral"/>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tcPr>
          <w:p w14:paraId="0D305E05" w14:textId="77777777" w:rsidR="00375569" w:rsidRPr="00ED0236" w:rsidRDefault="00375569" w:rsidP="0098428F">
            <w:pPr>
              <w:pStyle w:val="08-Tabelageral"/>
              <w:rPr>
                <w:rFonts w:cs="Arial"/>
                <w:b/>
              </w:rPr>
            </w:pPr>
            <w:r>
              <w:rPr>
                <w:rFonts w:cs="Arial"/>
                <w:b/>
              </w:rPr>
              <w:t>383.353</w:t>
            </w:r>
          </w:p>
        </w:tc>
        <w:tc>
          <w:tcPr>
            <w:tcW w:w="1223" w:type="dxa"/>
            <w:tcBorders>
              <w:bottom w:val="single" w:sz="2" w:space="0" w:color="1F4E79" w:themeColor="accent1" w:themeShade="80"/>
            </w:tcBorders>
            <w:shd w:val="clear" w:color="auto" w:fill="auto"/>
            <w:noWrap/>
            <w:hideMark/>
          </w:tcPr>
          <w:p w14:paraId="1393A3EF" w14:textId="77777777" w:rsidR="00375569" w:rsidRPr="00ED0236" w:rsidRDefault="00375569" w:rsidP="00074FF7">
            <w:pPr>
              <w:pStyle w:val="08-Tabelageral"/>
              <w:keepLines w:val="0"/>
              <w:rPr>
                <w:rFonts w:cs="Arial"/>
                <w:b/>
              </w:rPr>
            </w:pPr>
            <w:r>
              <w:rPr>
                <w:rFonts w:cs="Arial"/>
                <w:b/>
              </w:rPr>
              <w:t>212.841</w:t>
            </w:r>
          </w:p>
        </w:tc>
        <w:tc>
          <w:tcPr>
            <w:tcW w:w="1224" w:type="dxa"/>
            <w:tcBorders>
              <w:bottom w:val="single" w:sz="2" w:space="0" w:color="1F4E79" w:themeColor="accent1" w:themeShade="80"/>
            </w:tcBorders>
            <w:shd w:val="clear" w:color="auto" w:fill="auto"/>
            <w:noWrap/>
            <w:hideMark/>
          </w:tcPr>
          <w:p w14:paraId="2204D18E" w14:textId="77777777" w:rsidR="00375569" w:rsidRPr="00ED0236" w:rsidRDefault="00375569" w:rsidP="00074FF7">
            <w:pPr>
              <w:pStyle w:val="08-Tabelageral"/>
              <w:keepLines w:val="0"/>
              <w:rPr>
                <w:rFonts w:cs="Arial"/>
                <w:b/>
              </w:rPr>
            </w:pPr>
            <w:r>
              <w:rPr>
                <w:rFonts w:cs="Arial"/>
                <w:b/>
              </w:rPr>
              <w:t>--</w:t>
            </w:r>
          </w:p>
        </w:tc>
        <w:tc>
          <w:tcPr>
            <w:tcW w:w="1224" w:type="dxa"/>
            <w:tcBorders>
              <w:bottom w:val="single" w:sz="2" w:space="0" w:color="1F4E79" w:themeColor="accent1" w:themeShade="80"/>
            </w:tcBorders>
            <w:shd w:val="clear" w:color="auto" w:fill="auto"/>
            <w:noWrap/>
            <w:hideMark/>
          </w:tcPr>
          <w:p w14:paraId="2DE8043C" w14:textId="77777777" w:rsidR="00375569" w:rsidRPr="00ED0236" w:rsidRDefault="00375569" w:rsidP="00074FF7">
            <w:pPr>
              <w:pStyle w:val="08-Tabelageral"/>
              <w:keepLines w:val="0"/>
              <w:rPr>
                <w:rFonts w:cs="Arial"/>
                <w:b/>
              </w:rPr>
            </w:pPr>
            <w:r>
              <w:rPr>
                <w:rFonts w:cs="Arial"/>
                <w:b/>
              </w:rPr>
              <w:t>212.841</w:t>
            </w:r>
          </w:p>
        </w:tc>
      </w:tr>
    </w:tbl>
    <w:p w14:paraId="02991854" w14:textId="77777777" w:rsidR="00375569" w:rsidRPr="00BF079C" w:rsidRDefault="00375569" w:rsidP="00BF079C">
      <w:pPr>
        <w:keepNext/>
        <w:keepLines/>
        <w:spacing w:after="0" w:line="240" w:lineRule="auto"/>
        <w:ind w:right="-1"/>
        <w:rPr>
          <w:rFonts w:cs="Arial"/>
          <w:b/>
          <w:sz w:val="14"/>
          <w:szCs w:val="14"/>
        </w:rPr>
      </w:pPr>
    </w:p>
    <w:p w14:paraId="46471027" w14:textId="77777777" w:rsidR="00375569" w:rsidRPr="00ED0236" w:rsidRDefault="00375569" w:rsidP="00F87438">
      <w:pPr>
        <w:pStyle w:val="PargrafodaLista"/>
        <w:keepNext/>
        <w:keepLines/>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375569" w:rsidRPr="00ED0236" w14:paraId="2E42642F" w14:textId="77777777" w:rsidTr="009A7874">
        <w:trPr>
          <w:trHeight w:val="238"/>
          <w:jc w:val="center"/>
        </w:trPr>
        <w:tc>
          <w:tcPr>
            <w:tcW w:w="2296" w:type="dxa"/>
            <w:tcBorders>
              <w:top w:val="single" w:sz="2" w:space="0" w:color="1F4E79" w:themeColor="accent1" w:themeShade="80"/>
            </w:tcBorders>
            <w:shd w:val="clear" w:color="auto" w:fill="auto"/>
            <w:noWrap/>
            <w:hideMark/>
          </w:tcPr>
          <w:p w14:paraId="2F438682" w14:textId="77777777" w:rsidR="00375569" w:rsidRPr="00ED0236" w:rsidRDefault="00375569" w:rsidP="00215A20">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4C8BE7A4" w14:textId="77777777" w:rsidR="00375569" w:rsidRPr="00ED0236" w:rsidRDefault="00375569" w:rsidP="00215A20">
            <w:pPr>
              <w:pStyle w:val="08-Tabelageral"/>
              <w:jc w:val="center"/>
              <w:rPr>
                <w:rFonts w:cs="Arial"/>
                <w:b/>
              </w:rPr>
            </w:pPr>
            <w:r>
              <w:rPr>
                <w:rFonts w:cs="Arial"/>
                <w:b/>
              </w:rPr>
              <w:t>Consolidado</w:t>
            </w:r>
          </w:p>
        </w:tc>
      </w:tr>
      <w:tr w:rsidR="00375569" w:rsidRPr="00ED0236" w14:paraId="71959FFC" w14:textId="77777777" w:rsidTr="009A7874">
        <w:trPr>
          <w:trHeight w:val="238"/>
          <w:jc w:val="center"/>
        </w:trPr>
        <w:tc>
          <w:tcPr>
            <w:tcW w:w="2296" w:type="dxa"/>
            <w:shd w:val="clear" w:color="auto" w:fill="auto"/>
            <w:noWrap/>
            <w:hideMark/>
          </w:tcPr>
          <w:p w14:paraId="440A1E3D" w14:textId="77777777" w:rsidR="00375569" w:rsidRPr="00ED0236" w:rsidRDefault="00375569" w:rsidP="00215A20">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5336E8B8" w14:textId="77777777" w:rsidR="00375569" w:rsidRPr="00ED0236" w:rsidRDefault="00375569" w:rsidP="00932D71">
            <w:pPr>
              <w:pStyle w:val="08-Tabelageral"/>
              <w:jc w:val="center"/>
              <w:rPr>
                <w:rFonts w:cs="Arial"/>
                <w:b/>
              </w:rPr>
            </w:pPr>
            <w:r>
              <w:rPr>
                <w:rFonts w:cs="Arial"/>
                <w:b/>
              </w:rPr>
              <w:t>31.12.2021</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7C8ABD85" w14:textId="77777777" w:rsidR="00375569" w:rsidRPr="00ED0236" w:rsidRDefault="00375569" w:rsidP="00EB46B6">
            <w:pPr>
              <w:pStyle w:val="08-Tabelageral"/>
              <w:jc w:val="center"/>
              <w:rPr>
                <w:rFonts w:cs="Arial"/>
                <w:b/>
              </w:rPr>
            </w:pPr>
            <w:r>
              <w:rPr>
                <w:rFonts w:cs="Arial"/>
                <w:b/>
              </w:rPr>
              <w:t>31.12.2020</w:t>
            </w:r>
          </w:p>
        </w:tc>
      </w:tr>
      <w:tr w:rsidR="00375569" w:rsidRPr="00ED0236" w14:paraId="1C96C695" w14:textId="77777777" w:rsidTr="003F3BC1">
        <w:trPr>
          <w:trHeight w:val="238"/>
          <w:jc w:val="center"/>
        </w:trPr>
        <w:tc>
          <w:tcPr>
            <w:tcW w:w="2296" w:type="dxa"/>
            <w:tcBorders>
              <w:bottom w:val="single" w:sz="2" w:space="0" w:color="1F4E79" w:themeColor="accent1" w:themeShade="80"/>
            </w:tcBorders>
            <w:shd w:val="clear" w:color="auto" w:fill="auto"/>
            <w:noWrap/>
            <w:hideMark/>
          </w:tcPr>
          <w:p w14:paraId="14276C61" w14:textId="77777777" w:rsidR="00375569" w:rsidRPr="00ED0236" w:rsidRDefault="00375569" w:rsidP="00215A20">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7757305" w14:textId="77777777" w:rsidR="00375569" w:rsidRPr="00ED0236" w:rsidRDefault="00375569" w:rsidP="00215A20">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FCA5FFA" w14:textId="77777777" w:rsidR="00375569" w:rsidRPr="00ED0236" w:rsidRDefault="00375569" w:rsidP="00215A20">
            <w:pPr>
              <w:pStyle w:val="08-Tabelageral"/>
              <w:rPr>
                <w:rFonts w:cs="Arial"/>
                <w:b/>
              </w:rPr>
            </w:pPr>
            <w:r w:rsidRPr="00ED0236">
              <w:rPr>
                <w:rFonts w:cs="Arial"/>
                <w:b/>
              </w:rPr>
              <w:t>Nível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1D0FFDF" w14:textId="77777777" w:rsidR="00375569" w:rsidRPr="00ED0236" w:rsidRDefault="00375569" w:rsidP="00215A20">
            <w:pPr>
              <w:pStyle w:val="08-Tabelageral"/>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19F4BFD7" w14:textId="77777777" w:rsidR="00375569" w:rsidRPr="00ED0236" w:rsidRDefault="00375569" w:rsidP="00215A20">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5D706CED" w14:textId="77777777" w:rsidR="00375569" w:rsidRPr="00ED0236" w:rsidRDefault="00375569" w:rsidP="00215A20">
            <w:pPr>
              <w:pStyle w:val="08-Tabelageral"/>
              <w:rPr>
                <w:rFonts w:cs="Arial"/>
                <w:b/>
              </w:rPr>
            </w:pPr>
            <w:r w:rsidRPr="00ED0236">
              <w:rPr>
                <w:rFonts w:cs="Arial"/>
                <w:b/>
              </w:rPr>
              <w:t>Nível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D0FA76D" w14:textId="77777777" w:rsidR="00375569" w:rsidRPr="00ED0236" w:rsidRDefault="00375569" w:rsidP="00215A20">
            <w:pPr>
              <w:pStyle w:val="08-Tabelageral"/>
              <w:rPr>
                <w:rFonts w:cs="Arial"/>
                <w:b/>
              </w:rPr>
            </w:pPr>
            <w:r w:rsidRPr="00ED0236">
              <w:rPr>
                <w:rFonts w:cs="Arial"/>
                <w:b/>
              </w:rPr>
              <w:t>Total</w:t>
            </w:r>
          </w:p>
        </w:tc>
      </w:tr>
      <w:tr w:rsidR="00375569" w:rsidRPr="00ED0236" w14:paraId="79FEC46F" w14:textId="77777777" w:rsidTr="003F3BC1">
        <w:trPr>
          <w:trHeight w:val="238"/>
          <w:jc w:val="center"/>
        </w:trPr>
        <w:tc>
          <w:tcPr>
            <w:tcW w:w="2296" w:type="dxa"/>
            <w:tcBorders>
              <w:top w:val="single" w:sz="2" w:space="0" w:color="1F4E79" w:themeColor="accent1" w:themeShade="80"/>
            </w:tcBorders>
            <w:shd w:val="clear" w:color="auto" w:fill="auto"/>
            <w:noWrap/>
            <w:hideMark/>
          </w:tcPr>
          <w:p w14:paraId="5F4D0EA1" w14:textId="77777777" w:rsidR="00375569" w:rsidRPr="00ED0236" w:rsidRDefault="00375569" w:rsidP="003F3BC1">
            <w:pPr>
              <w:pStyle w:val="08-Tabelageral"/>
              <w:ind w:left="113"/>
              <w:jc w:val="left"/>
              <w:rPr>
                <w:rFonts w:cs="Arial"/>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p>
        </w:tc>
        <w:tc>
          <w:tcPr>
            <w:tcW w:w="1224" w:type="dxa"/>
            <w:tcBorders>
              <w:top w:val="single" w:sz="2" w:space="0" w:color="1F4E79" w:themeColor="accent1" w:themeShade="80"/>
              <w:left w:val="nil"/>
              <w:bottom w:val="nil"/>
              <w:right w:val="nil"/>
            </w:tcBorders>
            <w:shd w:val="clear" w:color="auto" w:fill="auto"/>
            <w:noWrap/>
            <w:vAlign w:val="bottom"/>
          </w:tcPr>
          <w:p w14:paraId="2A3721CA" w14:textId="77777777" w:rsidR="00375569" w:rsidRPr="00C24578" w:rsidRDefault="00375569" w:rsidP="003F3BC1">
            <w:pPr>
              <w:pStyle w:val="08-Tabelageral"/>
            </w:pPr>
            <w:r>
              <w:t>14.011</w:t>
            </w:r>
          </w:p>
        </w:tc>
        <w:tc>
          <w:tcPr>
            <w:tcW w:w="1224" w:type="dxa"/>
            <w:tcBorders>
              <w:top w:val="single" w:sz="2" w:space="0" w:color="1F4E79" w:themeColor="accent1" w:themeShade="80"/>
              <w:left w:val="nil"/>
              <w:bottom w:val="nil"/>
              <w:right w:val="nil"/>
            </w:tcBorders>
            <w:shd w:val="clear" w:color="auto" w:fill="auto"/>
            <w:noWrap/>
            <w:vAlign w:val="bottom"/>
          </w:tcPr>
          <w:p w14:paraId="2017FA0F" w14:textId="77777777" w:rsidR="00375569" w:rsidRPr="00C24578" w:rsidRDefault="00375569" w:rsidP="003F3BC1">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52E0C35A" w14:textId="77777777" w:rsidR="00375569" w:rsidRPr="00C24578" w:rsidRDefault="00375569" w:rsidP="003F3BC1">
            <w:pPr>
              <w:pStyle w:val="08-Tabelageral"/>
            </w:pPr>
            <w:r>
              <w:t>14.011</w:t>
            </w:r>
          </w:p>
        </w:tc>
        <w:tc>
          <w:tcPr>
            <w:tcW w:w="1223" w:type="dxa"/>
            <w:tcBorders>
              <w:top w:val="single" w:sz="2" w:space="0" w:color="1F4E79" w:themeColor="accent1" w:themeShade="80"/>
            </w:tcBorders>
            <w:shd w:val="clear" w:color="auto" w:fill="auto"/>
            <w:noWrap/>
          </w:tcPr>
          <w:p w14:paraId="13B32C7D" w14:textId="77777777" w:rsidR="00375569" w:rsidRPr="00C24578" w:rsidRDefault="00375569" w:rsidP="003F3BC1">
            <w:pPr>
              <w:pStyle w:val="08-Tabelageral"/>
            </w:pPr>
            <w:r>
              <w:t>4.986</w:t>
            </w:r>
          </w:p>
        </w:tc>
        <w:tc>
          <w:tcPr>
            <w:tcW w:w="1224" w:type="dxa"/>
            <w:tcBorders>
              <w:top w:val="single" w:sz="2" w:space="0" w:color="1F4E79" w:themeColor="accent1" w:themeShade="80"/>
            </w:tcBorders>
            <w:shd w:val="clear" w:color="auto" w:fill="auto"/>
            <w:noWrap/>
          </w:tcPr>
          <w:p w14:paraId="5BBE7440" w14:textId="77777777" w:rsidR="00375569" w:rsidRPr="00C24578" w:rsidRDefault="00375569" w:rsidP="003F3BC1">
            <w:pPr>
              <w:pStyle w:val="08-Tabelageral"/>
            </w:pPr>
            <w:r>
              <w:t>--</w:t>
            </w:r>
          </w:p>
        </w:tc>
        <w:tc>
          <w:tcPr>
            <w:tcW w:w="1224" w:type="dxa"/>
            <w:tcBorders>
              <w:top w:val="single" w:sz="2" w:space="0" w:color="1F4E79" w:themeColor="accent1" w:themeShade="80"/>
            </w:tcBorders>
            <w:shd w:val="clear" w:color="auto" w:fill="auto"/>
            <w:noWrap/>
          </w:tcPr>
          <w:p w14:paraId="347EA7F9" w14:textId="77777777" w:rsidR="00375569" w:rsidRPr="00C24578" w:rsidRDefault="00375569" w:rsidP="003F3BC1">
            <w:pPr>
              <w:pStyle w:val="08-Tabelageral"/>
            </w:pPr>
            <w:r>
              <w:t>4.986</w:t>
            </w:r>
          </w:p>
        </w:tc>
      </w:tr>
      <w:tr w:rsidR="00375569" w:rsidRPr="00ED0236" w14:paraId="1821D0DE" w14:textId="77777777" w:rsidTr="003F3BC1">
        <w:trPr>
          <w:trHeight w:val="238"/>
          <w:jc w:val="center"/>
        </w:trPr>
        <w:tc>
          <w:tcPr>
            <w:tcW w:w="2296" w:type="dxa"/>
            <w:shd w:val="clear" w:color="auto" w:fill="auto"/>
            <w:noWrap/>
            <w:hideMark/>
          </w:tcPr>
          <w:p w14:paraId="3DC2D361" w14:textId="77777777" w:rsidR="00375569" w:rsidRPr="00ED0236" w:rsidRDefault="00375569" w:rsidP="003F3BC1">
            <w:pPr>
              <w:pStyle w:val="08-Tabelageral"/>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bottom w:val="nil"/>
              <w:right w:val="nil"/>
            </w:tcBorders>
            <w:shd w:val="clear" w:color="auto" w:fill="auto"/>
            <w:noWrap/>
            <w:vAlign w:val="bottom"/>
          </w:tcPr>
          <w:p w14:paraId="76341038" w14:textId="77777777" w:rsidR="00375569" w:rsidRPr="00C24578" w:rsidRDefault="00375569" w:rsidP="003F3BC1">
            <w:pPr>
              <w:pStyle w:val="08-Tabelageral"/>
            </w:pPr>
            <w:r>
              <w:t>4.090.560</w:t>
            </w:r>
          </w:p>
        </w:tc>
        <w:tc>
          <w:tcPr>
            <w:tcW w:w="1224" w:type="dxa"/>
            <w:tcBorders>
              <w:top w:val="nil"/>
              <w:left w:val="nil"/>
              <w:bottom w:val="nil"/>
              <w:right w:val="nil"/>
            </w:tcBorders>
            <w:shd w:val="clear" w:color="auto" w:fill="auto"/>
            <w:noWrap/>
            <w:vAlign w:val="bottom"/>
          </w:tcPr>
          <w:p w14:paraId="465F2855" w14:textId="77777777" w:rsidR="00375569" w:rsidRPr="00C24578" w:rsidRDefault="00375569" w:rsidP="003F3BC1">
            <w:pPr>
              <w:pStyle w:val="08-Tabelageral"/>
            </w:pPr>
            <w:r>
              <w:t>--</w:t>
            </w:r>
          </w:p>
        </w:tc>
        <w:tc>
          <w:tcPr>
            <w:tcW w:w="1224" w:type="dxa"/>
            <w:tcBorders>
              <w:top w:val="nil"/>
              <w:left w:val="nil"/>
              <w:bottom w:val="nil"/>
              <w:right w:val="nil"/>
            </w:tcBorders>
            <w:shd w:val="clear" w:color="auto" w:fill="auto"/>
            <w:noWrap/>
            <w:vAlign w:val="bottom"/>
          </w:tcPr>
          <w:p w14:paraId="4B9B259C" w14:textId="77777777" w:rsidR="00375569" w:rsidRPr="00C24578" w:rsidRDefault="00375569" w:rsidP="003F3BC1">
            <w:pPr>
              <w:pStyle w:val="08-Tabelageral"/>
            </w:pPr>
            <w:r>
              <w:t>4.090.560</w:t>
            </w:r>
          </w:p>
        </w:tc>
        <w:tc>
          <w:tcPr>
            <w:tcW w:w="1223" w:type="dxa"/>
            <w:shd w:val="clear" w:color="auto" w:fill="auto"/>
            <w:noWrap/>
          </w:tcPr>
          <w:p w14:paraId="19FEBE9F" w14:textId="77777777" w:rsidR="00375569" w:rsidRPr="00C24578" w:rsidRDefault="00375569" w:rsidP="003F3BC1">
            <w:pPr>
              <w:pStyle w:val="08-Tabelageral"/>
            </w:pPr>
            <w:r>
              <w:t>2.195.445</w:t>
            </w:r>
          </w:p>
        </w:tc>
        <w:tc>
          <w:tcPr>
            <w:tcW w:w="1224" w:type="dxa"/>
            <w:shd w:val="clear" w:color="auto" w:fill="auto"/>
            <w:noWrap/>
          </w:tcPr>
          <w:p w14:paraId="5CE39148" w14:textId="77777777" w:rsidR="00375569" w:rsidRPr="00C24578" w:rsidRDefault="00375569" w:rsidP="003F3BC1">
            <w:pPr>
              <w:pStyle w:val="08-Tabelageral"/>
            </w:pPr>
            <w:r>
              <w:t>--</w:t>
            </w:r>
          </w:p>
        </w:tc>
        <w:tc>
          <w:tcPr>
            <w:tcW w:w="1224" w:type="dxa"/>
            <w:shd w:val="clear" w:color="auto" w:fill="auto"/>
            <w:noWrap/>
          </w:tcPr>
          <w:p w14:paraId="214967DA" w14:textId="77777777" w:rsidR="00375569" w:rsidRPr="00C24578" w:rsidRDefault="00375569" w:rsidP="003F3BC1">
            <w:pPr>
              <w:pStyle w:val="08-Tabelageral"/>
            </w:pPr>
            <w:r>
              <w:t>2.195.445</w:t>
            </w:r>
          </w:p>
        </w:tc>
      </w:tr>
      <w:tr w:rsidR="00375569" w:rsidRPr="00ED0236" w14:paraId="3115E630" w14:textId="77777777" w:rsidTr="005B0F60">
        <w:trPr>
          <w:trHeight w:val="238"/>
          <w:jc w:val="center"/>
        </w:trPr>
        <w:tc>
          <w:tcPr>
            <w:tcW w:w="2296" w:type="dxa"/>
            <w:shd w:val="clear" w:color="auto" w:fill="auto"/>
            <w:noWrap/>
          </w:tcPr>
          <w:p w14:paraId="645690BD" w14:textId="77777777" w:rsidR="00375569" w:rsidRPr="00ED0236" w:rsidRDefault="00375569" w:rsidP="003F3BC1">
            <w:pPr>
              <w:pStyle w:val="08-Tabelageral"/>
              <w:ind w:left="113"/>
              <w:jc w:val="left"/>
              <w:rPr>
                <w:rFonts w:cs="Arial"/>
              </w:rPr>
            </w:pPr>
            <w:r>
              <w:rPr>
                <w:rFonts w:cs="Arial"/>
              </w:rPr>
              <w:t>Letras financeiras</w:t>
            </w:r>
          </w:p>
        </w:tc>
        <w:tc>
          <w:tcPr>
            <w:tcW w:w="1224" w:type="dxa"/>
            <w:tcBorders>
              <w:top w:val="nil"/>
              <w:left w:val="nil"/>
              <w:right w:val="nil"/>
            </w:tcBorders>
            <w:shd w:val="clear" w:color="auto" w:fill="auto"/>
            <w:noWrap/>
            <w:vAlign w:val="bottom"/>
          </w:tcPr>
          <w:p w14:paraId="67FB966C" w14:textId="77777777" w:rsidR="00375569" w:rsidRPr="00C24578" w:rsidRDefault="00375569" w:rsidP="003F3BC1">
            <w:pPr>
              <w:pStyle w:val="08-Tabelageral"/>
            </w:pPr>
            <w:r>
              <w:t>--</w:t>
            </w:r>
          </w:p>
        </w:tc>
        <w:tc>
          <w:tcPr>
            <w:tcW w:w="1224" w:type="dxa"/>
            <w:tcBorders>
              <w:top w:val="nil"/>
              <w:left w:val="nil"/>
              <w:right w:val="nil"/>
            </w:tcBorders>
            <w:shd w:val="clear" w:color="auto" w:fill="auto"/>
            <w:noWrap/>
            <w:vAlign w:val="bottom"/>
          </w:tcPr>
          <w:p w14:paraId="39C69F6D" w14:textId="77777777" w:rsidR="00375569" w:rsidRPr="00C24578" w:rsidRDefault="00375569" w:rsidP="003F3BC1">
            <w:pPr>
              <w:pStyle w:val="08-Tabelageral"/>
            </w:pPr>
            <w:r>
              <w:t>--</w:t>
            </w:r>
          </w:p>
        </w:tc>
        <w:tc>
          <w:tcPr>
            <w:tcW w:w="1224" w:type="dxa"/>
            <w:tcBorders>
              <w:top w:val="nil"/>
              <w:left w:val="nil"/>
              <w:right w:val="nil"/>
            </w:tcBorders>
            <w:shd w:val="clear" w:color="auto" w:fill="auto"/>
            <w:noWrap/>
            <w:vAlign w:val="bottom"/>
          </w:tcPr>
          <w:p w14:paraId="13DEEB8C" w14:textId="77777777" w:rsidR="00375569" w:rsidRPr="00C24578" w:rsidRDefault="00375569" w:rsidP="003F3BC1">
            <w:pPr>
              <w:pStyle w:val="08-Tabelageral"/>
            </w:pPr>
            <w:r>
              <w:t>--</w:t>
            </w:r>
          </w:p>
        </w:tc>
        <w:tc>
          <w:tcPr>
            <w:tcW w:w="1223" w:type="dxa"/>
            <w:shd w:val="clear" w:color="auto" w:fill="auto"/>
            <w:noWrap/>
          </w:tcPr>
          <w:p w14:paraId="69FF1041" w14:textId="77777777" w:rsidR="00375569" w:rsidRPr="00C24578" w:rsidRDefault="00375569" w:rsidP="003F3BC1">
            <w:pPr>
              <w:pStyle w:val="08-Tabelageral"/>
            </w:pPr>
            <w:r>
              <w:t>--</w:t>
            </w:r>
          </w:p>
        </w:tc>
        <w:tc>
          <w:tcPr>
            <w:tcW w:w="1224" w:type="dxa"/>
            <w:shd w:val="clear" w:color="auto" w:fill="auto"/>
            <w:noWrap/>
          </w:tcPr>
          <w:p w14:paraId="791F88DE" w14:textId="77777777" w:rsidR="00375569" w:rsidRPr="00C24578" w:rsidRDefault="00375569" w:rsidP="003F3BC1">
            <w:pPr>
              <w:pStyle w:val="08-Tabelageral"/>
            </w:pPr>
            <w:r>
              <w:t>448.407</w:t>
            </w:r>
          </w:p>
        </w:tc>
        <w:tc>
          <w:tcPr>
            <w:tcW w:w="1224" w:type="dxa"/>
            <w:shd w:val="clear" w:color="auto" w:fill="auto"/>
            <w:noWrap/>
          </w:tcPr>
          <w:p w14:paraId="49D2A522" w14:textId="77777777" w:rsidR="00375569" w:rsidRPr="00C24578" w:rsidRDefault="00375569" w:rsidP="003F3BC1">
            <w:pPr>
              <w:pStyle w:val="08-Tabelageral"/>
            </w:pPr>
            <w:r>
              <w:t>448.407</w:t>
            </w:r>
          </w:p>
        </w:tc>
      </w:tr>
      <w:tr w:rsidR="00375569" w:rsidRPr="00ED0236" w14:paraId="0159365C" w14:textId="77777777" w:rsidTr="003F3BC1">
        <w:trPr>
          <w:trHeight w:val="238"/>
          <w:jc w:val="center"/>
        </w:trPr>
        <w:tc>
          <w:tcPr>
            <w:tcW w:w="2296" w:type="dxa"/>
            <w:tcBorders>
              <w:bottom w:val="single" w:sz="2" w:space="0" w:color="1F4E79" w:themeColor="accent1" w:themeShade="80"/>
            </w:tcBorders>
            <w:shd w:val="clear" w:color="auto" w:fill="auto"/>
            <w:noWrap/>
            <w:hideMark/>
          </w:tcPr>
          <w:p w14:paraId="302C9B4D" w14:textId="77777777" w:rsidR="00375569" w:rsidRPr="00ED0236" w:rsidRDefault="00375569" w:rsidP="003F3BC1">
            <w:pPr>
              <w:pStyle w:val="08-Tabelageral"/>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3A4EA6F9" w14:textId="77777777" w:rsidR="00375569" w:rsidRPr="00ED0236" w:rsidRDefault="00375569" w:rsidP="004518CA">
            <w:pPr>
              <w:pStyle w:val="08-Tabelageral"/>
              <w:rPr>
                <w:rFonts w:cs="Arial"/>
                <w:b/>
              </w:rPr>
            </w:pPr>
            <w:r>
              <w:rPr>
                <w:rFonts w:cs="Arial"/>
                <w:b/>
              </w:rPr>
              <w:t>4.104.571</w:t>
            </w:r>
          </w:p>
        </w:tc>
        <w:tc>
          <w:tcPr>
            <w:tcW w:w="1224" w:type="dxa"/>
            <w:tcBorders>
              <w:top w:val="nil"/>
              <w:left w:val="nil"/>
              <w:bottom w:val="single" w:sz="2" w:space="0" w:color="1F4E79" w:themeColor="accent1" w:themeShade="80"/>
              <w:right w:val="nil"/>
            </w:tcBorders>
            <w:shd w:val="clear" w:color="auto" w:fill="auto"/>
            <w:noWrap/>
            <w:vAlign w:val="bottom"/>
          </w:tcPr>
          <w:p w14:paraId="76687BAA" w14:textId="77777777" w:rsidR="00375569" w:rsidRPr="00ED0236" w:rsidRDefault="00375569" w:rsidP="003F3BC1">
            <w:pPr>
              <w:pStyle w:val="08-Tabelageral"/>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tcPr>
          <w:p w14:paraId="215D2777" w14:textId="77777777" w:rsidR="00375569" w:rsidRPr="00ED0236" w:rsidRDefault="00375569" w:rsidP="004518CA">
            <w:pPr>
              <w:pStyle w:val="08-Tabelageral"/>
              <w:rPr>
                <w:rFonts w:cs="Arial"/>
                <w:b/>
              </w:rPr>
            </w:pPr>
            <w:r>
              <w:rPr>
                <w:rFonts w:cs="Arial"/>
                <w:b/>
              </w:rPr>
              <w:t>4.104.571</w:t>
            </w:r>
          </w:p>
        </w:tc>
        <w:tc>
          <w:tcPr>
            <w:tcW w:w="1223" w:type="dxa"/>
            <w:tcBorders>
              <w:bottom w:val="single" w:sz="2" w:space="0" w:color="1F4E79" w:themeColor="accent1" w:themeShade="80"/>
            </w:tcBorders>
            <w:shd w:val="clear" w:color="auto" w:fill="auto"/>
            <w:noWrap/>
          </w:tcPr>
          <w:p w14:paraId="0DBFB9B4" w14:textId="77777777" w:rsidR="00375569" w:rsidRPr="00ED0236" w:rsidRDefault="00375569" w:rsidP="003F3BC1">
            <w:pPr>
              <w:pStyle w:val="08-Tabelageral"/>
              <w:rPr>
                <w:rFonts w:cs="Arial"/>
                <w:b/>
              </w:rPr>
            </w:pPr>
            <w:r>
              <w:rPr>
                <w:rFonts w:cs="Arial"/>
                <w:b/>
              </w:rPr>
              <w:t>2.200.431</w:t>
            </w:r>
          </w:p>
        </w:tc>
        <w:tc>
          <w:tcPr>
            <w:tcW w:w="1224" w:type="dxa"/>
            <w:tcBorders>
              <w:bottom w:val="single" w:sz="2" w:space="0" w:color="1F4E79" w:themeColor="accent1" w:themeShade="80"/>
            </w:tcBorders>
            <w:shd w:val="clear" w:color="auto" w:fill="auto"/>
            <w:noWrap/>
          </w:tcPr>
          <w:p w14:paraId="0F43EE15" w14:textId="77777777" w:rsidR="00375569" w:rsidRPr="00ED0236" w:rsidRDefault="00375569" w:rsidP="003F3BC1">
            <w:pPr>
              <w:pStyle w:val="08-Tabelageral"/>
              <w:rPr>
                <w:rFonts w:cs="Arial"/>
                <w:b/>
              </w:rPr>
            </w:pPr>
            <w:r>
              <w:rPr>
                <w:rFonts w:cs="Arial"/>
                <w:b/>
              </w:rPr>
              <w:t>448.407</w:t>
            </w:r>
          </w:p>
        </w:tc>
        <w:tc>
          <w:tcPr>
            <w:tcW w:w="1224" w:type="dxa"/>
            <w:tcBorders>
              <w:bottom w:val="single" w:sz="2" w:space="0" w:color="1F4E79" w:themeColor="accent1" w:themeShade="80"/>
            </w:tcBorders>
            <w:shd w:val="clear" w:color="auto" w:fill="auto"/>
            <w:noWrap/>
          </w:tcPr>
          <w:p w14:paraId="3C115E3E" w14:textId="77777777" w:rsidR="00375569" w:rsidRPr="00ED0236" w:rsidRDefault="00375569" w:rsidP="003F3BC1">
            <w:pPr>
              <w:pStyle w:val="08-Tabelageral"/>
              <w:rPr>
                <w:rFonts w:cs="Arial"/>
                <w:b/>
              </w:rPr>
            </w:pPr>
            <w:r>
              <w:rPr>
                <w:rFonts w:cs="Arial"/>
                <w:b/>
              </w:rPr>
              <w:t>2.648.838</w:t>
            </w:r>
          </w:p>
        </w:tc>
      </w:tr>
    </w:tbl>
    <w:p w14:paraId="568725FC" w14:textId="77777777" w:rsidR="00375569" w:rsidRPr="00725333" w:rsidRDefault="00375569" w:rsidP="00BF079C">
      <w:pPr>
        <w:keepNext/>
        <w:keepLines/>
        <w:spacing w:after="0"/>
        <w:rPr>
          <w:rFonts w:cs="Arial"/>
          <w:b/>
          <w:szCs w:val="18"/>
        </w:rPr>
      </w:pPr>
    </w:p>
    <w:p w14:paraId="64F614E8" w14:textId="1A61675D" w:rsidR="00375569" w:rsidRPr="00725333" w:rsidRDefault="00375569" w:rsidP="00725333">
      <w:pPr>
        <w:pStyle w:val="02-TtulodeNota"/>
        <w:rPr>
          <w:color w:val="1F4E79" w:themeColor="accent1" w:themeShade="80"/>
        </w:rPr>
      </w:pPr>
      <w:bookmarkStart w:id="92" w:name="_Toc94861075"/>
      <w:bookmarkEnd w:id="90"/>
      <w:r w:rsidRPr="00725333">
        <w:rPr>
          <w:color w:val="1F4E79" w:themeColor="accent1" w:themeShade="80"/>
        </w:rPr>
        <w:t>17 – DIVIDENDOS / JUROS SOBRE CAPITAL PRÓPRIO A RECEBER</w:t>
      </w:r>
      <w:bookmarkEnd w:id="92"/>
    </w:p>
    <w:p w14:paraId="4F8CE5CB" w14:textId="77777777" w:rsidR="00375569" w:rsidRPr="004C6ED9" w:rsidRDefault="00375569" w:rsidP="0043555A">
      <w:pPr>
        <w:pStyle w:val="01-TtulodeNota"/>
        <w:spacing w:before="0" w:after="0"/>
        <w:jc w:val="right"/>
        <w:rPr>
          <w:sz w:val="14"/>
          <w:szCs w:val="14"/>
        </w:rPr>
      </w:pPr>
      <w:r w:rsidRPr="004C6ED9">
        <w:rPr>
          <w:sz w:val="14"/>
          <w:szCs w:val="14"/>
        </w:rPr>
        <w:t>R$ mil</w:t>
      </w:r>
    </w:p>
    <w:tbl>
      <w:tblPr>
        <w:tblW w:w="9639" w:type="dxa"/>
        <w:jc w:val="center"/>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75569" w:rsidRPr="004C6ED9" w14:paraId="2BFAB540" w14:textId="77777777" w:rsidTr="00725333">
        <w:trPr>
          <w:trHeight w:val="238"/>
          <w:jc w:val="center"/>
        </w:trPr>
        <w:tc>
          <w:tcPr>
            <w:tcW w:w="850" w:type="dxa"/>
            <w:tcBorders>
              <w:bottom w:val="nil"/>
            </w:tcBorders>
            <w:shd w:val="clear" w:color="auto" w:fill="auto"/>
            <w:vAlign w:val="center"/>
          </w:tcPr>
          <w:p w14:paraId="6B586A98" w14:textId="77777777" w:rsidR="00375569" w:rsidRPr="004C6ED9" w:rsidRDefault="00375569" w:rsidP="0079276F">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39FE3EDB" w14:textId="77777777" w:rsidR="00375569" w:rsidRPr="004C6ED9" w:rsidRDefault="00375569" w:rsidP="0079276F">
            <w:pPr>
              <w:keepNext/>
              <w:keepLines/>
              <w:spacing w:before="40" w:after="40"/>
              <w:jc w:val="center"/>
              <w:rPr>
                <w:rFonts w:cs="Arial"/>
                <w:spacing w:val="-2"/>
                <w:sz w:val="14"/>
                <w:szCs w:val="14"/>
              </w:rPr>
            </w:pPr>
          </w:p>
        </w:tc>
        <w:tc>
          <w:tcPr>
            <w:tcW w:w="2823" w:type="dxa"/>
            <w:gridSpan w:val="2"/>
            <w:shd w:val="clear" w:color="auto" w:fill="auto"/>
            <w:vAlign w:val="center"/>
          </w:tcPr>
          <w:p w14:paraId="69BE384A" w14:textId="77777777" w:rsidR="00375569" w:rsidRPr="0079276F" w:rsidRDefault="00375569" w:rsidP="0079276F">
            <w:pPr>
              <w:keepNext/>
              <w:keepLines/>
              <w:spacing w:before="40" w:after="40"/>
              <w:jc w:val="center"/>
              <w:rPr>
                <w:rFonts w:cs="Arial"/>
                <w:b/>
                <w:spacing w:val="-2"/>
                <w:sz w:val="14"/>
                <w:szCs w:val="14"/>
                <w:vertAlign w:val="superscript"/>
              </w:rPr>
            </w:pPr>
            <w:r w:rsidRPr="0079276F">
              <w:rPr>
                <w:rFonts w:cs="Arial"/>
                <w:b/>
                <w:spacing w:val="-2"/>
                <w:sz w:val="14"/>
                <w:szCs w:val="14"/>
              </w:rPr>
              <w:t>Controlador</w:t>
            </w:r>
          </w:p>
        </w:tc>
        <w:tc>
          <w:tcPr>
            <w:tcW w:w="283" w:type="dxa"/>
            <w:shd w:val="clear" w:color="auto" w:fill="auto"/>
            <w:vAlign w:val="center"/>
          </w:tcPr>
          <w:p w14:paraId="41825BD4" w14:textId="77777777" w:rsidR="00375569" w:rsidRPr="0079276F" w:rsidRDefault="00375569" w:rsidP="0079276F">
            <w:pPr>
              <w:keepNext/>
              <w:keepLines/>
              <w:spacing w:before="40" w:after="40"/>
              <w:jc w:val="center"/>
              <w:rPr>
                <w:rFonts w:cs="Arial"/>
                <w:b/>
                <w:bCs/>
                <w:spacing w:val="-2"/>
                <w:sz w:val="14"/>
                <w:szCs w:val="14"/>
              </w:rPr>
            </w:pPr>
          </w:p>
        </w:tc>
        <w:tc>
          <w:tcPr>
            <w:tcW w:w="2835" w:type="dxa"/>
            <w:gridSpan w:val="2"/>
            <w:shd w:val="clear" w:color="auto" w:fill="auto"/>
            <w:vAlign w:val="center"/>
          </w:tcPr>
          <w:p w14:paraId="4109B1E7" w14:textId="77777777" w:rsidR="00375569" w:rsidRPr="0079276F" w:rsidRDefault="00375569" w:rsidP="0079276F">
            <w:pPr>
              <w:keepNext/>
              <w:keepLines/>
              <w:spacing w:before="40" w:after="40"/>
              <w:jc w:val="center"/>
              <w:rPr>
                <w:rFonts w:cs="Arial"/>
                <w:b/>
                <w:spacing w:val="-2"/>
                <w:sz w:val="14"/>
                <w:szCs w:val="14"/>
                <w:vertAlign w:val="superscript"/>
              </w:rPr>
            </w:pPr>
            <w:r w:rsidRPr="0079276F">
              <w:rPr>
                <w:rFonts w:cs="Arial"/>
                <w:b/>
                <w:spacing w:val="-2"/>
                <w:sz w:val="14"/>
                <w:szCs w:val="14"/>
              </w:rPr>
              <w:t>Consolidado</w:t>
            </w:r>
          </w:p>
        </w:tc>
      </w:tr>
      <w:tr w:rsidR="00375569" w:rsidRPr="004C6ED9" w14:paraId="65B939CC" w14:textId="77777777" w:rsidTr="00725333">
        <w:trPr>
          <w:trHeight w:val="238"/>
          <w:jc w:val="center"/>
        </w:trPr>
        <w:tc>
          <w:tcPr>
            <w:tcW w:w="3094" w:type="dxa"/>
            <w:gridSpan w:val="2"/>
            <w:tcBorders>
              <w:top w:val="nil"/>
            </w:tcBorders>
            <w:shd w:val="clear" w:color="auto" w:fill="auto"/>
            <w:vAlign w:val="center"/>
          </w:tcPr>
          <w:p w14:paraId="4C0812EB" w14:textId="77777777" w:rsidR="00375569" w:rsidRPr="004C6ED9" w:rsidRDefault="00375569" w:rsidP="0079276F">
            <w:pPr>
              <w:keepNext/>
              <w:keepLines/>
              <w:spacing w:before="40" w:after="40"/>
              <w:jc w:val="center"/>
              <w:rPr>
                <w:rFonts w:cs="Arial"/>
                <w:spacing w:val="-2"/>
                <w:sz w:val="14"/>
                <w:szCs w:val="14"/>
              </w:rPr>
            </w:pPr>
          </w:p>
        </w:tc>
        <w:tc>
          <w:tcPr>
            <w:tcW w:w="604" w:type="dxa"/>
            <w:tcBorders>
              <w:top w:val="nil"/>
            </w:tcBorders>
            <w:shd w:val="clear" w:color="auto" w:fill="auto"/>
            <w:vAlign w:val="center"/>
          </w:tcPr>
          <w:p w14:paraId="6CCAA3D3" w14:textId="77777777" w:rsidR="00375569" w:rsidRPr="004C6ED9" w:rsidRDefault="00375569" w:rsidP="0079276F">
            <w:pPr>
              <w:keepNext/>
              <w:keepLines/>
              <w:spacing w:before="40" w:after="40"/>
              <w:jc w:val="center"/>
              <w:rPr>
                <w:rFonts w:cs="Arial"/>
                <w:b/>
                <w:spacing w:val="-2"/>
                <w:sz w:val="14"/>
                <w:szCs w:val="14"/>
              </w:rPr>
            </w:pPr>
          </w:p>
        </w:tc>
        <w:tc>
          <w:tcPr>
            <w:tcW w:w="1411" w:type="dxa"/>
            <w:shd w:val="clear" w:color="auto" w:fill="auto"/>
            <w:vAlign w:val="center"/>
          </w:tcPr>
          <w:p w14:paraId="34FBC96B" w14:textId="77777777" w:rsidR="00375569" w:rsidRPr="00F05079" w:rsidRDefault="00375569" w:rsidP="00294847">
            <w:pPr>
              <w:keepNext/>
              <w:keepLines/>
              <w:spacing w:before="40" w:after="40"/>
              <w:jc w:val="right"/>
              <w:rPr>
                <w:rFonts w:cs="Arial"/>
                <w:b/>
                <w:spacing w:val="-2"/>
                <w:sz w:val="14"/>
                <w:szCs w:val="14"/>
                <w:vertAlign w:val="superscript"/>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w:t>
            </w:r>
            <w:r w:rsidRPr="004C6ED9">
              <w:rPr>
                <w:rFonts w:cs="Arial"/>
                <w:b/>
                <w:spacing w:val="-2"/>
                <w:sz w:val="14"/>
                <w:szCs w:val="14"/>
              </w:rPr>
              <w:t>.20</w:t>
            </w:r>
            <w:r>
              <w:rPr>
                <w:rFonts w:cs="Arial"/>
                <w:b/>
                <w:spacing w:val="-2"/>
                <w:sz w:val="14"/>
                <w:szCs w:val="14"/>
              </w:rPr>
              <w:t>21</w:t>
            </w:r>
          </w:p>
        </w:tc>
        <w:tc>
          <w:tcPr>
            <w:tcW w:w="1412" w:type="dxa"/>
            <w:shd w:val="clear" w:color="auto" w:fill="auto"/>
            <w:vAlign w:val="center"/>
          </w:tcPr>
          <w:p w14:paraId="3A6AD9C6" w14:textId="77777777" w:rsidR="00375569" w:rsidRPr="00D55E07" w:rsidRDefault="00375569" w:rsidP="00374D6E">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 xml:space="preserve">20 </w:t>
            </w:r>
            <w:r>
              <w:rPr>
                <w:rFonts w:cs="Arial"/>
                <w:b/>
                <w:spacing w:val="-2"/>
                <w:sz w:val="14"/>
                <w:szCs w:val="14"/>
                <w:vertAlign w:val="superscript"/>
              </w:rPr>
              <w:t>(1)</w:t>
            </w:r>
          </w:p>
        </w:tc>
        <w:tc>
          <w:tcPr>
            <w:tcW w:w="283" w:type="dxa"/>
            <w:shd w:val="clear" w:color="auto" w:fill="auto"/>
            <w:vAlign w:val="center"/>
          </w:tcPr>
          <w:p w14:paraId="30315AD8" w14:textId="77777777" w:rsidR="00375569" w:rsidRPr="004C6ED9" w:rsidRDefault="00375569" w:rsidP="0079276F">
            <w:pPr>
              <w:keepNext/>
              <w:keepLines/>
              <w:spacing w:before="40" w:after="40"/>
              <w:jc w:val="right"/>
              <w:rPr>
                <w:rFonts w:cs="Arial"/>
                <w:b/>
                <w:spacing w:val="-2"/>
                <w:sz w:val="14"/>
                <w:szCs w:val="14"/>
              </w:rPr>
            </w:pPr>
          </w:p>
        </w:tc>
        <w:tc>
          <w:tcPr>
            <w:tcW w:w="1417" w:type="dxa"/>
            <w:shd w:val="clear" w:color="auto" w:fill="auto"/>
            <w:vAlign w:val="center"/>
          </w:tcPr>
          <w:p w14:paraId="7076E91B" w14:textId="77777777" w:rsidR="00375569" w:rsidRPr="004C6ED9" w:rsidRDefault="00375569" w:rsidP="00294847">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w:t>
            </w:r>
            <w:r w:rsidRPr="004C6ED9">
              <w:rPr>
                <w:rFonts w:cs="Arial"/>
                <w:b/>
                <w:spacing w:val="-2"/>
                <w:sz w:val="14"/>
                <w:szCs w:val="14"/>
              </w:rPr>
              <w:t>.20</w:t>
            </w:r>
            <w:r>
              <w:rPr>
                <w:rFonts w:cs="Arial"/>
                <w:b/>
                <w:spacing w:val="-2"/>
                <w:sz w:val="14"/>
                <w:szCs w:val="14"/>
              </w:rPr>
              <w:t>21</w:t>
            </w:r>
          </w:p>
        </w:tc>
        <w:tc>
          <w:tcPr>
            <w:tcW w:w="1418" w:type="dxa"/>
            <w:shd w:val="clear" w:color="auto" w:fill="auto"/>
            <w:vAlign w:val="center"/>
          </w:tcPr>
          <w:p w14:paraId="1CD9AC71" w14:textId="77777777" w:rsidR="00375569" w:rsidRPr="0082415E" w:rsidRDefault="00375569" w:rsidP="00374D6E">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20</w:t>
            </w:r>
          </w:p>
        </w:tc>
      </w:tr>
      <w:tr w:rsidR="00375569" w:rsidRPr="004C6ED9" w14:paraId="33417DAF" w14:textId="77777777" w:rsidTr="00725333">
        <w:trPr>
          <w:trHeight w:val="238"/>
          <w:jc w:val="center"/>
        </w:trPr>
        <w:tc>
          <w:tcPr>
            <w:tcW w:w="3094" w:type="dxa"/>
            <w:gridSpan w:val="2"/>
            <w:shd w:val="clear" w:color="auto" w:fill="auto"/>
          </w:tcPr>
          <w:p w14:paraId="0DEB43A5" w14:textId="77777777" w:rsidR="00375569" w:rsidRPr="00B92CC7" w:rsidRDefault="00375569" w:rsidP="0082415E">
            <w:pPr>
              <w:pStyle w:val="08-Tabelageral"/>
              <w:jc w:val="left"/>
              <w:rPr>
                <w:rFonts w:cs="Arial"/>
                <w:b/>
                <w:szCs w:val="14"/>
                <w:vertAlign w:val="superscript"/>
              </w:rPr>
            </w:pPr>
            <w:r w:rsidRPr="004C6ED9">
              <w:rPr>
                <w:rFonts w:cs="Arial"/>
                <w:szCs w:val="14"/>
              </w:rPr>
              <w:t>Dividendos a receber</w:t>
            </w:r>
            <w:r>
              <w:rPr>
                <w:rFonts w:cs="Arial"/>
                <w:szCs w:val="14"/>
              </w:rPr>
              <w:t xml:space="preserve"> </w:t>
            </w:r>
          </w:p>
        </w:tc>
        <w:tc>
          <w:tcPr>
            <w:tcW w:w="604" w:type="dxa"/>
            <w:shd w:val="clear" w:color="auto" w:fill="auto"/>
          </w:tcPr>
          <w:p w14:paraId="158EC013" w14:textId="77777777" w:rsidR="00375569" w:rsidRPr="004C6ED9" w:rsidRDefault="00375569" w:rsidP="00922DF8">
            <w:pPr>
              <w:pStyle w:val="08-Tabelageral"/>
              <w:rPr>
                <w:rFonts w:cs="Arial"/>
                <w:szCs w:val="14"/>
              </w:rPr>
            </w:pPr>
          </w:p>
        </w:tc>
        <w:tc>
          <w:tcPr>
            <w:tcW w:w="1411" w:type="dxa"/>
            <w:shd w:val="clear" w:color="auto" w:fill="auto"/>
          </w:tcPr>
          <w:p w14:paraId="206B560C" w14:textId="77777777" w:rsidR="00375569" w:rsidRPr="004C6ED9" w:rsidRDefault="00375569" w:rsidP="00A46FE1">
            <w:pPr>
              <w:pStyle w:val="08-Tabelageral"/>
              <w:rPr>
                <w:rFonts w:cs="Arial"/>
                <w:szCs w:val="14"/>
              </w:rPr>
            </w:pPr>
            <w:r>
              <w:rPr>
                <w:rFonts w:cs="Arial"/>
                <w:szCs w:val="14"/>
              </w:rPr>
              <w:t>1.572.428</w:t>
            </w:r>
          </w:p>
        </w:tc>
        <w:tc>
          <w:tcPr>
            <w:tcW w:w="1412" w:type="dxa"/>
            <w:shd w:val="clear" w:color="auto" w:fill="auto"/>
          </w:tcPr>
          <w:p w14:paraId="50D0C63A" w14:textId="77777777" w:rsidR="00375569" w:rsidRPr="004C6ED9" w:rsidRDefault="00375569" w:rsidP="00922DF8">
            <w:pPr>
              <w:pStyle w:val="08-Tabelageral"/>
              <w:rPr>
                <w:rFonts w:cs="Arial"/>
                <w:szCs w:val="14"/>
              </w:rPr>
            </w:pPr>
            <w:r>
              <w:rPr>
                <w:rFonts w:cs="Arial"/>
                <w:szCs w:val="14"/>
              </w:rPr>
              <w:t>1.060.278</w:t>
            </w:r>
          </w:p>
        </w:tc>
        <w:tc>
          <w:tcPr>
            <w:tcW w:w="283" w:type="dxa"/>
            <w:shd w:val="clear" w:color="auto" w:fill="auto"/>
          </w:tcPr>
          <w:p w14:paraId="74517DED" w14:textId="77777777" w:rsidR="00375569" w:rsidRPr="004C6ED9" w:rsidRDefault="00375569" w:rsidP="00922DF8">
            <w:pPr>
              <w:pStyle w:val="08-Tabelageral"/>
              <w:rPr>
                <w:rFonts w:cs="Arial"/>
                <w:szCs w:val="14"/>
              </w:rPr>
            </w:pPr>
          </w:p>
        </w:tc>
        <w:tc>
          <w:tcPr>
            <w:tcW w:w="1417" w:type="dxa"/>
            <w:shd w:val="clear" w:color="auto" w:fill="auto"/>
          </w:tcPr>
          <w:p w14:paraId="7558EBA6" w14:textId="77777777" w:rsidR="00375569" w:rsidRPr="004C6ED9" w:rsidRDefault="00375569" w:rsidP="00922DF8">
            <w:pPr>
              <w:pStyle w:val="08-Tabelageral"/>
              <w:rPr>
                <w:rFonts w:cs="Arial"/>
                <w:szCs w:val="14"/>
              </w:rPr>
            </w:pPr>
            <w:r>
              <w:rPr>
                <w:rFonts w:cs="Arial"/>
                <w:szCs w:val="14"/>
              </w:rPr>
              <w:t>1.648</w:t>
            </w:r>
          </w:p>
        </w:tc>
        <w:tc>
          <w:tcPr>
            <w:tcW w:w="1418" w:type="dxa"/>
            <w:shd w:val="clear" w:color="auto" w:fill="auto"/>
          </w:tcPr>
          <w:p w14:paraId="6F553790" w14:textId="77777777" w:rsidR="00375569" w:rsidRPr="004C6ED9" w:rsidRDefault="00375569" w:rsidP="00922DF8">
            <w:pPr>
              <w:pStyle w:val="08-Tabelageral"/>
              <w:rPr>
                <w:rFonts w:cs="Arial"/>
                <w:szCs w:val="14"/>
              </w:rPr>
            </w:pPr>
            <w:r>
              <w:rPr>
                <w:rFonts w:cs="Arial"/>
                <w:szCs w:val="14"/>
              </w:rPr>
              <w:t>--</w:t>
            </w:r>
          </w:p>
        </w:tc>
      </w:tr>
    </w:tbl>
    <w:p w14:paraId="727F6B7A" w14:textId="77777777" w:rsidR="00375569" w:rsidRDefault="00375569" w:rsidP="00375569">
      <w:pPr>
        <w:pStyle w:val="07-Legenda"/>
        <w:numPr>
          <w:ilvl w:val="0"/>
          <w:numId w:val="4"/>
        </w:numPr>
        <w:ind w:left="284" w:hanging="284"/>
        <w:rPr>
          <w:szCs w:val="14"/>
        </w:rPr>
      </w:pPr>
      <w:r w:rsidRPr="00D01C9D">
        <w:rPr>
          <w:szCs w:val="14"/>
        </w:rPr>
        <w:t>Em 31.12.2020,</w:t>
      </w:r>
      <w:r>
        <w:rPr>
          <w:szCs w:val="14"/>
        </w:rPr>
        <w:t xml:space="preserve"> refere-se aos dividendos a receber da BB Corretora de Seguros e Administradora de Bens S.A pagos em 25.02.2021.</w:t>
      </w:r>
    </w:p>
    <w:p w14:paraId="1D4B1D69" w14:textId="77777777" w:rsidR="00375569" w:rsidRPr="00725333" w:rsidRDefault="00375569" w:rsidP="00A66C24">
      <w:pPr>
        <w:pStyle w:val="07-Legenda"/>
        <w:ind w:firstLine="0"/>
        <w:rPr>
          <w:sz w:val="18"/>
        </w:rPr>
      </w:pPr>
    </w:p>
    <w:p w14:paraId="01D2B46B" w14:textId="4F072804" w:rsidR="00375569" w:rsidRPr="00725333" w:rsidRDefault="00375569" w:rsidP="00725333">
      <w:pPr>
        <w:pStyle w:val="02-TtulodeNota"/>
        <w:rPr>
          <w:color w:val="1F4E79" w:themeColor="accent1" w:themeShade="80"/>
        </w:rPr>
      </w:pPr>
      <w:bookmarkStart w:id="93" w:name="OLE_LINK14"/>
      <w:bookmarkStart w:id="94" w:name="_Toc94861076"/>
      <w:r w:rsidRPr="00725333">
        <w:rPr>
          <w:color w:val="1F4E79" w:themeColor="accent1" w:themeShade="80"/>
        </w:rPr>
        <w:t>18 – COMISSÕES A RECEBER</w:t>
      </w:r>
      <w:bookmarkEnd w:id="94"/>
    </w:p>
    <w:p w14:paraId="0B602692" w14:textId="77777777" w:rsidR="00375569" w:rsidRPr="0004323A" w:rsidRDefault="00375569" w:rsidP="0043555A">
      <w:pPr>
        <w:pStyle w:val="01-TtulodeNota"/>
        <w:spacing w:before="0" w:after="0"/>
        <w:jc w:val="right"/>
        <w:rPr>
          <w:sz w:val="12"/>
          <w:szCs w:val="12"/>
        </w:rPr>
      </w:pPr>
      <w:r w:rsidRPr="000C7811">
        <w:rPr>
          <w:sz w:val="14"/>
          <w:szCs w:val="12"/>
        </w:rPr>
        <w:t>R$ mil</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204"/>
        <w:gridCol w:w="3180"/>
        <w:gridCol w:w="856"/>
        <w:gridCol w:w="401"/>
        <w:gridCol w:w="2008"/>
        <w:gridCol w:w="2009"/>
      </w:tblGrid>
      <w:tr w:rsidR="00375569" w:rsidRPr="00304C28" w14:paraId="334E6D24" w14:textId="77777777" w:rsidTr="00725333">
        <w:trPr>
          <w:trHeight w:val="238"/>
          <w:jc w:val="center"/>
        </w:trPr>
        <w:tc>
          <w:tcPr>
            <w:tcW w:w="1204" w:type="dxa"/>
            <w:tcBorders>
              <w:top w:val="single" w:sz="2" w:space="0" w:color="1F4E79" w:themeColor="accent1" w:themeShade="80"/>
              <w:bottom w:val="nil"/>
            </w:tcBorders>
            <w:shd w:val="clear" w:color="auto" w:fill="auto"/>
          </w:tcPr>
          <w:p w14:paraId="02B45D47" w14:textId="77777777" w:rsidR="00375569" w:rsidRPr="00304C28" w:rsidRDefault="00375569" w:rsidP="00922DF8">
            <w:pPr>
              <w:keepNext/>
              <w:keepLines/>
              <w:spacing w:before="40" w:after="40"/>
              <w:jc w:val="center"/>
              <w:rPr>
                <w:rFonts w:cs="Arial"/>
                <w:b/>
                <w:bCs/>
                <w:spacing w:val="-2"/>
                <w:sz w:val="14"/>
                <w:szCs w:val="18"/>
              </w:rPr>
            </w:pPr>
          </w:p>
        </w:tc>
        <w:tc>
          <w:tcPr>
            <w:tcW w:w="4036" w:type="dxa"/>
            <w:gridSpan w:val="2"/>
            <w:tcBorders>
              <w:top w:val="single" w:sz="2" w:space="0" w:color="1F4E79" w:themeColor="accent1" w:themeShade="80"/>
              <w:bottom w:val="nil"/>
            </w:tcBorders>
            <w:shd w:val="clear" w:color="auto" w:fill="auto"/>
          </w:tcPr>
          <w:p w14:paraId="5C6B13AC" w14:textId="77777777" w:rsidR="00375569" w:rsidRPr="00304C28" w:rsidRDefault="00375569" w:rsidP="00922DF8">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12DE827D" w14:textId="77777777" w:rsidR="00375569" w:rsidRPr="00304C28" w:rsidRDefault="00375569" w:rsidP="00922DF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7D40A031" w14:textId="77777777" w:rsidR="00375569" w:rsidRPr="00304C28" w:rsidRDefault="00375569" w:rsidP="00304C28">
            <w:pPr>
              <w:pStyle w:val="08-Tabelageral"/>
              <w:jc w:val="center"/>
              <w:rPr>
                <w:b/>
              </w:rPr>
            </w:pPr>
            <w:r w:rsidRPr="00304C28">
              <w:rPr>
                <w:b/>
              </w:rPr>
              <w:t>Consolidado</w:t>
            </w:r>
          </w:p>
        </w:tc>
      </w:tr>
      <w:tr w:rsidR="00375569" w:rsidRPr="00304C28" w14:paraId="6E8E3FD5" w14:textId="77777777" w:rsidTr="00725333">
        <w:trPr>
          <w:trHeight w:val="238"/>
          <w:jc w:val="center"/>
        </w:trPr>
        <w:tc>
          <w:tcPr>
            <w:tcW w:w="4384" w:type="dxa"/>
            <w:gridSpan w:val="2"/>
            <w:tcBorders>
              <w:top w:val="nil"/>
              <w:bottom w:val="single" w:sz="2" w:space="0" w:color="1F4E79" w:themeColor="accent1" w:themeShade="80"/>
            </w:tcBorders>
            <w:shd w:val="clear" w:color="auto" w:fill="auto"/>
          </w:tcPr>
          <w:p w14:paraId="62BDC2EF" w14:textId="77777777" w:rsidR="00375569" w:rsidRPr="00304C28" w:rsidRDefault="00375569" w:rsidP="00922DF8">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24EC4842" w14:textId="77777777" w:rsidR="00375569" w:rsidRPr="00304C28" w:rsidRDefault="00375569" w:rsidP="00922DF8">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179CC201" w14:textId="77777777" w:rsidR="00375569" w:rsidRPr="00304C28" w:rsidRDefault="00375569" w:rsidP="00922DF8">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73CB526A" w14:textId="77777777" w:rsidR="00375569" w:rsidRPr="00304C28" w:rsidRDefault="00375569" w:rsidP="00301B1C">
            <w:pPr>
              <w:pStyle w:val="08-Tabelageral"/>
              <w:rPr>
                <w:b/>
              </w:rPr>
            </w:pPr>
            <w:r>
              <w:rPr>
                <w:b/>
              </w:rPr>
              <w:t>31.12.2021</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5A25933C" w14:textId="77777777" w:rsidR="00375569" w:rsidRPr="00304C28" w:rsidRDefault="00375569" w:rsidP="00304C28">
            <w:pPr>
              <w:pStyle w:val="08-Tabelageral"/>
              <w:rPr>
                <w:b/>
              </w:rPr>
            </w:pPr>
            <w:r>
              <w:rPr>
                <w:b/>
              </w:rPr>
              <w:t>31.12.2020</w:t>
            </w:r>
          </w:p>
        </w:tc>
      </w:tr>
      <w:tr w:rsidR="00375569" w:rsidRPr="00304C28" w14:paraId="14651B28" w14:textId="77777777" w:rsidTr="00725333">
        <w:trPr>
          <w:trHeight w:val="238"/>
          <w:jc w:val="center"/>
        </w:trPr>
        <w:tc>
          <w:tcPr>
            <w:tcW w:w="4384" w:type="dxa"/>
            <w:gridSpan w:val="2"/>
            <w:tcBorders>
              <w:top w:val="single" w:sz="2" w:space="0" w:color="1F4E79" w:themeColor="accent1" w:themeShade="80"/>
            </w:tcBorders>
            <w:shd w:val="clear" w:color="auto" w:fill="auto"/>
          </w:tcPr>
          <w:p w14:paraId="6233C2D1" w14:textId="77777777" w:rsidR="00375569" w:rsidRPr="00304C28" w:rsidRDefault="00375569" w:rsidP="00D04904">
            <w:pPr>
              <w:pStyle w:val="08-Tabelageral"/>
              <w:jc w:val="left"/>
              <w:rPr>
                <w:rFonts w:cs="Arial"/>
                <w:b/>
                <w:lang w:val="en-US"/>
              </w:rPr>
            </w:pPr>
            <w:r w:rsidRPr="00304C28">
              <w:rPr>
                <w:rFonts w:cs="Arial"/>
                <w:b/>
                <w:lang w:val="en-US"/>
              </w:rPr>
              <w:t>Ativo Circulante</w:t>
            </w:r>
          </w:p>
        </w:tc>
        <w:tc>
          <w:tcPr>
            <w:tcW w:w="856" w:type="dxa"/>
            <w:tcBorders>
              <w:top w:val="single" w:sz="2" w:space="0" w:color="1F4E79" w:themeColor="accent1" w:themeShade="80"/>
            </w:tcBorders>
            <w:shd w:val="clear" w:color="auto" w:fill="auto"/>
          </w:tcPr>
          <w:p w14:paraId="76C5B040" w14:textId="77777777" w:rsidR="00375569" w:rsidRPr="00304C28" w:rsidRDefault="00375569" w:rsidP="00D04904">
            <w:pPr>
              <w:pStyle w:val="08-Tabelageral"/>
              <w:rPr>
                <w:b/>
              </w:rPr>
            </w:pPr>
          </w:p>
        </w:tc>
        <w:tc>
          <w:tcPr>
            <w:tcW w:w="401" w:type="dxa"/>
            <w:tcBorders>
              <w:top w:val="single" w:sz="2" w:space="0" w:color="1F4E79" w:themeColor="accent1" w:themeShade="80"/>
            </w:tcBorders>
            <w:shd w:val="clear" w:color="auto" w:fill="auto"/>
          </w:tcPr>
          <w:p w14:paraId="19078FC6" w14:textId="77777777" w:rsidR="00375569" w:rsidRPr="00304C28" w:rsidRDefault="00375569" w:rsidP="00D04904">
            <w:pPr>
              <w:pStyle w:val="08-Tabelageral"/>
              <w:rPr>
                <w:b/>
              </w:rPr>
            </w:pPr>
          </w:p>
        </w:tc>
        <w:tc>
          <w:tcPr>
            <w:tcW w:w="2008" w:type="dxa"/>
            <w:tcBorders>
              <w:top w:val="single" w:sz="2" w:space="0" w:color="1F4E79" w:themeColor="accent1" w:themeShade="80"/>
            </w:tcBorders>
            <w:shd w:val="clear" w:color="auto" w:fill="auto"/>
            <w:vAlign w:val="center"/>
          </w:tcPr>
          <w:p w14:paraId="5223509B" w14:textId="77777777" w:rsidR="00375569" w:rsidRPr="00304C28" w:rsidRDefault="00375569" w:rsidP="00D04904">
            <w:pPr>
              <w:pStyle w:val="08-Tabelageral"/>
              <w:rPr>
                <w:b/>
              </w:rPr>
            </w:pPr>
            <w:r>
              <w:rPr>
                <w:b/>
              </w:rPr>
              <w:t>1.026.158</w:t>
            </w:r>
          </w:p>
        </w:tc>
        <w:tc>
          <w:tcPr>
            <w:tcW w:w="2009" w:type="dxa"/>
            <w:tcBorders>
              <w:top w:val="single" w:sz="2" w:space="0" w:color="1F4E79" w:themeColor="accent1" w:themeShade="80"/>
            </w:tcBorders>
            <w:shd w:val="clear" w:color="auto" w:fill="auto"/>
            <w:vAlign w:val="center"/>
          </w:tcPr>
          <w:p w14:paraId="2FD8348F" w14:textId="77777777" w:rsidR="00375569" w:rsidRPr="00304C28" w:rsidRDefault="00375569" w:rsidP="00D04904">
            <w:pPr>
              <w:pStyle w:val="08-Tabelageral"/>
              <w:rPr>
                <w:b/>
              </w:rPr>
            </w:pPr>
            <w:r>
              <w:rPr>
                <w:b/>
              </w:rPr>
              <w:t>1.173.988</w:t>
            </w:r>
          </w:p>
        </w:tc>
      </w:tr>
      <w:tr w:rsidR="00375569" w:rsidRPr="00304C28" w14:paraId="593EAC8D" w14:textId="77777777" w:rsidTr="00725333">
        <w:trPr>
          <w:trHeight w:val="238"/>
          <w:jc w:val="center"/>
        </w:trPr>
        <w:tc>
          <w:tcPr>
            <w:tcW w:w="4384" w:type="dxa"/>
            <w:gridSpan w:val="2"/>
            <w:shd w:val="clear" w:color="auto" w:fill="auto"/>
          </w:tcPr>
          <w:p w14:paraId="05CF92C5" w14:textId="77777777" w:rsidR="00375569" w:rsidRPr="00304C28" w:rsidRDefault="00375569" w:rsidP="00D04904">
            <w:pPr>
              <w:pStyle w:val="08-Tabelageral"/>
              <w:ind w:left="113"/>
              <w:jc w:val="left"/>
              <w:rPr>
                <w:rFonts w:cs="Arial"/>
                <w:lang w:val="en-US"/>
              </w:rPr>
            </w:pPr>
            <w:r w:rsidRPr="00304C28">
              <w:rPr>
                <w:rFonts w:cs="Arial"/>
                <w:lang w:val="en-US"/>
              </w:rPr>
              <w:t xml:space="preserve">BB Mapfre </w:t>
            </w:r>
            <w:r w:rsidRPr="00304C28">
              <w:rPr>
                <w:rFonts w:cs="Arial"/>
                <w:vertAlign w:val="superscript"/>
                <w:lang w:val="en-US"/>
              </w:rPr>
              <w:t>(1)</w:t>
            </w:r>
          </w:p>
        </w:tc>
        <w:tc>
          <w:tcPr>
            <w:tcW w:w="856" w:type="dxa"/>
            <w:shd w:val="clear" w:color="auto" w:fill="auto"/>
          </w:tcPr>
          <w:p w14:paraId="073E3CC1" w14:textId="77777777" w:rsidR="00375569" w:rsidRPr="00304C28" w:rsidRDefault="00375569" w:rsidP="00D04904">
            <w:pPr>
              <w:pStyle w:val="08-Tabelageral"/>
            </w:pPr>
          </w:p>
        </w:tc>
        <w:tc>
          <w:tcPr>
            <w:tcW w:w="401" w:type="dxa"/>
            <w:shd w:val="clear" w:color="auto" w:fill="auto"/>
          </w:tcPr>
          <w:p w14:paraId="79AD5987" w14:textId="77777777" w:rsidR="00375569" w:rsidRPr="00304C28" w:rsidRDefault="00375569" w:rsidP="00D04904">
            <w:pPr>
              <w:pStyle w:val="08-Tabelageral"/>
            </w:pPr>
          </w:p>
        </w:tc>
        <w:tc>
          <w:tcPr>
            <w:tcW w:w="2008" w:type="dxa"/>
            <w:shd w:val="clear" w:color="auto" w:fill="auto"/>
            <w:vAlign w:val="center"/>
          </w:tcPr>
          <w:p w14:paraId="0A5090B3" w14:textId="77777777" w:rsidR="00375569" w:rsidRPr="00304C28" w:rsidRDefault="00375569" w:rsidP="00D04904">
            <w:pPr>
              <w:pStyle w:val="08-Tabelageral"/>
            </w:pPr>
            <w:r>
              <w:t>962.465</w:t>
            </w:r>
          </w:p>
        </w:tc>
        <w:tc>
          <w:tcPr>
            <w:tcW w:w="2009" w:type="dxa"/>
            <w:shd w:val="clear" w:color="auto" w:fill="auto"/>
            <w:vAlign w:val="center"/>
          </w:tcPr>
          <w:p w14:paraId="4FCBD1DB" w14:textId="77777777" w:rsidR="00375569" w:rsidRPr="00304C28" w:rsidRDefault="00375569" w:rsidP="00D04904">
            <w:pPr>
              <w:pStyle w:val="08-Tabelageral"/>
            </w:pPr>
            <w:r>
              <w:t>1.120.275</w:t>
            </w:r>
          </w:p>
        </w:tc>
      </w:tr>
      <w:tr w:rsidR="00375569" w:rsidRPr="00304C28" w14:paraId="088EB3D6" w14:textId="77777777" w:rsidTr="00725333">
        <w:trPr>
          <w:trHeight w:val="238"/>
          <w:jc w:val="center"/>
        </w:trPr>
        <w:tc>
          <w:tcPr>
            <w:tcW w:w="4384" w:type="dxa"/>
            <w:gridSpan w:val="2"/>
            <w:shd w:val="clear" w:color="auto" w:fill="auto"/>
          </w:tcPr>
          <w:p w14:paraId="546E8FF0" w14:textId="77777777" w:rsidR="00375569" w:rsidRPr="00304C28" w:rsidRDefault="00375569" w:rsidP="00D04904">
            <w:pPr>
              <w:pStyle w:val="08-Tabelageral"/>
              <w:ind w:left="113"/>
              <w:jc w:val="left"/>
              <w:rPr>
                <w:rFonts w:cs="Arial"/>
                <w:lang w:val="en-US"/>
              </w:rPr>
            </w:pPr>
            <w:r>
              <w:rPr>
                <w:rFonts w:cs="Arial"/>
                <w:lang w:val="en-US"/>
              </w:rPr>
              <w:t>Mapfre Seguros Gerais</w:t>
            </w:r>
          </w:p>
        </w:tc>
        <w:tc>
          <w:tcPr>
            <w:tcW w:w="856" w:type="dxa"/>
            <w:shd w:val="clear" w:color="auto" w:fill="auto"/>
          </w:tcPr>
          <w:p w14:paraId="3094C78D" w14:textId="77777777" w:rsidR="00375569" w:rsidRPr="00304C28" w:rsidRDefault="00375569" w:rsidP="00D04904">
            <w:pPr>
              <w:pStyle w:val="08-Tabelageral"/>
            </w:pPr>
          </w:p>
        </w:tc>
        <w:tc>
          <w:tcPr>
            <w:tcW w:w="401" w:type="dxa"/>
            <w:shd w:val="clear" w:color="auto" w:fill="auto"/>
          </w:tcPr>
          <w:p w14:paraId="56B82C23" w14:textId="77777777" w:rsidR="00375569" w:rsidRPr="00304C28" w:rsidRDefault="00375569" w:rsidP="00D04904">
            <w:pPr>
              <w:pStyle w:val="08-Tabelageral"/>
            </w:pPr>
          </w:p>
        </w:tc>
        <w:tc>
          <w:tcPr>
            <w:tcW w:w="2008" w:type="dxa"/>
            <w:shd w:val="clear" w:color="auto" w:fill="auto"/>
          </w:tcPr>
          <w:p w14:paraId="7282123A" w14:textId="77777777" w:rsidR="00375569" w:rsidRPr="00304C28" w:rsidRDefault="00375569" w:rsidP="00D04904">
            <w:pPr>
              <w:pStyle w:val="08-Tabelageral"/>
            </w:pPr>
            <w:r>
              <w:t>53.396</w:t>
            </w:r>
          </w:p>
        </w:tc>
        <w:tc>
          <w:tcPr>
            <w:tcW w:w="2009" w:type="dxa"/>
            <w:shd w:val="clear" w:color="auto" w:fill="auto"/>
          </w:tcPr>
          <w:p w14:paraId="03024145" w14:textId="77777777" w:rsidR="00375569" w:rsidRPr="00304C28" w:rsidRDefault="00375569" w:rsidP="00D04904">
            <w:pPr>
              <w:pStyle w:val="08-Tabelageral"/>
            </w:pPr>
            <w:r>
              <w:t>43.169</w:t>
            </w:r>
          </w:p>
        </w:tc>
      </w:tr>
      <w:tr w:rsidR="00375569" w:rsidRPr="00304C28" w14:paraId="3335FB70" w14:textId="77777777" w:rsidTr="00725333">
        <w:trPr>
          <w:trHeight w:val="238"/>
          <w:jc w:val="center"/>
        </w:trPr>
        <w:tc>
          <w:tcPr>
            <w:tcW w:w="4384" w:type="dxa"/>
            <w:gridSpan w:val="2"/>
            <w:shd w:val="clear" w:color="auto" w:fill="auto"/>
          </w:tcPr>
          <w:p w14:paraId="6595BBF5" w14:textId="77777777" w:rsidR="00375569" w:rsidRPr="00304C28" w:rsidRDefault="00375569" w:rsidP="00D04904">
            <w:pPr>
              <w:pStyle w:val="08-Tabelageral"/>
              <w:ind w:left="113"/>
              <w:jc w:val="left"/>
              <w:rPr>
                <w:rFonts w:cs="Arial"/>
                <w:lang w:val="en-US"/>
              </w:rPr>
            </w:pPr>
            <w:r w:rsidRPr="00304C28">
              <w:rPr>
                <w:rFonts w:cs="Arial"/>
                <w:lang w:val="en-US"/>
              </w:rPr>
              <w:t>Brasilprev</w:t>
            </w:r>
          </w:p>
        </w:tc>
        <w:tc>
          <w:tcPr>
            <w:tcW w:w="856" w:type="dxa"/>
            <w:shd w:val="clear" w:color="auto" w:fill="auto"/>
          </w:tcPr>
          <w:p w14:paraId="3C58A513" w14:textId="77777777" w:rsidR="00375569" w:rsidRPr="00304C28" w:rsidRDefault="00375569" w:rsidP="00D04904">
            <w:pPr>
              <w:pStyle w:val="08-Tabelageral"/>
            </w:pPr>
          </w:p>
        </w:tc>
        <w:tc>
          <w:tcPr>
            <w:tcW w:w="401" w:type="dxa"/>
            <w:shd w:val="clear" w:color="auto" w:fill="auto"/>
          </w:tcPr>
          <w:p w14:paraId="2FC196DB" w14:textId="77777777" w:rsidR="00375569" w:rsidRPr="00304C28" w:rsidRDefault="00375569" w:rsidP="00D04904">
            <w:pPr>
              <w:pStyle w:val="08-Tabelageral"/>
            </w:pPr>
          </w:p>
        </w:tc>
        <w:tc>
          <w:tcPr>
            <w:tcW w:w="2008" w:type="dxa"/>
            <w:shd w:val="clear" w:color="auto" w:fill="auto"/>
          </w:tcPr>
          <w:p w14:paraId="30C517F1" w14:textId="77777777" w:rsidR="00375569" w:rsidRPr="00304C28" w:rsidRDefault="00375569" w:rsidP="00D04904">
            <w:pPr>
              <w:pStyle w:val="08-Tabelageral"/>
            </w:pPr>
            <w:r>
              <w:t>9.737</w:t>
            </w:r>
          </w:p>
        </w:tc>
        <w:tc>
          <w:tcPr>
            <w:tcW w:w="2009" w:type="dxa"/>
            <w:shd w:val="clear" w:color="auto" w:fill="auto"/>
          </w:tcPr>
          <w:p w14:paraId="14343DDD" w14:textId="77777777" w:rsidR="00375569" w:rsidRPr="00304C28" w:rsidRDefault="00375569" w:rsidP="00D04904">
            <w:pPr>
              <w:pStyle w:val="08-Tabelageral"/>
            </w:pPr>
            <w:r>
              <w:t>9.388</w:t>
            </w:r>
          </w:p>
        </w:tc>
      </w:tr>
      <w:tr w:rsidR="00375569" w:rsidRPr="00304C28" w14:paraId="06E0B6AF" w14:textId="77777777" w:rsidTr="00725333">
        <w:trPr>
          <w:trHeight w:val="238"/>
          <w:jc w:val="center"/>
        </w:trPr>
        <w:tc>
          <w:tcPr>
            <w:tcW w:w="4384" w:type="dxa"/>
            <w:gridSpan w:val="2"/>
            <w:shd w:val="clear" w:color="auto" w:fill="auto"/>
          </w:tcPr>
          <w:p w14:paraId="38FBBB59" w14:textId="77777777" w:rsidR="00375569" w:rsidRPr="00304C28" w:rsidRDefault="00375569" w:rsidP="00D04904">
            <w:pPr>
              <w:pStyle w:val="08-Tabelageral"/>
              <w:ind w:left="113"/>
              <w:jc w:val="left"/>
              <w:rPr>
                <w:rFonts w:cs="Arial"/>
                <w:lang w:val="en-US"/>
              </w:rPr>
            </w:pPr>
            <w:r w:rsidRPr="00304C28">
              <w:rPr>
                <w:rFonts w:cs="Arial"/>
                <w:lang w:val="en-US"/>
              </w:rPr>
              <w:t>Brasilcap</w:t>
            </w:r>
          </w:p>
        </w:tc>
        <w:tc>
          <w:tcPr>
            <w:tcW w:w="856" w:type="dxa"/>
            <w:shd w:val="clear" w:color="auto" w:fill="auto"/>
          </w:tcPr>
          <w:p w14:paraId="2C4F1FFF" w14:textId="77777777" w:rsidR="00375569" w:rsidRPr="00304C28" w:rsidRDefault="00375569" w:rsidP="00D04904">
            <w:pPr>
              <w:pStyle w:val="08-Tabelageral"/>
            </w:pPr>
          </w:p>
        </w:tc>
        <w:tc>
          <w:tcPr>
            <w:tcW w:w="401" w:type="dxa"/>
            <w:shd w:val="clear" w:color="auto" w:fill="auto"/>
          </w:tcPr>
          <w:p w14:paraId="728B4B3B" w14:textId="77777777" w:rsidR="00375569" w:rsidRPr="00304C28" w:rsidRDefault="00375569" w:rsidP="00D04904">
            <w:pPr>
              <w:pStyle w:val="08-Tabelageral"/>
            </w:pPr>
          </w:p>
        </w:tc>
        <w:tc>
          <w:tcPr>
            <w:tcW w:w="2008" w:type="dxa"/>
            <w:shd w:val="clear" w:color="auto" w:fill="auto"/>
          </w:tcPr>
          <w:p w14:paraId="64D20F37" w14:textId="77777777" w:rsidR="00375569" w:rsidRPr="00304C28" w:rsidRDefault="00375569" w:rsidP="00D04904">
            <w:pPr>
              <w:pStyle w:val="08-Tabelageral"/>
            </w:pPr>
            <w:r>
              <w:t>481</w:t>
            </w:r>
          </w:p>
        </w:tc>
        <w:tc>
          <w:tcPr>
            <w:tcW w:w="2009" w:type="dxa"/>
            <w:shd w:val="clear" w:color="auto" w:fill="auto"/>
          </w:tcPr>
          <w:p w14:paraId="699EA9B0" w14:textId="77777777" w:rsidR="00375569" w:rsidRPr="00304C28" w:rsidRDefault="00375569" w:rsidP="00D04904">
            <w:pPr>
              <w:pStyle w:val="08-Tabelageral"/>
            </w:pPr>
            <w:r>
              <w:t>1.094</w:t>
            </w:r>
          </w:p>
        </w:tc>
      </w:tr>
      <w:tr w:rsidR="00375569" w:rsidRPr="00304C28" w14:paraId="4902AAF3" w14:textId="77777777" w:rsidTr="00725333">
        <w:trPr>
          <w:trHeight w:val="238"/>
          <w:jc w:val="center"/>
        </w:trPr>
        <w:tc>
          <w:tcPr>
            <w:tcW w:w="4384" w:type="dxa"/>
            <w:gridSpan w:val="2"/>
            <w:shd w:val="clear" w:color="auto" w:fill="auto"/>
          </w:tcPr>
          <w:p w14:paraId="75CD00B5" w14:textId="77777777" w:rsidR="00375569" w:rsidRPr="00304C28" w:rsidRDefault="00375569" w:rsidP="00D04904">
            <w:pPr>
              <w:pStyle w:val="08-Tabelageral"/>
              <w:ind w:left="113"/>
              <w:jc w:val="left"/>
              <w:rPr>
                <w:rFonts w:cs="Arial"/>
                <w:lang w:val="en-US"/>
              </w:rPr>
            </w:pPr>
            <w:r w:rsidRPr="00304C28">
              <w:rPr>
                <w:rFonts w:cs="Arial"/>
                <w:lang w:val="en-US"/>
              </w:rPr>
              <w:t>Outras</w:t>
            </w:r>
          </w:p>
        </w:tc>
        <w:tc>
          <w:tcPr>
            <w:tcW w:w="856" w:type="dxa"/>
            <w:shd w:val="clear" w:color="auto" w:fill="auto"/>
          </w:tcPr>
          <w:p w14:paraId="54A1153E" w14:textId="77777777" w:rsidR="00375569" w:rsidRPr="00304C28" w:rsidRDefault="00375569" w:rsidP="00D04904">
            <w:pPr>
              <w:pStyle w:val="08-Tabelageral"/>
            </w:pPr>
          </w:p>
        </w:tc>
        <w:tc>
          <w:tcPr>
            <w:tcW w:w="401" w:type="dxa"/>
            <w:shd w:val="clear" w:color="auto" w:fill="auto"/>
          </w:tcPr>
          <w:p w14:paraId="42B8BE2B" w14:textId="77777777" w:rsidR="00375569" w:rsidRPr="00304C28" w:rsidRDefault="00375569" w:rsidP="00D04904">
            <w:pPr>
              <w:pStyle w:val="08-Tabelageral"/>
            </w:pPr>
          </w:p>
        </w:tc>
        <w:tc>
          <w:tcPr>
            <w:tcW w:w="2008" w:type="dxa"/>
            <w:shd w:val="clear" w:color="auto" w:fill="auto"/>
          </w:tcPr>
          <w:p w14:paraId="44645EDF" w14:textId="77777777" w:rsidR="00375569" w:rsidRPr="00304C28" w:rsidRDefault="00375569" w:rsidP="00D04904">
            <w:pPr>
              <w:pStyle w:val="08-Tabelageral"/>
            </w:pPr>
            <w:r>
              <w:t>79</w:t>
            </w:r>
          </w:p>
        </w:tc>
        <w:tc>
          <w:tcPr>
            <w:tcW w:w="2009" w:type="dxa"/>
            <w:shd w:val="clear" w:color="auto" w:fill="auto"/>
          </w:tcPr>
          <w:p w14:paraId="59987663" w14:textId="77777777" w:rsidR="00375569" w:rsidRPr="00304C28" w:rsidRDefault="00375569" w:rsidP="00D04904">
            <w:pPr>
              <w:pStyle w:val="08-Tabelageral"/>
            </w:pPr>
            <w:r>
              <w:t>62</w:t>
            </w:r>
          </w:p>
        </w:tc>
      </w:tr>
      <w:tr w:rsidR="00375569" w:rsidRPr="00304C28" w14:paraId="291EA757" w14:textId="77777777" w:rsidTr="00725333">
        <w:trPr>
          <w:trHeight w:val="238"/>
          <w:jc w:val="center"/>
        </w:trPr>
        <w:tc>
          <w:tcPr>
            <w:tcW w:w="4384" w:type="dxa"/>
            <w:gridSpan w:val="2"/>
            <w:shd w:val="clear" w:color="auto" w:fill="auto"/>
          </w:tcPr>
          <w:p w14:paraId="06651734" w14:textId="77777777" w:rsidR="00375569" w:rsidRPr="00304C28" w:rsidRDefault="00375569" w:rsidP="00D04904">
            <w:pPr>
              <w:pStyle w:val="08-Tabelageral"/>
              <w:jc w:val="left"/>
              <w:rPr>
                <w:rFonts w:cs="Arial"/>
                <w:b/>
                <w:lang w:val="en-US"/>
              </w:rPr>
            </w:pPr>
            <w:r w:rsidRPr="00304C28">
              <w:rPr>
                <w:rFonts w:cs="Arial"/>
                <w:b/>
                <w:lang w:val="en-US"/>
              </w:rPr>
              <w:t>Ativo Não Circulante</w:t>
            </w:r>
          </w:p>
        </w:tc>
        <w:tc>
          <w:tcPr>
            <w:tcW w:w="856" w:type="dxa"/>
            <w:shd w:val="clear" w:color="auto" w:fill="auto"/>
          </w:tcPr>
          <w:p w14:paraId="6F37E115" w14:textId="77777777" w:rsidR="00375569" w:rsidRPr="00304C28" w:rsidRDefault="00375569" w:rsidP="00D04904">
            <w:pPr>
              <w:pStyle w:val="08-Tabelageral"/>
              <w:rPr>
                <w:b/>
              </w:rPr>
            </w:pPr>
          </w:p>
        </w:tc>
        <w:tc>
          <w:tcPr>
            <w:tcW w:w="401" w:type="dxa"/>
            <w:shd w:val="clear" w:color="auto" w:fill="auto"/>
          </w:tcPr>
          <w:p w14:paraId="4DC2CF80" w14:textId="77777777" w:rsidR="00375569" w:rsidRPr="00304C28" w:rsidRDefault="00375569" w:rsidP="00D04904">
            <w:pPr>
              <w:pStyle w:val="08-Tabelageral"/>
              <w:rPr>
                <w:b/>
              </w:rPr>
            </w:pPr>
          </w:p>
        </w:tc>
        <w:tc>
          <w:tcPr>
            <w:tcW w:w="2008" w:type="dxa"/>
            <w:shd w:val="clear" w:color="auto" w:fill="auto"/>
            <w:vAlign w:val="center"/>
          </w:tcPr>
          <w:p w14:paraId="459F387E" w14:textId="77777777" w:rsidR="00375569" w:rsidRPr="00304C28" w:rsidRDefault="00375569" w:rsidP="00D04904">
            <w:pPr>
              <w:pStyle w:val="08-Tabelageral"/>
              <w:rPr>
                <w:b/>
              </w:rPr>
            </w:pPr>
            <w:r>
              <w:rPr>
                <w:b/>
              </w:rPr>
              <w:t>698.435</w:t>
            </w:r>
          </w:p>
        </w:tc>
        <w:tc>
          <w:tcPr>
            <w:tcW w:w="2009" w:type="dxa"/>
            <w:shd w:val="clear" w:color="auto" w:fill="auto"/>
            <w:vAlign w:val="center"/>
          </w:tcPr>
          <w:p w14:paraId="08470F32" w14:textId="77777777" w:rsidR="00375569" w:rsidRPr="00304C28" w:rsidRDefault="00375569" w:rsidP="00D04904">
            <w:pPr>
              <w:pStyle w:val="08-Tabelageral"/>
              <w:rPr>
                <w:b/>
              </w:rPr>
            </w:pPr>
            <w:r>
              <w:rPr>
                <w:b/>
              </w:rPr>
              <w:t>643.090</w:t>
            </w:r>
          </w:p>
        </w:tc>
      </w:tr>
      <w:tr w:rsidR="00375569" w:rsidRPr="00304C28" w14:paraId="1DB841B2" w14:textId="77777777" w:rsidTr="00725333">
        <w:trPr>
          <w:trHeight w:val="238"/>
          <w:jc w:val="center"/>
        </w:trPr>
        <w:tc>
          <w:tcPr>
            <w:tcW w:w="4384" w:type="dxa"/>
            <w:gridSpan w:val="2"/>
            <w:shd w:val="clear" w:color="auto" w:fill="auto"/>
          </w:tcPr>
          <w:p w14:paraId="18067499" w14:textId="77777777" w:rsidR="00375569" w:rsidRPr="00304C28" w:rsidRDefault="00375569" w:rsidP="00D04904">
            <w:pPr>
              <w:pStyle w:val="08-Tabelageral"/>
              <w:ind w:left="113"/>
              <w:jc w:val="left"/>
              <w:rPr>
                <w:rFonts w:cs="Arial"/>
                <w:vertAlign w:val="superscript"/>
                <w:lang w:val="en-US"/>
              </w:rPr>
            </w:pPr>
            <w:r w:rsidRPr="00304C28">
              <w:rPr>
                <w:rFonts w:cs="Arial"/>
                <w:lang w:val="en-US"/>
              </w:rPr>
              <w:t>BB Mapfre</w:t>
            </w:r>
          </w:p>
        </w:tc>
        <w:tc>
          <w:tcPr>
            <w:tcW w:w="856" w:type="dxa"/>
            <w:shd w:val="clear" w:color="auto" w:fill="auto"/>
          </w:tcPr>
          <w:p w14:paraId="4AB3C9B4" w14:textId="77777777" w:rsidR="00375569" w:rsidRPr="00304C28" w:rsidRDefault="00375569" w:rsidP="00D04904">
            <w:pPr>
              <w:pStyle w:val="08-Tabelageral"/>
            </w:pPr>
          </w:p>
        </w:tc>
        <w:tc>
          <w:tcPr>
            <w:tcW w:w="401" w:type="dxa"/>
            <w:shd w:val="clear" w:color="auto" w:fill="auto"/>
          </w:tcPr>
          <w:p w14:paraId="6E4DDA1A" w14:textId="77777777" w:rsidR="00375569" w:rsidRPr="00304C28" w:rsidRDefault="00375569" w:rsidP="00D04904">
            <w:pPr>
              <w:pStyle w:val="08-Tabelageral"/>
            </w:pPr>
          </w:p>
        </w:tc>
        <w:tc>
          <w:tcPr>
            <w:tcW w:w="2008" w:type="dxa"/>
            <w:shd w:val="clear" w:color="auto" w:fill="auto"/>
            <w:vAlign w:val="center"/>
          </w:tcPr>
          <w:p w14:paraId="3BB4FDDF" w14:textId="77777777" w:rsidR="00375569" w:rsidRPr="00304C28" w:rsidRDefault="00375569" w:rsidP="00D04904">
            <w:pPr>
              <w:pStyle w:val="08-Tabelageral"/>
            </w:pPr>
            <w:r>
              <w:t>698.435</w:t>
            </w:r>
          </w:p>
        </w:tc>
        <w:tc>
          <w:tcPr>
            <w:tcW w:w="2009" w:type="dxa"/>
            <w:shd w:val="clear" w:color="auto" w:fill="auto"/>
            <w:vAlign w:val="center"/>
          </w:tcPr>
          <w:p w14:paraId="297C398B" w14:textId="77777777" w:rsidR="00375569" w:rsidRPr="00304C28" w:rsidRDefault="00375569" w:rsidP="00D04904">
            <w:pPr>
              <w:pStyle w:val="08-Tabelageral"/>
            </w:pPr>
            <w:r>
              <w:t>643.090</w:t>
            </w:r>
          </w:p>
        </w:tc>
      </w:tr>
      <w:tr w:rsidR="00375569" w:rsidRPr="00304C28" w14:paraId="27D3964B" w14:textId="77777777" w:rsidTr="00725333">
        <w:trPr>
          <w:trHeight w:val="238"/>
          <w:jc w:val="center"/>
        </w:trPr>
        <w:tc>
          <w:tcPr>
            <w:tcW w:w="4384" w:type="dxa"/>
            <w:gridSpan w:val="2"/>
            <w:tcBorders>
              <w:bottom w:val="single" w:sz="2" w:space="0" w:color="1F4E79" w:themeColor="accent1" w:themeShade="80"/>
            </w:tcBorders>
            <w:shd w:val="clear" w:color="auto" w:fill="auto"/>
          </w:tcPr>
          <w:p w14:paraId="40BD05FB" w14:textId="77777777" w:rsidR="00375569" w:rsidRPr="00304C28" w:rsidRDefault="00375569" w:rsidP="00BD6DE6">
            <w:pPr>
              <w:pStyle w:val="08-Tabelageral"/>
              <w:jc w:val="left"/>
              <w:rPr>
                <w:rFonts w:cs="Arial"/>
                <w:b/>
                <w:lang w:val="en-US"/>
              </w:rPr>
            </w:pPr>
            <w:r w:rsidRPr="00304C28">
              <w:rPr>
                <w:rFonts w:cs="Arial"/>
                <w:b/>
                <w:lang w:val="en-US"/>
              </w:rPr>
              <w:t>Total</w:t>
            </w:r>
          </w:p>
        </w:tc>
        <w:tc>
          <w:tcPr>
            <w:tcW w:w="856" w:type="dxa"/>
            <w:tcBorders>
              <w:bottom w:val="single" w:sz="2" w:space="0" w:color="1F4E79" w:themeColor="accent1" w:themeShade="80"/>
            </w:tcBorders>
            <w:shd w:val="clear" w:color="auto" w:fill="auto"/>
          </w:tcPr>
          <w:p w14:paraId="2E9B507E" w14:textId="77777777" w:rsidR="00375569" w:rsidRPr="00304C28" w:rsidRDefault="00375569" w:rsidP="00D04904">
            <w:pPr>
              <w:pStyle w:val="08-Tabelageral"/>
              <w:rPr>
                <w:b/>
                <w:szCs w:val="14"/>
              </w:rPr>
            </w:pPr>
          </w:p>
        </w:tc>
        <w:tc>
          <w:tcPr>
            <w:tcW w:w="401" w:type="dxa"/>
            <w:tcBorders>
              <w:bottom w:val="single" w:sz="2" w:space="0" w:color="1F4E79" w:themeColor="accent1" w:themeShade="80"/>
            </w:tcBorders>
            <w:shd w:val="clear" w:color="auto" w:fill="auto"/>
          </w:tcPr>
          <w:p w14:paraId="176BB13E" w14:textId="77777777" w:rsidR="00375569" w:rsidRPr="00304C28" w:rsidRDefault="00375569" w:rsidP="00D04904">
            <w:pPr>
              <w:pStyle w:val="08-Tabelageral"/>
              <w:rPr>
                <w:b/>
                <w:szCs w:val="14"/>
              </w:rPr>
            </w:pPr>
          </w:p>
        </w:tc>
        <w:tc>
          <w:tcPr>
            <w:tcW w:w="2008" w:type="dxa"/>
            <w:tcBorders>
              <w:bottom w:val="single" w:sz="2" w:space="0" w:color="1F4E79" w:themeColor="accent1" w:themeShade="80"/>
            </w:tcBorders>
            <w:shd w:val="clear" w:color="auto" w:fill="auto"/>
            <w:vAlign w:val="center"/>
          </w:tcPr>
          <w:p w14:paraId="197B453B" w14:textId="77777777" w:rsidR="00375569" w:rsidRPr="00304C28" w:rsidRDefault="00375569" w:rsidP="00D04904">
            <w:pPr>
              <w:pStyle w:val="08-Tabelageral"/>
              <w:rPr>
                <w:b/>
              </w:rPr>
            </w:pPr>
            <w:r>
              <w:rPr>
                <w:b/>
              </w:rPr>
              <w:t>1.724.593</w:t>
            </w:r>
          </w:p>
        </w:tc>
        <w:tc>
          <w:tcPr>
            <w:tcW w:w="2009" w:type="dxa"/>
            <w:tcBorders>
              <w:bottom w:val="single" w:sz="2" w:space="0" w:color="1F4E79" w:themeColor="accent1" w:themeShade="80"/>
            </w:tcBorders>
            <w:shd w:val="clear" w:color="auto" w:fill="auto"/>
            <w:vAlign w:val="center"/>
          </w:tcPr>
          <w:p w14:paraId="291BBAA2" w14:textId="77777777" w:rsidR="00375569" w:rsidRPr="00304C28" w:rsidRDefault="00375569" w:rsidP="00D04904">
            <w:pPr>
              <w:pStyle w:val="08-Tabelageral"/>
              <w:rPr>
                <w:b/>
              </w:rPr>
            </w:pPr>
            <w:r>
              <w:rPr>
                <w:b/>
              </w:rPr>
              <w:t>1.817.078</w:t>
            </w:r>
          </w:p>
        </w:tc>
      </w:tr>
    </w:tbl>
    <w:p w14:paraId="7B3992FC" w14:textId="77777777" w:rsidR="00375569" w:rsidRPr="00EE7FED" w:rsidRDefault="00375569" w:rsidP="00375569">
      <w:pPr>
        <w:pStyle w:val="07-Legenda"/>
        <w:numPr>
          <w:ilvl w:val="0"/>
          <w:numId w:val="14"/>
        </w:numPr>
        <w:tabs>
          <w:tab w:val="clear" w:pos="284"/>
        </w:tabs>
        <w:ind w:left="284" w:hanging="284"/>
        <w:rPr>
          <w:shd w:val="clear" w:color="auto" w:fill="FFFFFF" w:themeFill="background1"/>
        </w:rPr>
      </w:pPr>
      <w:r w:rsidRPr="00710003">
        <w:rPr>
          <w:rFonts w:cs="Arial"/>
          <w:szCs w:val="14"/>
          <w:shd w:val="clear" w:color="auto" w:fill="FFFFFF" w:themeFill="background1"/>
        </w:rPr>
        <w:t>Em 3</w:t>
      </w:r>
      <w:r>
        <w:rPr>
          <w:rFonts w:cs="Arial"/>
          <w:szCs w:val="14"/>
          <w:shd w:val="clear" w:color="auto" w:fill="FFFFFF" w:themeFill="background1"/>
        </w:rPr>
        <w:t>1</w:t>
      </w:r>
      <w:r w:rsidRPr="00710003">
        <w:rPr>
          <w:rFonts w:cs="Arial"/>
          <w:szCs w:val="14"/>
          <w:shd w:val="clear" w:color="auto" w:fill="FFFFFF" w:themeFill="background1"/>
        </w:rPr>
        <w:t>.</w:t>
      </w:r>
      <w:r>
        <w:rPr>
          <w:rFonts w:cs="Arial"/>
          <w:szCs w:val="14"/>
          <w:shd w:val="clear" w:color="auto" w:fill="FFFFFF" w:themeFill="background1"/>
        </w:rPr>
        <w:t>12</w:t>
      </w:r>
      <w:r w:rsidRPr="00710003">
        <w:rPr>
          <w:rFonts w:cs="Arial"/>
          <w:szCs w:val="14"/>
          <w:shd w:val="clear" w:color="auto" w:fill="FFFFFF" w:themeFill="background1"/>
        </w:rPr>
        <w:t>.2021, R</w:t>
      </w:r>
      <w:r w:rsidRPr="00377486">
        <w:rPr>
          <w:rFonts w:cs="Arial"/>
          <w:szCs w:val="14"/>
          <w:shd w:val="clear" w:color="auto" w:fill="FFFFFF" w:themeFill="background1"/>
        </w:rPr>
        <w:t xml:space="preserve">$ </w:t>
      </w:r>
      <w:r>
        <w:rPr>
          <w:rFonts w:cs="Arial"/>
          <w:szCs w:val="14"/>
          <w:shd w:val="clear" w:color="auto" w:fill="FFFFFF" w:themeFill="background1"/>
        </w:rPr>
        <w:t xml:space="preserve">291 </w:t>
      </w:r>
      <w:r w:rsidRPr="00710003">
        <w:rPr>
          <w:rFonts w:cs="Arial"/>
          <w:szCs w:val="14"/>
          <w:shd w:val="clear" w:color="auto" w:fill="FFFFFF" w:themeFill="background1"/>
        </w:rPr>
        <w:t>milhões</w:t>
      </w:r>
      <w:r>
        <w:rPr>
          <w:rFonts w:cs="Arial"/>
          <w:szCs w:val="14"/>
          <w:shd w:val="clear" w:color="auto" w:fill="FFFFFF" w:themeFill="background1"/>
        </w:rPr>
        <w:t xml:space="preserve"> </w:t>
      </w:r>
      <w:r w:rsidRPr="00A32CF6">
        <w:rPr>
          <w:rFonts w:cs="Arial"/>
          <w:szCs w:val="14"/>
          <w:shd w:val="clear" w:color="auto" w:fill="FFFFFF" w:themeFill="background1"/>
        </w:rPr>
        <w:t>refere-se à comissão adicional</w:t>
      </w:r>
      <w:r w:rsidRPr="00A32CF6">
        <w:rPr>
          <w:rFonts w:cs="Arial"/>
          <w:shd w:val="clear" w:color="auto" w:fill="FFFFFF" w:themeFill="background1"/>
        </w:rPr>
        <w:t xml:space="preserve"> conforme acordo de </w:t>
      </w:r>
      <w:r>
        <w:rPr>
          <w:rFonts w:cs="Arial"/>
          <w:shd w:val="clear" w:color="auto" w:fill="FFFFFF" w:themeFill="background1"/>
        </w:rPr>
        <w:t>reestruturação entre a BB Seguros e o Grupo Mapfre. A provisão da comissão adicional é efetuada mensalmente e seu recebimento está previsto para até 60 dias após o fechamento do exercício. Em 31.12.2020, R$ 464 milhões refere-se à comissão adicional, recebida em 25/02/2021.</w:t>
      </w:r>
    </w:p>
    <w:p w14:paraId="6AC8C248" w14:textId="77777777" w:rsidR="00375569" w:rsidRDefault="00375569" w:rsidP="00957515">
      <w:pPr>
        <w:pStyle w:val="07-Legenda"/>
        <w:tabs>
          <w:tab w:val="clear" w:pos="284"/>
        </w:tabs>
        <w:ind w:left="0" w:firstLine="0"/>
      </w:pPr>
    </w:p>
    <w:p w14:paraId="32D2445C" w14:textId="77777777" w:rsidR="00375569" w:rsidRPr="00C94770" w:rsidRDefault="00375569" w:rsidP="00423265">
      <w:pPr>
        <w:pStyle w:val="07-Legenda"/>
        <w:spacing w:before="120" w:after="120" w:line="276" w:lineRule="auto"/>
        <w:ind w:left="0" w:firstLine="0"/>
        <w:rPr>
          <w:rFonts w:cs="Arial"/>
          <w:spacing w:val="0"/>
          <w:sz w:val="18"/>
          <w:szCs w:val="20"/>
        </w:rPr>
      </w:pPr>
      <w:r w:rsidRPr="00E817E2">
        <w:rPr>
          <w:rFonts w:cs="Arial"/>
          <w:spacing w:val="0"/>
          <w:sz w:val="18"/>
          <w:szCs w:val="20"/>
        </w:rPr>
        <w:t xml:space="preserve">Não há saldo de </w:t>
      </w:r>
      <w:r>
        <w:rPr>
          <w:rFonts w:cs="Arial"/>
          <w:spacing w:val="0"/>
          <w:sz w:val="18"/>
          <w:szCs w:val="20"/>
        </w:rPr>
        <w:t xml:space="preserve">comissões a receber </w:t>
      </w:r>
      <w:r w:rsidRPr="00E817E2">
        <w:rPr>
          <w:rFonts w:cs="Arial"/>
          <w:spacing w:val="0"/>
          <w:sz w:val="18"/>
          <w:szCs w:val="20"/>
        </w:rPr>
        <w:t>no Controlador</w:t>
      </w:r>
      <w:r>
        <w:rPr>
          <w:rFonts w:cs="Arial"/>
          <w:spacing w:val="0"/>
          <w:sz w:val="18"/>
          <w:szCs w:val="20"/>
        </w:rPr>
        <w:t>.</w:t>
      </w:r>
    </w:p>
    <w:p w14:paraId="47954F2B" w14:textId="6EE13C21" w:rsidR="00375569" w:rsidRDefault="00375569" w:rsidP="00423265">
      <w:pPr>
        <w:pStyle w:val="01-TtulodeNota"/>
        <w:spacing w:line="276" w:lineRule="auto"/>
        <w:rPr>
          <w:rFonts w:cs="Arial"/>
          <w:b w:val="0"/>
          <w:snapToGrid w:val="0"/>
          <w:sz w:val="18"/>
        </w:rPr>
      </w:pPr>
      <w:r w:rsidRPr="00957515">
        <w:rPr>
          <w:rFonts w:cs="Arial"/>
          <w:b w:val="0"/>
          <w:snapToGrid w:val="0"/>
          <w:sz w:val="18"/>
        </w:rPr>
        <w:t>As Comissões a Receber estão categorizadas como ativos financeiros</w:t>
      </w:r>
      <w:r>
        <w:rPr>
          <w:rFonts w:cs="Arial"/>
          <w:b w:val="0"/>
          <w:snapToGrid w:val="0"/>
          <w:sz w:val="18"/>
        </w:rPr>
        <w:t xml:space="preserve"> avaliados ao</w:t>
      </w:r>
      <w:r w:rsidRPr="00957515">
        <w:rPr>
          <w:rFonts w:cs="Arial"/>
          <w:b w:val="0"/>
          <w:snapToGrid w:val="0"/>
          <w:sz w:val="18"/>
        </w:rPr>
        <w:t xml:space="preserve"> custo amortizado conforme nota 4.</w:t>
      </w:r>
      <w:bookmarkEnd w:id="93"/>
    </w:p>
    <w:p w14:paraId="51CCA0AB" w14:textId="77777777" w:rsidR="00725333" w:rsidRPr="00725333" w:rsidRDefault="00725333" w:rsidP="00725333">
      <w:pPr>
        <w:rPr>
          <w:lang w:eastAsia="pt-BR"/>
        </w:rPr>
      </w:pPr>
    </w:p>
    <w:p w14:paraId="3660FB02" w14:textId="7D7BD3E2" w:rsidR="00375569" w:rsidRPr="00725333" w:rsidRDefault="00375569" w:rsidP="00725333">
      <w:pPr>
        <w:pStyle w:val="02-TtulodeNota"/>
        <w:keepNext/>
        <w:keepLines/>
        <w:pageBreakBefore/>
        <w:rPr>
          <w:color w:val="1F4E79" w:themeColor="accent1" w:themeShade="80"/>
        </w:rPr>
      </w:pPr>
      <w:bookmarkStart w:id="95" w:name="OLE_LINK11"/>
      <w:bookmarkStart w:id="96" w:name="_Toc94861077"/>
      <w:r w:rsidRPr="00725333">
        <w:rPr>
          <w:color w:val="1F4E79" w:themeColor="accent1" w:themeShade="80"/>
        </w:rPr>
        <w:lastRenderedPageBreak/>
        <w:t>19 – ATIVO INTANGÍVEL</w:t>
      </w:r>
      <w:bookmarkEnd w:id="96"/>
    </w:p>
    <w:p w14:paraId="418A53C4" w14:textId="77777777" w:rsidR="00375569" w:rsidRPr="00DB05FD" w:rsidRDefault="00375569" w:rsidP="00375569">
      <w:pPr>
        <w:pStyle w:val="01-TtulodeNota"/>
        <w:numPr>
          <w:ilvl w:val="0"/>
          <w:numId w:val="11"/>
        </w:numPr>
        <w:ind w:left="284" w:hanging="284"/>
        <w:rPr>
          <w:color w:val="1F4E79" w:themeColor="accent1" w:themeShade="80"/>
          <w:sz w:val="18"/>
        </w:rPr>
      </w:pPr>
      <w:r w:rsidRPr="00DB05FD">
        <w:rPr>
          <w:color w:val="1F4E79" w:themeColor="accent1" w:themeShade="80"/>
          <w:sz w:val="18"/>
        </w:rPr>
        <w:t>Sistema ERP (</w:t>
      </w:r>
      <w:r w:rsidRPr="00DB05FD">
        <w:rPr>
          <w:i/>
          <w:color w:val="1F4E79" w:themeColor="accent1" w:themeShade="80"/>
          <w:sz w:val="18"/>
        </w:rPr>
        <w:t>Enterprise Resource Planning</w:t>
      </w:r>
      <w:r w:rsidRPr="00DB05FD">
        <w:rPr>
          <w:color w:val="1F4E79" w:themeColor="accent1" w:themeShade="80"/>
          <w:sz w:val="18"/>
        </w:rPr>
        <w:t>)</w:t>
      </w:r>
    </w:p>
    <w:p w14:paraId="72BC7073" w14:textId="77777777" w:rsidR="00375569" w:rsidRPr="00315C9A" w:rsidRDefault="00375569" w:rsidP="00E83D5D">
      <w:pPr>
        <w:pStyle w:val="07-Legenda"/>
        <w:ind w:left="708" w:firstLine="0"/>
        <w:jc w:val="right"/>
        <w:rPr>
          <w:b/>
          <w:szCs w:val="14"/>
        </w:rPr>
      </w:pPr>
      <w:r w:rsidRPr="00315C9A">
        <w:rPr>
          <w:b/>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038"/>
        <w:gridCol w:w="245"/>
        <w:gridCol w:w="1027"/>
        <w:gridCol w:w="236"/>
        <w:gridCol w:w="151"/>
        <w:gridCol w:w="66"/>
        <w:gridCol w:w="19"/>
        <w:gridCol w:w="964"/>
        <w:gridCol w:w="1294"/>
        <w:gridCol w:w="53"/>
        <w:gridCol w:w="183"/>
        <w:gridCol w:w="119"/>
        <w:gridCol w:w="1105"/>
        <w:gridCol w:w="170"/>
        <w:gridCol w:w="960"/>
        <w:gridCol w:w="111"/>
        <w:gridCol w:w="898"/>
      </w:tblGrid>
      <w:tr w:rsidR="00375569" w:rsidRPr="00F71EE3" w14:paraId="3E403018" w14:textId="77777777" w:rsidTr="00DB05FD">
        <w:trPr>
          <w:trHeight w:val="238"/>
          <w:jc w:val="center"/>
        </w:trPr>
        <w:tc>
          <w:tcPr>
            <w:tcW w:w="2038" w:type="dxa"/>
            <w:vMerge w:val="restart"/>
            <w:tcBorders>
              <w:top w:val="single" w:sz="2" w:space="0" w:color="1F4E79" w:themeColor="accent1" w:themeShade="80"/>
              <w:bottom w:val="single" w:sz="2" w:space="0" w:color="8EAADB" w:themeColor="accent5" w:themeTint="99"/>
            </w:tcBorders>
            <w:shd w:val="clear" w:color="auto" w:fill="auto"/>
          </w:tcPr>
          <w:p w14:paraId="4232DB59" w14:textId="77777777" w:rsidR="00375569" w:rsidRPr="00F71EE3" w:rsidRDefault="00375569" w:rsidP="00212274">
            <w:pPr>
              <w:rPr>
                <w:rFonts w:cs="Arial"/>
                <w:sz w:val="14"/>
                <w:szCs w:val="14"/>
              </w:rPr>
            </w:pPr>
          </w:p>
        </w:tc>
        <w:tc>
          <w:tcPr>
            <w:tcW w:w="7601" w:type="dxa"/>
            <w:gridSpan w:val="16"/>
            <w:tcBorders>
              <w:top w:val="single" w:sz="2" w:space="0" w:color="1F4E79" w:themeColor="accent1" w:themeShade="80"/>
              <w:bottom w:val="single" w:sz="2" w:space="0" w:color="1F4E79" w:themeColor="accent1" w:themeShade="80"/>
            </w:tcBorders>
            <w:shd w:val="clear" w:color="auto" w:fill="auto"/>
            <w:vAlign w:val="center"/>
          </w:tcPr>
          <w:p w14:paraId="3415AAA4" w14:textId="77777777" w:rsidR="00375569" w:rsidRPr="00EF7262" w:rsidRDefault="00375569" w:rsidP="00255E0A">
            <w:pPr>
              <w:pStyle w:val="08-Tabelageral"/>
              <w:jc w:val="center"/>
              <w:rPr>
                <w:b/>
              </w:rPr>
            </w:pPr>
            <w:r w:rsidRPr="00EF7262">
              <w:rPr>
                <w:b/>
              </w:rPr>
              <w:t>Controlador e Consolidado</w:t>
            </w:r>
          </w:p>
        </w:tc>
      </w:tr>
      <w:tr w:rsidR="00375569" w:rsidRPr="00F71EE3" w14:paraId="2796771C" w14:textId="77777777" w:rsidTr="00DB05FD">
        <w:trPr>
          <w:trHeight w:val="238"/>
          <w:jc w:val="center"/>
        </w:trPr>
        <w:tc>
          <w:tcPr>
            <w:tcW w:w="2038" w:type="dxa"/>
            <w:vMerge/>
            <w:tcBorders>
              <w:top w:val="nil"/>
              <w:bottom w:val="single" w:sz="2" w:space="0" w:color="8EAADB" w:themeColor="accent5" w:themeTint="99"/>
            </w:tcBorders>
            <w:shd w:val="clear" w:color="auto" w:fill="auto"/>
          </w:tcPr>
          <w:p w14:paraId="3F81CC61" w14:textId="77777777" w:rsidR="00375569" w:rsidRPr="00F71EE3" w:rsidRDefault="00375569" w:rsidP="00212274">
            <w:pPr>
              <w:rPr>
                <w:rFonts w:cs="Arial"/>
                <w:sz w:val="14"/>
                <w:szCs w:val="14"/>
              </w:rPr>
            </w:pPr>
          </w:p>
        </w:tc>
        <w:tc>
          <w:tcPr>
            <w:tcW w:w="245" w:type="dxa"/>
            <w:tcBorders>
              <w:top w:val="single" w:sz="2" w:space="0" w:color="1F4E79" w:themeColor="accent1" w:themeShade="80"/>
              <w:bottom w:val="nil"/>
            </w:tcBorders>
            <w:shd w:val="clear" w:color="auto" w:fill="auto"/>
          </w:tcPr>
          <w:p w14:paraId="718A7FE6" w14:textId="77777777" w:rsidR="00375569" w:rsidRPr="00F71EE3" w:rsidRDefault="00375569" w:rsidP="00212274">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69599283" w14:textId="77777777" w:rsidR="00375569" w:rsidRPr="00DE3735" w:rsidRDefault="00375569" w:rsidP="00255E0A">
            <w:pPr>
              <w:pStyle w:val="08-Tabelageral"/>
              <w:jc w:val="center"/>
              <w:rPr>
                <w:b/>
              </w:rPr>
            </w:pPr>
            <w:r>
              <w:rPr>
                <w:b/>
              </w:rPr>
              <w:t>31.12.2020</w:t>
            </w:r>
          </w:p>
        </w:tc>
        <w:tc>
          <w:tcPr>
            <w:tcW w:w="236" w:type="dxa"/>
            <w:tcBorders>
              <w:top w:val="single" w:sz="2" w:space="0" w:color="1F4E79" w:themeColor="accent1" w:themeShade="80"/>
              <w:bottom w:val="single" w:sz="2" w:space="0" w:color="1F4E79" w:themeColor="accent1" w:themeShade="80"/>
            </w:tcBorders>
            <w:shd w:val="clear" w:color="auto" w:fill="auto"/>
            <w:vAlign w:val="center"/>
          </w:tcPr>
          <w:p w14:paraId="2C56A473" w14:textId="77777777" w:rsidR="00375569" w:rsidRPr="00DE3735" w:rsidRDefault="00375569" w:rsidP="00255E0A">
            <w:pPr>
              <w:pStyle w:val="08-Tabelageral"/>
              <w:jc w:val="center"/>
              <w:rPr>
                <w:b/>
              </w:rPr>
            </w:pPr>
          </w:p>
        </w:tc>
        <w:tc>
          <w:tcPr>
            <w:tcW w:w="236" w:type="dxa"/>
            <w:gridSpan w:val="3"/>
            <w:tcBorders>
              <w:top w:val="single" w:sz="2" w:space="0" w:color="1F4E79" w:themeColor="accent1" w:themeShade="80"/>
              <w:bottom w:val="nil"/>
            </w:tcBorders>
            <w:shd w:val="clear" w:color="auto" w:fill="auto"/>
            <w:vAlign w:val="center"/>
          </w:tcPr>
          <w:p w14:paraId="12EFA918" w14:textId="77777777" w:rsidR="00375569" w:rsidRPr="00DE3735" w:rsidRDefault="00375569" w:rsidP="00255E0A">
            <w:pPr>
              <w:pStyle w:val="08-Tabelageral"/>
              <w:jc w:val="center"/>
              <w:rPr>
                <w:b/>
              </w:rPr>
            </w:pPr>
          </w:p>
        </w:tc>
        <w:tc>
          <w:tcPr>
            <w:tcW w:w="2311" w:type="dxa"/>
            <w:gridSpan w:val="3"/>
            <w:tcBorders>
              <w:top w:val="single" w:sz="2" w:space="0" w:color="1F4E79" w:themeColor="accent1" w:themeShade="80"/>
              <w:bottom w:val="single" w:sz="2" w:space="0" w:color="8EAADB" w:themeColor="accent5" w:themeTint="99"/>
            </w:tcBorders>
            <w:shd w:val="clear" w:color="auto" w:fill="auto"/>
            <w:vAlign w:val="center"/>
          </w:tcPr>
          <w:p w14:paraId="0F36C4FB" w14:textId="77777777" w:rsidR="00375569" w:rsidRPr="00DE3735" w:rsidRDefault="00375569" w:rsidP="00D46607">
            <w:pPr>
              <w:pStyle w:val="08-Tabelageral"/>
              <w:jc w:val="center"/>
              <w:rPr>
                <w:b/>
              </w:rPr>
            </w:pPr>
            <w:r w:rsidRPr="002D4916">
              <w:rPr>
                <w:b/>
              </w:rPr>
              <w:t>Exercício</w:t>
            </w:r>
            <w:r>
              <w:rPr>
                <w:b/>
              </w:rPr>
              <w:t xml:space="preserve"> </w:t>
            </w:r>
            <w:r w:rsidRPr="002D4916">
              <w:rPr>
                <w:b/>
              </w:rPr>
              <w:t>202</w:t>
            </w:r>
            <w:r>
              <w:rPr>
                <w:b/>
              </w:rPr>
              <w:t>1</w:t>
            </w:r>
          </w:p>
        </w:tc>
        <w:tc>
          <w:tcPr>
            <w:tcW w:w="302" w:type="dxa"/>
            <w:gridSpan w:val="2"/>
            <w:tcBorders>
              <w:top w:val="single" w:sz="2" w:space="0" w:color="1F4E79" w:themeColor="accent1" w:themeShade="80"/>
              <w:bottom w:val="nil"/>
            </w:tcBorders>
            <w:shd w:val="clear" w:color="auto" w:fill="auto"/>
            <w:vAlign w:val="center"/>
          </w:tcPr>
          <w:p w14:paraId="432F7AB2" w14:textId="77777777" w:rsidR="00375569" w:rsidRPr="00DE3735" w:rsidRDefault="00375569" w:rsidP="00255E0A">
            <w:pPr>
              <w:pStyle w:val="08-Tabelageral"/>
              <w:jc w:val="center"/>
              <w:rPr>
                <w:b/>
              </w:rPr>
            </w:pPr>
          </w:p>
        </w:tc>
        <w:tc>
          <w:tcPr>
            <w:tcW w:w="3244" w:type="dxa"/>
            <w:gridSpan w:val="5"/>
            <w:tcBorders>
              <w:top w:val="single" w:sz="2" w:space="0" w:color="1F4E79" w:themeColor="accent1" w:themeShade="80"/>
              <w:bottom w:val="single" w:sz="2" w:space="0" w:color="8EAADB" w:themeColor="accent5" w:themeTint="99"/>
            </w:tcBorders>
            <w:shd w:val="clear" w:color="auto" w:fill="auto"/>
            <w:vAlign w:val="center"/>
          </w:tcPr>
          <w:p w14:paraId="0F82CA45" w14:textId="77777777" w:rsidR="00375569" w:rsidRPr="00DE3735" w:rsidRDefault="00375569" w:rsidP="00255E0A">
            <w:pPr>
              <w:pStyle w:val="08-Tabelageral"/>
              <w:jc w:val="center"/>
              <w:rPr>
                <w:b/>
              </w:rPr>
            </w:pPr>
            <w:r>
              <w:rPr>
                <w:b/>
              </w:rPr>
              <w:t>31.12.2021</w:t>
            </w:r>
          </w:p>
        </w:tc>
      </w:tr>
      <w:tr w:rsidR="00375569" w:rsidRPr="00F71EE3" w14:paraId="4B344873" w14:textId="77777777" w:rsidTr="00DB05FD">
        <w:trPr>
          <w:trHeight w:val="238"/>
          <w:jc w:val="center"/>
        </w:trPr>
        <w:tc>
          <w:tcPr>
            <w:tcW w:w="2038" w:type="dxa"/>
            <w:vMerge/>
            <w:tcBorders>
              <w:top w:val="nil"/>
              <w:bottom w:val="single" w:sz="2" w:space="0" w:color="1F4E79" w:themeColor="accent1" w:themeShade="80"/>
            </w:tcBorders>
            <w:shd w:val="clear" w:color="auto" w:fill="auto"/>
          </w:tcPr>
          <w:p w14:paraId="52642FEF" w14:textId="77777777" w:rsidR="00375569" w:rsidRPr="00F71EE3" w:rsidRDefault="00375569" w:rsidP="00212274">
            <w:pPr>
              <w:rPr>
                <w:rFonts w:cs="Arial"/>
                <w:sz w:val="14"/>
                <w:szCs w:val="14"/>
              </w:rPr>
            </w:pPr>
          </w:p>
        </w:tc>
        <w:tc>
          <w:tcPr>
            <w:tcW w:w="245" w:type="dxa"/>
            <w:tcBorders>
              <w:top w:val="nil"/>
              <w:bottom w:val="single" w:sz="2" w:space="0" w:color="1F4E79" w:themeColor="accent1" w:themeShade="80"/>
            </w:tcBorders>
            <w:shd w:val="clear" w:color="auto" w:fill="auto"/>
          </w:tcPr>
          <w:p w14:paraId="688FB798" w14:textId="77777777" w:rsidR="00375569" w:rsidRPr="00F71EE3" w:rsidRDefault="00375569" w:rsidP="00212274">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6C831EE7" w14:textId="77777777" w:rsidR="00375569" w:rsidRPr="00DE3735" w:rsidRDefault="00375569" w:rsidP="00255E0A">
            <w:pPr>
              <w:pStyle w:val="08-Tabelageral"/>
              <w:jc w:val="center"/>
              <w:rPr>
                <w:b/>
              </w:rPr>
            </w:pPr>
            <w:r w:rsidRPr="00DE3735">
              <w:rPr>
                <w:b/>
              </w:rPr>
              <w:t>Saldo Contábil</w:t>
            </w:r>
          </w:p>
        </w:tc>
        <w:tc>
          <w:tcPr>
            <w:tcW w:w="387" w:type="dxa"/>
            <w:gridSpan w:val="2"/>
            <w:tcBorders>
              <w:top w:val="nil"/>
              <w:bottom w:val="single" w:sz="2" w:space="0" w:color="1F4E79" w:themeColor="accent1" w:themeShade="80"/>
            </w:tcBorders>
            <w:shd w:val="clear" w:color="auto" w:fill="auto"/>
            <w:vAlign w:val="center"/>
          </w:tcPr>
          <w:p w14:paraId="7D457834" w14:textId="77777777" w:rsidR="00375569" w:rsidRPr="00DE3735" w:rsidRDefault="00375569" w:rsidP="00255E0A">
            <w:pPr>
              <w:pStyle w:val="08-Tabelageral"/>
              <w:jc w:val="center"/>
              <w:rPr>
                <w:b/>
              </w:rPr>
            </w:pPr>
          </w:p>
        </w:tc>
        <w:tc>
          <w:tcPr>
            <w:tcW w:w="1049" w:type="dxa"/>
            <w:gridSpan w:val="3"/>
            <w:tcBorders>
              <w:top w:val="single" w:sz="2" w:space="0" w:color="1F4E79" w:themeColor="accent1" w:themeShade="80"/>
              <w:bottom w:val="single" w:sz="2" w:space="0" w:color="1F4E79" w:themeColor="accent1" w:themeShade="80"/>
            </w:tcBorders>
            <w:shd w:val="clear" w:color="auto" w:fill="auto"/>
            <w:vAlign w:val="center"/>
          </w:tcPr>
          <w:p w14:paraId="6D215F7E" w14:textId="77777777" w:rsidR="00375569" w:rsidRPr="00DE3735" w:rsidRDefault="00375569" w:rsidP="00255E0A">
            <w:pPr>
              <w:pStyle w:val="08-Tabelageral"/>
              <w:jc w:val="center"/>
              <w:rPr>
                <w:b/>
              </w:rPr>
            </w:pPr>
            <w:r w:rsidRPr="00DE3735">
              <w:rPr>
                <w:b/>
              </w:rPr>
              <w:t>Aquisições</w:t>
            </w:r>
          </w:p>
        </w:tc>
        <w:tc>
          <w:tcPr>
            <w:tcW w:w="1294" w:type="dxa"/>
            <w:tcBorders>
              <w:top w:val="single" w:sz="2" w:space="0" w:color="1F4E79" w:themeColor="accent1" w:themeShade="80"/>
              <w:bottom w:val="single" w:sz="2" w:space="0" w:color="1F4E79" w:themeColor="accent1" w:themeShade="80"/>
            </w:tcBorders>
            <w:shd w:val="clear" w:color="auto" w:fill="auto"/>
            <w:vAlign w:val="center"/>
          </w:tcPr>
          <w:p w14:paraId="345967AD" w14:textId="77777777" w:rsidR="00375569" w:rsidRPr="00DE3735" w:rsidRDefault="00375569" w:rsidP="00255E0A">
            <w:pPr>
              <w:pStyle w:val="08-Tabelageral"/>
              <w:jc w:val="center"/>
              <w:rPr>
                <w:b/>
              </w:rPr>
            </w:pPr>
            <w:r w:rsidRPr="00DE3735">
              <w:rPr>
                <w:b/>
              </w:rPr>
              <w:t>Amortização no</w:t>
            </w:r>
            <w:r>
              <w:rPr>
                <w:b/>
              </w:rPr>
              <w:t xml:space="preserve"> Exercício</w:t>
            </w:r>
          </w:p>
        </w:tc>
        <w:tc>
          <w:tcPr>
            <w:tcW w:w="236" w:type="dxa"/>
            <w:gridSpan w:val="2"/>
            <w:tcBorders>
              <w:top w:val="nil"/>
              <w:bottom w:val="single" w:sz="2" w:space="0" w:color="1F4E79" w:themeColor="accent1" w:themeShade="80"/>
            </w:tcBorders>
            <w:shd w:val="clear" w:color="auto" w:fill="auto"/>
            <w:vAlign w:val="center"/>
          </w:tcPr>
          <w:p w14:paraId="64EB17E9" w14:textId="77777777" w:rsidR="00375569" w:rsidRPr="00DE3735" w:rsidRDefault="00375569" w:rsidP="00255E0A">
            <w:pPr>
              <w:pStyle w:val="08-Tabelageral"/>
              <w:jc w:val="center"/>
              <w:rPr>
                <w:b/>
              </w:rPr>
            </w:pPr>
          </w:p>
        </w:tc>
        <w:tc>
          <w:tcPr>
            <w:tcW w:w="1224" w:type="dxa"/>
            <w:gridSpan w:val="2"/>
            <w:tcBorders>
              <w:top w:val="single" w:sz="2" w:space="0" w:color="1F4E79" w:themeColor="accent1" w:themeShade="80"/>
              <w:bottom w:val="single" w:sz="2" w:space="0" w:color="1F4E79" w:themeColor="accent1" w:themeShade="80"/>
            </w:tcBorders>
            <w:shd w:val="clear" w:color="auto" w:fill="auto"/>
            <w:vAlign w:val="center"/>
          </w:tcPr>
          <w:p w14:paraId="2A012B19" w14:textId="77777777" w:rsidR="00375569" w:rsidRPr="00DE3735" w:rsidRDefault="00375569" w:rsidP="00255E0A">
            <w:pPr>
              <w:pStyle w:val="08-Tabelageral"/>
              <w:jc w:val="center"/>
              <w:rPr>
                <w:b/>
              </w:rPr>
            </w:pPr>
            <w:r w:rsidRPr="00DE3735">
              <w:rPr>
                <w:b/>
              </w:rPr>
              <w:t>Valor de Custo</w:t>
            </w:r>
          </w:p>
        </w:tc>
        <w:tc>
          <w:tcPr>
            <w:tcW w:w="1130" w:type="dxa"/>
            <w:gridSpan w:val="2"/>
            <w:tcBorders>
              <w:top w:val="single" w:sz="2" w:space="0" w:color="1F4E79" w:themeColor="accent1" w:themeShade="80"/>
              <w:bottom w:val="single" w:sz="2" w:space="0" w:color="1F4E79" w:themeColor="accent1" w:themeShade="80"/>
            </w:tcBorders>
            <w:shd w:val="clear" w:color="auto" w:fill="auto"/>
            <w:vAlign w:val="center"/>
          </w:tcPr>
          <w:p w14:paraId="09DF35AD" w14:textId="77777777" w:rsidR="00375569" w:rsidRPr="00DE3735" w:rsidRDefault="00375569" w:rsidP="00255E0A">
            <w:pPr>
              <w:pStyle w:val="08-Tabelageral"/>
              <w:jc w:val="center"/>
              <w:rPr>
                <w:b/>
              </w:rPr>
            </w:pPr>
            <w:r w:rsidRPr="00DE3735">
              <w:rPr>
                <w:b/>
                <w:bCs/>
              </w:rPr>
              <w:t>Amortização Acumulada</w:t>
            </w:r>
          </w:p>
        </w:tc>
        <w:tc>
          <w:tcPr>
            <w:tcW w:w="1009" w:type="dxa"/>
            <w:gridSpan w:val="2"/>
            <w:tcBorders>
              <w:top w:val="single" w:sz="2" w:space="0" w:color="1F4E79" w:themeColor="accent1" w:themeShade="80"/>
              <w:bottom w:val="single" w:sz="2" w:space="0" w:color="1F4E79" w:themeColor="accent1" w:themeShade="80"/>
            </w:tcBorders>
            <w:shd w:val="clear" w:color="auto" w:fill="auto"/>
            <w:vAlign w:val="center"/>
          </w:tcPr>
          <w:p w14:paraId="531AEE49" w14:textId="77777777" w:rsidR="00375569" w:rsidRPr="00DE3735" w:rsidRDefault="00375569" w:rsidP="00255E0A">
            <w:pPr>
              <w:pStyle w:val="08-Tabelageral"/>
              <w:jc w:val="center"/>
              <w:rPr>
                <w:b/>
              </w:rPr>
            </w:pPr>
            <w:r w:rsidRPr="00DE3735">
              <w:rPr>
                <w:b/>
                <w:bCs/>
              </w:rPr>
              <w:t>Saldo Contábil</w:t>
            </w:r>
          </w:p>
        </w:tc>
      </w:tr>
      <w:tr w:rsidR="00375569" w:rsidRPr="00543AEB" w14:paraId="04BEB12A" w14:textId="77777777" w:rsidTr="00DB05FD">
        <w:trPr>
          <w:trHeight w:val="238"/>
          <w:jc w:val="center"/>
        </w:trPr>
        <w:tc>
          <w:tcPr>
            <w:tcW w:w="2038" w:type="dxa"/>
            <w:tcBorders>
              <w:top w:val="single" w:sz="2" w:space="0" w:color="1F4E79" w:themeColor="accent1" w:themeShade="80"/>
              <w:bottom w:val="single" w:sz="2" w:space="0" w:color="1F4E79" w:themeColor="accent1" w:themeShade="80"/>
            </w:tcBorders>
            <w:shd w:val="clear" w:color="auto" w:fill="auto"/>
          </w:tcPr>
          <w:p w14:paraId="2FCC4D21" w14:textId="77777777" w:rsidR="00375569" w:rsidRPr="003B0482" w:rsidRDefault="00375569" w:rsidP="00212274">
            <w:pPr>
              <w:pStyle w:val="08-Tabelageral"/>
              <w:jc w:val="left"/>
              <w:rPr>
                <w:rFonts w:cs="Arial"/>
                <w:b/>
                <w:szCs w:val="14"/>
                <w:vertAlign w:val="superscript"/>
              </w:rPr>
            </w:pPr>
            <w:r w:rsidRPr="003B0482">
              <w:rPr>
                <w:rFonts w:cs="Arial"/>
                <w:szCs w:val="14"/>
              </w:rPr>
              <w:t>Software adquirido – ERP</w:t>
            </w:r>
            <w:r>
              <w:rPr>
                <w:rFonts w:cs="Arial"/>
                <w:szCs w:val="14"/>
              </w:rPr>
              <w:t xml:space="preserve"> </w:t>
            </w:r>
            <w:r w:rsidRPr="003B0482">
              <w:rPr>
                <w:rFonts w:cs="Arial"/>
                <w:szCs w:val="14"/>
                <w:vertAlign w:val="superscript"/>
              </w:rPr>
              <w:t>(1)</w:t>
            </w:r>
          </w:p>
        </w:tc>
        <w:tc>
          <w:tcPr>
            <w:tcW w:w="245" w:type="dxa"/>
            <w:tcBorders>
              <w:top w:val="single" w:sz="2" w:space="0" w:color="1F4E79" w:themeColor="accent1" w:themeShade="80"/>
              <w:bottom w:val="single" w:sz="2" w:space="0" w:color="1F4E79" w:themeColor="accent1" w:themeShade="80"/>
            </w:tcBorders>
            <w:shd w:val="clear" w:color="auto" w:fill="auto"/>
          </w:tcPr>
          <w:p w14:paraId="4BB7AD4D" w14:textId="77777777" w:rsidR="00375569" w:rsidRPr="003B0482" w:rsidRDefault="00375569" w:rsidP="00212274">
            <w:pPr>
              <w:pStyle w:val="08-Tabelageral"/>
              <w:jc w:val="center"/>
              <w:rPr>
                <w:rFonts w:cs="Arial"/>
                <w:szCs w:val="14"/>
              </w:rPr>
            </w:pPr>
          </w:p>
        </w:tc>
        <w:tc>
          <w:tcPr>
            <w:tcW w:w="1027" w:type="dxa"/>
            <w:tcBorders>
              <w:top w:val="single" w:sz="2" w:space="0" w:color="1F4E79" w:themeColor="accent1" w:themeShade="80"/>
              <w:bottom w:val="single" w:sz="2" w:space="0" w:color="1F4E79" w:themeColor="accent1" w:themeShade="80"/>
            </w:tcBorders>
            <w:shd w:val="clear" w:color="auto" w:fill="auto"/>
          </w:tcPr>
          <w:p w14:paraId="6080334B" w14:textId="77777777" w:rsidR="00375569" w:rsidRPr="003B0482" w:rsidRDefault="00375569" w:rsidP="00212274">
            <w:pPr>
              <w:pStyle w:val="08-Tabelageral"/>
              <w:jc w:val="center"/>
              <w:rPr>
                <w:rFonts w:cs="Arial"/>
                <w:szCs w:val="14"/>
              </w:rPr>
            </w:pPr>
            <w:r>
              <w:rPr>
                <w:rFonts w:cs="Arial"/>
                <w:szCs w:val="14"/>
              </w:rPr>
              <w:t>5.481</w:t>
            </w:r>
          </w:p>
        </w:tc>
        <w:tc>
          <w:tcPr>
            <w:tcW w:w="453" w:type="dxa"/>
            <w:gridSpan w:val="3"/>
            <w:tcBorders>
              <w:top w:val="single" w:sz="2" w:space="0" w:color="1F4E79" w:themeColor="accent1" w:themeShade="80"/>
              <w:bottom w:val="single" w:sz="2" w:space="0" w:color="1F4E79" w:themeColor="accent1" w:themeShade="80"/>
            </w:tcBorders>
            <w:shd w:val="clear" w:color="auto" w:fill="auto"/>
          </w:tcPr>
          <w:p w14:paraId="313CB9A9" w14:textId="77777777" w:rsidR="00375569" w:rsidRPr="003B0482" w:rsidRDefault="00375569" w:rsidP="00212274">
            <w:pPr>
              <w:pStyle w:val="08-Tabelageral"/>
              <w:jc w:val="left"/>
              <w:rPr>
                <w:rFonts w:cs="Arial"/>
                <w:szCs w:val="14"/>
              </w:rPr>
            </w:pPr>
          </w:p>
        </w:tc>
        <w:tc>
          <w:tcPr>
            <w:tcW w:w="983" w:type="dxa"/>
            <w:gridSpan w:val="2"/>
            <w:tcBorders>
              <w:top w:val="single" w:sz="2" w:space="0" w:color="1F4E79" w:themeColor="accent1" w:themeShade="80"/>
              <w:bottom w:val="single" w:sz="2" w:space="0" w:color="1F4E79" w:themeColor="accent1" w:themeShade="80"/>
            </w:tcBorders>
            <w:shd w:val="clear" w:color="auto" w:fill="auto"/>
          </w:tcPr>
          <w:p w14:paraId="01AB5414" w14:textId="77777777" w:rsidR="00375569" w:rsidRPr="003B0482" w:rsidRDefault="00375569" w:rsidP="00212274">
            <w:pPr>
              <w:pStyle w:val="08-Tabelageral"/>
              <w:jc w:val="center"/>
              <w:rPr>
                <w:rFonts w:cs="Arial"/>
                <w:szCs w:val="14"/>
              </w:rPr>
            </w:pPr>
            <w:r>
              <w:rPr>
                <w:rFonts w:cs="Arial"/>
                <w:szCs w:val="14"/>
              </w:rPr>
              <w:t>286</w:t>
            </w:r>
          </w:p>
        </w:tc>
        <w:tc>
          <w:tcPr>
            <w:tcW w:w="1294" w:type="dxa"/>
            <w:tcBorders>
              <w:top w:val="single" w:sz="2" w:space="0" w:color="1F4E79" w:themeColor="accent1" w:themeShade="80"/>
              <w:bottom w:val="single" w:sz="2" w:space="0" w:color="1F4E79" w:themeColor="accent1" w:themeShade="80"/>
            </w:tcBorders>
            <w:shd w:val="clear" w:color="auto" w:fill="auto"/>
          </w:tcPr>
          <w:p w14:paraId="24C521EA" w14:textId="77777777" w:rsidR="00375569" w:rsidRPr="003B0482" w:rsidRDefault="00375569" w:rsidP="001B49C4">
            <w:pPr>
              <w:pStyle w:val="08-Tabelageral"/>
              <w:jc w:val="center"/>
              <w:rPr>
                <w:rFonts w:cs="Arial"/>
                <w:szCs w:val="14"/>
              </w:rPr>
            </w:pPr>
            <w:r>
              <w:rPr>
                <w:rFonts w:cs="Arial"/>
                <w:szCs w:val="14"/>
              </w:rPr>
              <w:t>(808)</w:t>
            </w:r>
          </w:p>
        </w:tc>
        <w:tc>
          <w:tcPr>
            <w:tcW w:w="236" w:type="dxa"/>
            <w:gridSpan w:val="2"/>
            <w:tcBorders>
              <w:top w:val="single" w:sz="2" w:space="0" w:color="1F4E79" w:themeColor="accent1" w:themeShade="80"/>
              <w:bottom w:val="single" w:sz="2" w:space="0" w:color="1F4E79" w:themeColor="accent1" w:themeShade="80"/>
            </w:tcBorders>
            <w:shd w:val="clear" w:color="auto" w:fill="auto"/>
          </w:tcPr>
          <w:p w14:paraId="39B2CCA7" w14:textId="77777777" w:rsidR="00375569" w:rsidRPr="003B0482" w:rsidRDefault="00375569" w:rsidP="00212274">
            <w:pPr>
              <w:pStyle w:val="08-Tabelageral"/>
              <w:jc w:val="left"/>
              <w:rPr>
                <w:rFonts w:cs="Arial"/>
                <w:szCs w:val="14"/>
              </w:rPr>
            </w:pPr>
          </w:p>
        </w:tc>
        <w:tc>
          <w:tcPr>
            <w:tcW w:w="1394" w:type="dxa"/>
            <w:gridSpan w:val="3"/>
            <w:tcBorders>
              <w:top w:val="single" w:sz="2" w:space="0" w:color="1F4E79" w:themeColor="accent1" w:themeShade="80"/>
              <w:bottom w:val="single" w:sz="2" w:space="0" w:color="1F4E79" w:themeColor="accent1" w:themeShade="80"/>
            </w:tcBorders>
            <w:shd w:val="clear" w:color="auto" w:fill="auto"/>
          </w:tcPr>
          <w:p w14:paraId="1B61E774" w14:textId="77777777" w:rsidR="00375569" w:rsidRPr="003B0482" w:rsidRDefault="00375569" w:rsidP="00212274">
            <w:pPr>
              <w:pStyle w:val="08-Tabelageral"/>
              <w:jc w:val="center"/>
              <w:rPr>
                <w:rFonts w:cs="Arial"/>
                <w:szCs w:val="14"/>
              </w:rPr>
            </w:pPr>
            <w:r>
              <w:rPr>
                <w:rFonts w:cs="Arial"/>
                <w:szCs w:val="14"/>
              </w:rPr>
              <w:t>7.774</w:t>
            </w:r>
          </w:p>
        </w:tc>
        <w:tc>
          <w:tcPr>
            <w:tcW w:w="1071" w:type="dxa"/>
            <w:gridSpan w:val="2"/>
            <w:tcBorders>
              <w:top w:val="single" w:sz="2" w:space="0" w:color="1F4E79" w:themeColor="accent1" w:themeShade="80"/>
              <w:bottom w:val="single" w:sz="2" w:space="0" w:color="1F4E79" w:themeColor="accent1" w:themeShade="80"/>
            </w:tcBorders>
            <w:shd w:val="clear" w:color="auto" w:fill="auto"/>
          </w:tcPr>
          <w:p w14:paraId="15F91D3E" w14:textId="77777777" w:rsidR="00375569" w:rsidRPr="003B0482" w:rsidRDefault="00375569" w:rsidP="00212274">
            <w:pPr>
              <w:pStyle w:val="08-Tabelageral"/>
              <w:jc w:val="center"/>
              <w:rPr>
                <w:rFonts w:cs="Arial"/>
                <w:szCs w:val="14"/>
              </w:rPr>
            </w:pPr>
            <w:r>
              <w:rPr>
                <w:rFonts w:cs="Arial"/>
                <w:szCs w:val="14"/>
              </w:rPr>
              <w:t>(2.815)</w:t>
            </w:r>
          </w:p>
        </w:tc>
        <w:tc>
          <w:tcPr>
            <w:tcW w:w="898" w:type="dxa"/>
            <w:tcBorders>
              <w:top w:val="single" w:sz="2" w:space="0" w:color="1F4E79" w:themeColor="accent1" w:themeShade="80"/>
              <w:bottom w:val="single" w:sz="2" w:space="0" w:color="1F4E79" w:themeColor="accent1" w:themeShade="80"/>
            </w:tcBorders>
            <w:shd w:val="clear" w:color="auto" w:fill="auto"/>
          </w:tcPr>
          <w:p w14:paraId="10E38DAC" w14:textId="77777777" w:rsidR="00375569" w:rsidRPr="003B0482" w:rsidRDefault="00375569" w:rsidP="00212274">
            <w:pPr>
              <w:pStyle w:val="08-Tabelageral"/>
              <w:jc w:val="center"/>
              <w:rPr>
                <w:rFonts w:cs="Arial"/>
                <w:szCs w:val="14"/>
              </w:rPr>
            </w:pPr>
            <w:r>
              <w:rPr>
                <w:rFonts w:cs="Arial"/>
                <w:szCs w:val="14"/>
              </w:rPr>
              <w:t>4.959</w:t>
            </w:r>
          </w:p>
        </w:tc>
      </w:tr>
    </w:tbl>
    <w:p w14:paraId="229F5C25" w14:textId="77777777" w:rsidR="00375569" w:rsidRDefault="00375569" w:rsidP="00375569">
      <w:pPr>
        <w:pStyle w:val="07-Legenda"/>
        <w:numPr>
          <w:ilvl w:val="0"/>
          <w:numId w:val="12"/>
        </w:numPr>
        <w:tabs>
          <w:tab w:val="clear" w:pos="284"/>
          <w:tab w:val="left" w:pos="0"/>
        </w:tabs>
        <w:ind w:left="284" w:hanging="284"/>
      </w:pPr>
      <w:r w:rsidRPr="00F26FC4">
        <w:t>A partir de janeiro de 2018</w:t>
      </w:r>
      <w:r>
        <w:t xml:space="preserve">, iniciou-se </w:t>
      </w:r>
      <w:r w:rsidRPr="00F26FC4">
        <w:t>a amortização do</w:t>
      </w:r>
      <w:r>
        <w:t xml:space="preserve"> custo do </w:t>
      </w:r>
      <w:r w:rsidRPr="00A71578">
        <w:rPr>
          <w:i/>
          <w:iCs/>
        </w:rPr>
        <w:t>software</w:t>
      </w:r>
      <w:r w:rsidRPr="00F26FC4">
        <w:t xml:space="preserve"> de gestão adquirido (</w:t>
      </w:r>
      <w:r w:rsidRPr="00255E0A">
        <w:rPr>
          <w:i/>
        </w:rPr>
        <w:t>Enterprise Resource Planning</w:t>
      </w:r>
      <w:r w:rsidRPr="00F26FC4">
        <w:t xml:space="preserve"> – ERP), conforme CPC 04 </w:t>
      </w:r>
      <w:r>
        <w:t>[</w:t>
      </w:r>
      <w:r w:rsidRPr="00F26FC4">
        <w:t>IAS 38</w:t>
      </w:r>
      <w:r>
        <w:t>]</w:t>
      </w:r>
      <w:r w:rsidRPr="00F26FC4">
        <w:t xml:space="preserve"> – Ativo Intangível, em que o prazo de amortização é de dez anos e a amortização, calculada à taxa anual de 10%,</w:t>
      </w:r>
      <w:r>
        <w:t xml:space="preserve"> é reconhecida no resultado </w:t>
      </w:r>
      <w:r w:rsidRPr="00F26FC4">
        <w:t>pelo método linear.</w:t>
      </w:r>
    </w:p>
    <w:p w14:paraId="569EC0A5" w14:textId="77777777" w:rsidR="00375569" w:rsidRDefault="00375569" w:rsidP="00EE4E97">
      <w:pPr>
        <w:spacing w:after="120"/>
        <w:rPr>
          <w:rFonts w:cs="Arial"/>
          <w:b/>
          <w:color w:val="1F4E79" w:themeColor="accent1" w:themeShade="80"/>
          <w:szCs w:val="18"/>
        </w:rPr>
      </w:pPr>
    </w:p>
    <w:p w14:paraId="2351658A" w14:textId="77777777" w:rsidR="00375569" w:rsidRPr="00DB05FD" w:rsidRDefault="00375569" w:rsidP="000147A2">
      <w:pPr>
        <w:pStyle w:val="01-TtulodeNota"/>
        <w:rPr>
          <w:color w:val="1F4E79" w:themeColor="accent1" w:themeShade="80"/>
          <w:sz w:val="18"/>
        </w:rPr>
      </w:pPr>
      <w:r w:rsidRPr="00DB05FD">
        <w:rPr>
          <w:color w:val="1F4E79" w:themeColor="accent1" w:themeShade="80"/>
          <w:sz w:val="18"/>
        </w:rPr>
        <w:t>a.1) Estimativa de amortização</w:t>
      </w:r>
    </w:p>
    <w:p w14:paraId="04B132AF" w14:textId="77777777" w:rsidR="00375569" w:rsidRPr="00315C9A" w:rsidRDefault="00375569" w:rsidP="00E83D5D">
      <w:pPr>
        <w:pStyle w:val="07-Legenda"/>
        <w:ind w:left="708" w:firstLine="0"/>
        <w:jc w:val="right"/>
        <w:rPr>
          <w:b/>
          <w:szCs w:val="12"/>
        </w:rPr>
      </w:pPr>
      <w:r w:rsidRPr="00315C9A">
        <w:rPr>
          <w:b/>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799"/>
        <w:gridCol w:w="944"/>
        <w:gridCol w:w="943"/>
        <w:gridCol w:w="943"/>
        <w:gridCol w:w="943"/>
        <w:gridCol w:w="943"/>
        <w:gridCol w:w="1035"/>
        <w:gridCol w:w="1089"/>
      </w:tblGrid>
      <w:tr w:rsidR="00375569" w:rsidRPr="00255E0A" w14:paraId="136FBDB2" w14:textId="77777777" w:rsidTr="00DB3DDE">
        <w:trPr>
          <w:trHeight w:val="238"/>
          <w:jc w:val="center"/>
        </w:trPr>
        <w:tc>
          <w:tcPr>
            <w:tcW w:w="2589" w:type="dxa"/>
            <w:tcBorders>
              <w:top w:val="single" w:sz="2" w:space="0" w:color="1F4E79" w:themeColor="accent1" w:themeShade="80"/>
              <w:bottom w:val="single" w:sz="2" w:space="0" w:color="1F4E79" w:themeColor="accent1" w:themeShade="80"/>
            </w:tcBorders>
            <w:shd w:val="clear" w:color="auto" w:fill="auto"/>
            <w:vAlign w:val="center"/>
          </w:tcPr>
          <w:p w14:paraId="1CF204FF" w14:textId="77777777" w:rsidR="00375569" w:rsidRPr="00255E0A" w:rsidRDefault="00375569" w:rsidP="00115A79">
            <w:pPr>
              <w:pStyle w:val="08-Tabelageral"/>
              <w:jc w:val="center"/>
              <w:rPr>
                <w:b/>
              </w:rPr>
            </w:pPr>
          </w:p>
        </w:tc>
        <w:tc>
          <w:tcPr>
            <w:tcW w:w="873" w:type="dxa"/>
            <w:tcBorders>
              <w:top w:val="single" w:sz="2" w:space="0" w:color="1F4E79" w:themeColor="accent1" w:themeShade="80"/>
              <w:bottom w:val="single" w:sz="2" w:space="0" w:color="1F4E79" w:themeColor="accent1" w:themeShade="80"/>
            </w:tcBorders>
            <w:shd w:val="clear" w:color="auto" w:fill="auto"/>
            <w:vAlign w:val="center"/>
          </w:tcPr>
          <w:p w14:paraId="0BB65E91" w14:textId="77777777" w:rsidR="00375569" w:rsidRPr="00255E0A" w:rsidRDefault="00375569" w:rsidP="00115A79">
            <w:pPr>
              <w:pStyle w:val="08-Tabelageral"/>
              <w:jc w:val="center"/>
              <w:rPr>
                <w:b/>
              </w:rPr>
            </w:pPr>
            <w:r w:rsidRPr="00255E0A">
              <w:rPr>
                <w:b/>
              </w:rPr>
              <w:t>2022</w:t>
            </w:r>
          </w:p>
        </w:tc>
        <w:tc>
          <w:tcPr>
            <w:tcW w:w="873" w:type="dxa"/>
            <w:tcBorders>
              <w:top w:val="single" w:sz="2" w:space="0" w:color="1F4E79" w:themeColor="accent1" w:themeShade="80"/>
              <w:bottom w:val="single" w:sz="2" w:space="0" w:color="1F4E79" w:themeColor="accent1" w:themeShade="80"/>
            </w:tcBorders>
            <w:shd w:val="clear" w:color="auto" w:fill="auto"/>
            <w:vAlign w:val="center"/>
          </w:tcPr>
          <w:p w14:paraId="6E568F6E" w14:textId="77777777" w:rsidR="00375569" w:rsidRPr="00255E0A" w:rsidRDefault="00375569" w:rsidP="00115A79">
            <w:pPr>
              <w:pStyle w:val="08-Tabelageral"/>
              <w:jc w:val="center"/>
              <w:rPr>
                <w:b/>
              </w:rPr>
            </w:pPr>
            <w:r w:rsidRPr="00255E0A">
              <w:rPr>
                <w:b/>
              </w:rPr>
              <w:t>2023</w:t>
            </w:r>
          </w:p>
        </w:tc>
        <w:tc>
          <w:tcPr>
            <w:tcW w:w="873" w:type="dxa"/>
            <w:tcBorders>
              <w:top w:val="single" w:sz="2" w:space="0" w:color="1F4E79" w:themeColor="accent1" w:themeShade="80"/>
              <w:bottom w:val="single" w:sz="2" w:space="0" w:color="1F4E79" w:themeColor="accent1" w:themeShade="80"/>
            </w:tcBorders>
            <w:shd w:val="clear" w:color="auto" w:fill="auto"/>
            <w:vAlign w:val="center"/>
          </w:tcPr>
          <w:p w14:paraId="09C955FE" w14:textId="77777777" w:rsidR="00375569" w:rsidRPr="00255E0A" w:rsidRDefault="00375569" w:rsidP="00115A79">
            <w:pPr>
              <w:pStyle w:val="08-Tabelageral"/>
              <w:jc w:val="center"/>
              <w:rPr>
                <w:b/>
              </w:rPr>
            </w:pPr>
            <w:r w:rsidRPr="00255E0A">
              <w:rPr>
                <w:b/>
              </w:rPr>
              <w:t>2024</w:t>
            </w:r>
          </w:p>
        </w:tc>
        <w:tc>
          <w:tcPr>
            <w:tcW w:w="873" w:type="dxa"/>
            <w:tcBorders>
              <w:top w:val="single" w:sz="2" w:space="0" w:color="1F4E79" w:themeColor="accent1" w:themeShade="80"/>
              <w:bottom w:val="single" w:sz="2" w:space="0" w:color="1F4E79" w:themeColor="accent1" w:themeShade="80"/>
            </w:tcBorders>
            <w:shd w:val="clear" w:color="auto" w:fill="auto"/>
            <w:vAlign w:val="center"/>
          </w:tcPr>
          <w:p w14:paraId="0BF49B76" w14:textId="77777777" w:rsidR="00375569" w:rsidRPr="00255E0A" w:rsidRDefault="00375569" w:rsidP="00115A79">
            <w:pPr>
              <w:pStyle w:val="08-Tabelageral"/>
              <w:jc w:val="center"/>
              <w:rPr>
                <w:b/>
              </w:rPr>
            </w:pPr>
            <w:r w:rsidRPr="00255E0A">
              <w:rPr>
                <w:b/>
              </w:rPr>
              <w:t>2025</w:t>
            </w:r>
          </w:p>
        </w:tc>
        <w:tc>
          <w:tcPr>
            <w:tcW w:w="873" w:type="dxa"/>
            <w:tcBorders>
              <w:top w:val="single" w:sz="2" w:space="0" w:color="1F4E79" w:themeColor="accent1" w:themeShade="80"/>
              <w:bottom w:val="single" w:sz="2" w:space="0" w:color="1F4E79" w:themeColor="accent1" w:themeShade="80"/>
            </w:tcBorders>
            <w:shd w:val="clear" w:color="auto" w:fill="auto"/>
            <w:vAlign w:val="center"/>
          </w:tcPr>
          <w:p w14:paraId="41FCBB75" w14:textId="77777777" w:rsidR="00375569" w:rsidRPr="00255E0A" w:rsidRDefault="00375569" w:rsidP="00115A79">
            <w:pPr>
              <w:pStyle w:val="08-Tabelageral"/>
              <w:jc w:val="center"/>
              <w:rPr>
                <w:b/>
              </w:rPr>
            </w:pPr>
            <w:r w:rsidRPr="00255E0A">
              <w:rPr>
                <w:b/>
              </w:rPr>
              <w:t>2026</w:t>
            </w:r>
          </w:p>
        </w:tc>
        <w:tc>
          <w:tcPr>
            <w:tcW w:w="958" w:type="dxa"/>
            <w:tcBorders>
              <w:top w:val="single" w:sz="2" w:space="0" w:color="1F4E79" w:themeColor="accent1" w:themeShade="80"/>
              <w:bottom w:val="single" w:sz="2" w:space="0" w:color="1F4E79" w:themeColor="accent1" w:themeShade="80"/>
            </w:tcBorders>
            <w:shd w:val="clear" w:color="auto" w:fill="auto"/>
            <w:vAlign w:val="center"/>
          </w:tcPr>
          <w:p w14:paraId="17B05D2F" w14:textId="77777777" w:rsidR="00375569" w:rsidRPr="00255E0A" w:rsidRDefault="00375569" w:rsidP="00115A79">
            <w:pPr>
              <w:pStyle w:val="08-Tabelageral"/>
              <w:jc w:val="center"/>
              <w:rPr>
                <w:b/>
              </w:rPr>
            </w:pPr>
            <w:r>
              <w:rPr>
                <w:b/>
              </w:rPr>
              <w:t>2027</w:t>
            </w:r>
          </w:p>
        </w:tc>
        <w:tc>
          <w:tcPr>
            <w:tcW w:w="1008" w:type="dxa"/>
            <w:tcBorders>
              <w:top w:val="single" w:sz="2" w:space="0" w:color="1F4E79" w:themeColor="accent1" w:themeShade="80"/>
              <w:bottom w:val="single" w:sz="2" w:space="0" w:color="1F4E79" w:themeColor="accent1" w:themeShade="80"/>
            </w:tcBorders>
            <w:shd w:val="clear" w:color="auto" w:fill="auto"/>
            <w:vAlign w:val="center"/>
          </w:tcPr>
          <w:p w14:paraId="63F39A35" w14:textId="77777777" w:rsidR="00375569" w:rsidRPr="00255E0A" w:rsidRDefault="00375569" w:rsidP="00115A79">
            <w:pPr>
              <w:pStyle w:val="08-Tabelageral"/>
              <w:jc w:val="center"/>
              <w:rPr>
                <w:b/>
              </w:rPr>
            </w:pPr>
            <w:r w:rsidRPr="00255E0A">
              <w:rPr>
                <w:b/>
              </w:rPr>
              <w:t>Total</w:t>
            </w:r>
          </w:p>
        </w:tc>
      </w:tr>
      <w:tr w:rsidR="00375569" w:rsidRPr="00E177EF" w14:paraId="6CDA4D32" w14:textId="77777777" w:rsidTr="00DB3DDE">
        <w:trPr>
          <w:trHeight w:val="238"/>
          <w:jc w:val="center"/>
        </w:trPr>
        <w:tc>
          <w:tcPr>
            <w:tcW w:w="2589" w:type="dxa"/>
            <w:tcBorders>
              <w:top w:val="single" w:sz="2" w:space="0" w:color="1F4E79" w:themeColor="accent1" w:themeShade="80"/>
              <w:bottom w:val="single" w:sz="2" w:space="0" w:color="1F4E79" w:themeColor="accent1" w:themeShade="80"/>
            </w:tcBorders>
            <w:shd w:val="clear" w:color="auto" w:fill="auto"/>
          </w:tcPr>
          <w:p w14:paraId="40CD125B" w14:textId="77777777" w:rsidR="00375569" w:rsidRPr="0095503D" w:rsidRDefault="00375569" w:rsidP="00DF59A8">
            <w:pPr>
              <w:pStyle w:val="08-Tabelageral"/>
              <w:jc w:val="left"/>
              <w:rPr>
                <w:b/>
                <w:szCs w:val="14"/>
              </w:rPr>
            </w:pPr>
            <w:r w:rsidRPr="0095503D">
              <w:rPr>
                <w:szCs w:val="14"/>
              </w:rPr>
              <w:t>Estimativa de Amortização</w:t>
            </w:r>
          </w:p>
        </w:tc>
        <w:tc>
          <w:tcPr>
            <w:tcW w:w="873" w:type="dxa"/>
            <w:tcBorders>
              <w:top w:val="single" w:sz="2" w:space="0" w:color="1F4E79" w:themeColor="accent1" w:themeShade="80"/>
              <w:bottom w:val="single" w:sz="2" w:space="0" w:color="1F4E79" w:themeColor="accent1" w:themeShade="80"/>
            </w:tcBorders>
            <w:shd w:val="clear" w:color="auto" w:fill="auto"/>
          </w:tcPr>
          <w:p w14:paraId="16460BD9" w14:textId="77777777" w:rsidR="00375569" w:rsidRPr="008331D9" w:rsidRDefault="00375569" w:rsidP="00DF59A8">
            <w:pPr>
              <w:pStyle w:val="08-Tabelageral"/>
              <w:jc w:val="center"/>
              <w:rPr>
                <w:szCs w:val="14"/>
              </w:rPr>
            </w:pPr>
            <w:r>
              <w:rPr>
                <w:szCs w:val="14"/>
              </w:rPr>
              <w:t>826</w:t>
            </w:r>
          </w:p>
        </w:tc>
        <w:tc>
          <w:tcPr>
            <w:tcW w:w="873" w:type="dxa"/>
            <w:tcBorders>
              <w:top w:val="single" w:sz="2" w:space="0" w:color="1F4E79" w:themeColor="accent1" w:themeShade="80"/>
              <w:bottom w:val="single" w:sz="2" w:space="0" w:color="1F4E79" w:themeColor="accent1" w:themeShade="80"/>
            </w:tcBorders>
            <w:shd w:val="clear" w:color="auto" w:fill="auto"/>
          </w:tcPr>
          <w:p w14:paraId="18412EB2" w14:textId="77777777" w:rsidR="00375569" w:rsidRPr="008331D9" w:rsidRDefault="00375569" w:rsidP="00DF59A8">
            <w:pPr>
              <w:pStyle w:val="08-Tabelageral"/>
              <w:jc w:val="center"/>
              <w:rPr>
                <w:szCs w:val="14"/>
              </w:rPr>
            </w:pPr>
            <w:r>
              <w:rPr>
                <w:szCs w:val="14"/>
              </w:rPr>
              <w:t>826</w:t>
            </w:r>
          </w:p>
        </w:tc>
        <w:tc>
          <w:tcPr>
            <w:tcW w:w="873" w:type="dxa"/>
            <w:tcBorders>
              <w:top w:val="single" w:sz="2" w:space="0" w:color="1F4E79" w:themeColor="accent1" w:themeShade="80"/>
              <w:bottom w:val="single" w:sz="2" w:space="0" w:color="1F4E79" w:themeColor="accent1" w:themeShade="80"/>
            </w:tcBorders>
            <w:shd w:val="clear" w:color="auto" w:fill="auto"/>
          </w:tcPr>
          <w:p w14:paraId="17A9123F" w14:textId="77777777" w:rsidR="00375569" w:rsidRPr="008331D9" w:rsidRDefault="00375569" w:rsidP="00DF59A8">
            <w:pPr>
              <w:pStyle w:val="08-Tabelageral"/>
              <w:jc w:val="center"/>
              <w:rPr>
                <w:szCs w:val="14"/>
              </w:rPr>
            </w:pPr>
            <w:r>
              <w:rPr>
                <w:szCs w:val="14"/>
              </w:rPr>
              <w:t>826</w:t>
            </w:r>
          </w:p>
        </w:tc>
        <w:tc>
          <w:tcPr>
            <w:tcW w:w="873" w:type="dxa"/>
            <w:tcBorders>
              <w:top w:val="single" w:sz="2" w:space="0" w:color="1F4E79" w:themeColor="accent1" w:themeShade="80"/>
              <w:bottom w:val="single" w:sz="2" w:space="0" w:color="1F4E79" w:themeColor="accent1" w:themeShade="80"/>
            </w:tcBorders>
            <w:shd w:val="clear" w:color="auto" w:fill="auto"/>
          </w:tcPr>
          <w:p w14:paraId="4C2DBB79" w14:textId="77777777" w:rsidR="00375569" w:rsidRPr="008331D9" w:rsidRDefault="00375569" w:rsidP="00DF59A8">
            <w:pPr>
              <w:pStyle w:val="08-Tabelageral"/>
              <w:jc w:val="center"/>
              <w:rPr>
                <w:szCs w:val="14"/>
              </w:rPr>
            </w:pPr>
            <w:r>
              <w:rPr>
                <w:szCs w:val="14"/>
              </w:rPr>
              <w:t>827</w:t>
            </w:r>
          </w:p>
        </w:tc>
        <w:tc>
          <w:tcPr>
            <w:tcW w:w="873" w:type="dxa"/>
            <w:tcBorders>
              <w:top w:val="single" w:sz="2" w:space="0" w:color="1F4E79" w:themeColor="accent1" w:themeShade="80"/>
              <w:bottom w:val="single" w:sz="2" w:space="0" w:color="1F4E79" w:themeColor="accent1" w:themeShade="80"/>
            </w:tcBorders>
            <w:shd w:val="clear" w:color="auto" w:fill="auto"/>
          </w:tcPr>
          <w:p w14:paraId="117E00D4" w14:textId="77777777" w:rsidR="00375569" w:rsidRPr="008331D9" w:rsidRDefault="00375569" w:rsidP="00DF59A8">
            <w:pPr>
              <w:pStyle w:val="08-Tabelageral"/>
              <w:jc w:val="center"/>
              <w:rPr>
                <w:szCs w:val="14"/>
              </w:rPr>
            </w:pPr>
            <w:r>
              <w:rPr>
                <w:szCs w:val="14"/>
              </w:rPr>
              <w:t>827</w:t>
            </w:r>
          </w:p>
        </w:tc>
        <w:tc>
          <w:tcPr>
            <w:tcW w:w="958" w:type="dxa"/>
            <w:tcBorders>
              <w:top w:val="single" w:sz="2" w:space="0" w:color="1F4E79" w:themeColor="accent1" w:themeShade="80"/>
              <w:bottom w:val="single" w:sz="2" w:space="0" w:color="1F4E79" w:themeColor="accent1" w:themeShade="80"/>
            </w:tcBorders>
            <w:shd w:val="clear" w:color="auto" w:fill="auto"/>
          </w:tcPr>
          <w:p w14:paraId="29F27FC3" w14:textId="77777777" w:rsidR="00375569" w:rsidRPr="008331D9" w:rsidRDefault="00375569" w:rsidP="00DF59A8">
            <w:pPr>
              <w:pStyle w:val="08-Tabelageral"/>
              <w:jc w:val="center"/>
              <w:rPr>
                <w:szCs w:val="14"/>
              </w:rPr>
            </w:pPr>
            <w:r>
              <w:rPr>
                <w:szCs w:val="14"/>
              </w:rPr>
              <w:t>827</w:t>
            </w:r>
          </w:p>
        </w:tc>
        <w:tc>
          <w:tcPr>
            <w:tcW w:w="1008" w:type="dxa"/>
            <w:tcBorders>
              <w:top w:val="single" w:sz="2" w:space="0" w:color="1F4E79" w:themeColor="accent1" w:themeShade="80"/>
              <w:bottom w:val="single" w:sz="2" w:space="0" w:color="1F4E79" w:themeColor="accent1" w:themeShade="80"/>
            </w:tcBorders>
            <w:shd w:val="clear" w:color="auto" w:fill="auto"/>
          </w:tcPr>
          <w:p w14:paraId="571C1EE6" w14:textId="77777777" w:rsidR="00375569" w:rsidRPr="00651CCF" w:rsidRDefault="00375569" w:rsidP="00DF59A8">
            <w:pPr>
              <w:pStyle w:val="08-Tabelageral"/>
              <w:jc w:val="center"/>
              <w:rPr>
                <w:b/>
                <w:szCs w:val="14"/>
              </w:rPr>
            </w:pPr>
            <w:r>
              <w:rPr>
                <w:b/>
                <w:szCs w:val="14"/>
              </w:rPr>
              <w:t>4.959</w:t>
            </w:r>
          </w:p>
        </w:tc>
      </w:tr>
      <w:bookmarkEnd w:id="95"/>
    </w:tbl>
    <w:p w14:paraId="0DD069BC" w14:textId="77777777" w:rsidR="00375569" w:rsidRDefault="00375569" w:rsidP="00326B50">
      <w:pPr>
        <w:rPr>
          <w:rFonts w:cs="Arial"/>
          <w:b/>
          <w:color w:val="1F4E79" w:themeColor="accent1" w:themeShade="80"/>
          <w:szCs w:val="18"/>
        </w:rPr>
      </w:pPr>
    </w:p>
    <w:p w14:paraId="417047D7" w14:textId="5C29F343" w:rsidR="00375569" w:rsidRPr="00725333" w:rsidRDefault="00375569" w:rsidP="00725333">
      <w:pPr>
        <w:pStyle w:val="02-TtulodeNota"/>
        <w:rPr>
          <w:color w:val="1F4E79" w:themeColor="accent1" w:themeShade="80"/>
        </w:rPr>
      </w:pPr>
      <w:bookmarkStart w:id="97" w:name="OLE_LINK15"/>
      <w:bookmarkStart w:id="98" w:name="_Toc94861078"/>
      <w:r w:rsidRPr="00725333">
        <w:rPr>
          <w:color w:val="1F4E79" w:themeColor="accent1" w:themeShade="80"/>
        </w:rPr>
        <w:t>20 – OUTROS ATIVOS</w:t>
      </w:r>
      <w:bookmarkEnd w:id="98"/>
    </w:p>
    <w:p w14:paraId="0B80D501" w14:textId="77777777" w:rsidR="00375569" w:rsidRPr="00FF3D4B" w:rsidRDefault="00375569" w:rsidP="00422E8D">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75569" w:rsidRPr="0068592A" w14:paraId="2A0FAB82" w14:textId="77777777" w:rsidTr="00725333">
        <w:trPr>
          <w:trHeight w:val="238"/>
          <w:jc w:val="center"/>
        </w:trPr>
        <w:tc>
          <w:tcPr>
            <w:tcW w:w="3094" w:type="dxa"/>
            <w:tcBorders>
              <w:top w:val="single" w:sz="2" w:space="0" w:color="1F4E79" w:themeColor="accent1" w:themeShade="80"/>
            </w:tcBorders>
            <w:shd w:val="clear" w:color="auto" w:fill="auto"/>
          </w:tcPr>
          <w:p w14:paraId="68784F4B" w14:textId="77777777" w:rsidR="00375569" w:rsidRPr="0068592A" w:rsidRDefault="00375569" w:rsidP="001D6BE8">
            <w:pPr>
              <w:spacing w:after="0"/>
              <w:jc w:val="center"/>
              <w:rPr>
                <w:rFonts w:cs="Arial"/>
                <w:b/>
                <w:szCs w:val="18"/>
              </w:rPr>
            </w:pPr>
          </w:p>
        </w:tc>
        <w:tc>
          <w:tcPr>
            <w:tcW w:w="604" w:type="dxa"/>
            <w:tcBorders>
              <w:top w:val="single" w:sz="2" w:space="0" w:color="1F4E79" w:themeColor="accent1" w:themeShade="80"/>
            </w:tcBorders>
            <w:shd w:val="clear" w:color="auto" w:fill="auto"/>
          </w:tcPr>
          <w:p w14:paraId="6A86D878" w14:textId="77777777" w:rsidR="00375569" w:rsidRPr="0068592A" w:rsidRDefault="00375569" w:rsidP="001D6BE8">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522B66D5" w14:textId="77777777" w:rsidR="00375569" w:rsidRPr="0068592A" w:rsidRDefault="00375569" w:rsidP="0068592A">
            <w:pPr>
              <w:spacing w:after="0"/>
              <w:jc w:val="center"/>
              <w:rPr>
                <w:rFonts w:cs="Arial"/>
                <w:b/>
                <w:sz w:val="14"/>
                <w:szCs w:val="18"/>
              </w:rPr>
            </w:pPr>
            <w:r w:rsidRPr="0068592A">
              <w:rPr>
                <w:rFonts w:cs="Arial"/>
                <w:b/>
                <w:sz w:val="14"/>
                <w:szCs w:val="18"/>
              </w:rPr>
              <w:t>Controlador</w:t>
            </w:r>
          </w:p>
        </w:tc>
        <w:tc>
          <w:tcPr>
            <w:tcW w:w="283" w:type="dxa"/>
            <w:tcBorders>
              <w:top w:val="single" w:sz="2" w:space="0" w:color="1F4E79" w:themeColor="accent1" w:themeShade="80"/>
            </w:tcBorders>
            <w:shd w:val="clear" w:color="auto" w:fill="auto"/>
            <w:vAlign w:val="center"/>
          </w:tcPr>
          <w:p w14:paraId="6614E127" w14:textId="77777777" w:rsidR="00375569" w:rsidRPr="0068592A" w:rsidRDefault="00375569" w:rsidP="0068592A">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4A0E84F6" w14:textId="77777777" w:rsidR="00375569" w:rsidRPr="0068592A" w:rsidRDefault="00375569" w:rsidP="0068592A">
            <w:pPr>
              <w:spacing w:after="0"/>
              <w:jc w:val="center"/>
              <w:rPr>
                <w:rFonts w:cs="Arial"/>
                <w:b/>
                <w:szCs w:val="18"/>
              </w:rPr>
            </w:pPr>
            <w:r w:rsidRPr="0068592A">
              <w:rPr>
                <w:rFonts w:cs="Arial"/>
                <w:b/>
                <w:sz w:val="14"/>
                <w:szCs w:val="18"/>
              </w:rPr>
              <w:t>Consolidado</w:t>
            </w:r>
          </w:p>
        </w:tc>
      </w:tr>
      <w:tr w:rsidR="00375569" w:rsidRPr="0068592A" w14:paraId="6C3ABFF2" w14:textId="77777777" w:rsidTr="00725333">
        <w:trPr>
          <w:trHeight w:val="238"/>
          <w:jc w:val="center"/>
        </w:trPr>
        <w:tc>
          <w:tcPr>
            <w:tcW w:w="3094" w:type="dxa"/>
            <w:tcBorders>
              <w:bottom w:val="single" w:sz="2" w:space="0" w:color="1F4E79" w:themeColor="accent1" w:themeShade="80"/>
            </w:tcBorders>
            <w:shd w:val="clear" w:color="auto" w:fill="auto"/>
          </w:tcPr>
          <w:p w14:paraId="36336169" w14:textId="77777777" w:rsidR="00375569" w:rsidRPr="0068592A" w:rsidRDefault="00375569" w:rsidP="00290C4E">
            <w:pPr>
              <w:pStyle w:val="08-Tabelageral"/>
              <w:rPr>
                <w:rFonts w:cs="Arial"/>
                <w:b/>
              </w:rPr>
            </w:pPr>
          </w:p>
        </w:tc>
        <w:tc>
          <w:tcPr>
            <w:tcW w:w="604" w:type="dxa"/>
            <w:tcBorders>
              <w:bottom w:val="single" w:sz="2" w:space="0" w:color="1F4E79" w:themeColor="accent1" w:themeShade="80"/>
            </w:tcBorders>
            <w:shd w:val="clear" w:color="auto" w:fill="auto"/>
          </w:tcPr>
          <w:p w14:paraId="6C2CC20C" w14:textId="77777777" w:rsidR="00375569" w:rsidRPr="0068592A" w:rsidRDefault="00375569" w:rsidP="00290C4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C1D3C73" w14:textId="77777777" w:rsidR="00375569" w:rsidRPr="0068592A" w:rsidRDefault="00375569" w:rsidP="008C2B29">
            <w:pPr>
              <w:pStyle w:val="08-Tabelageral"/>
              <w:rPr>
                <w:rFonts w:cs="Arial"/>
                <w:b/>
              </w:rPr>
            </w:pPr>
            <w:r w:rsidRPr="0068592A">
              <w:rPr>
                <w:rFonts w:cs="Arial"/>
                <w:b/>
              </w:rPr>
              <w:t>3</w:t>
            </w:r>
            <w:r>
              <w:rPr>
                <w:rFonts w:cs="Arial"/>
                <w:b/>
              </w:rPr>
              <w:t>1</w:t>
            </w:r>
            <w:r w:rsidRPr="0068592A">
              <w:rPr>
                <w:rFonts w:cs="Arial"/>
                <w:b/>
              </w:rPr>
              <w:t>.</w:t>
            </w:r>
            <w:r>
              <w:rPr>
                <w:rFonts w:cs="Arial"/>
                <w:b/>
              </w:rPr>
              <w:t>12</w:t>
            </w:r>
            <w:r w:rsidRPr="0068592A">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58A4C571" w14:textId="77777777" w:rsidR="00375569" w:rsidRPr="0068592A" w:rsidRDefault="00375569" w:rsidP="000D3975">
            <w:pPr>
              <w:pStyle w:val="08-Tabelageral"/>
              <w:rPr>
                <w:rFonts w:cs="Arial"/>
                <w:b/>
              </w:rPr>
            </w:pPr>
            <w:r w:rsidRPr="0068592A">
              <w:rPr>
                <w:rFonts w:cs="Arial"/>
                <w:b/>
              </w:rPr>
              <w:t>31.12.20</w:t>
            </w:r>
            <w:r>
              <w:rPr>
                <w:rFonts w:cs="Arial"/>
                <w:b/>
              </w:rPr>
              <w:t>20</w:t>
            </w:r>
          </w:p>
        </w:tc>
        <w:tc>
          <w:tcPr>
            <w:tcW w:w="283" w:type="dxa"/>
            <w:tcBorders>
              <w:bottom w:val="single" w:sz="2" w:space="0" w:color="1F4E79" w:themeColor="accent1" w:themeShade="80"/>
            </w:tcBorders>
            <w:shd w:val="clear" w:color="auto" w:fill="auto"/>
            <w:vAlign w:val="center"/>
          </w:tcPr>
          <w:p w14:paraId="44376CB2" w14:textId="77777777" w:rsidR="00375569" w:rsidRPr="0068592A" w:rsidRDefault="00375569" w:rsidP="0068592A">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D51D10B" w14:textId="77777777" w:rsidR="00375569" w:rsidRPr="0068592A" w:rsidRDefault="00375569" w:rsidP="008C2B29">
            <w:pPr>
              <w:pStyle w:val="08-Tabelageral"/>
              <w:rPr>
                <w:rFonts w:cs="Arial"/>
                <w:b/>
              </w:rPr>
            </w:pPr>
            <w:r w:rsidRPr="0068592A">
              <w:rPr>
                <w:rFonts w:cs="Arial"/>
                <w:b/>
              </w:rPr>
              <w:t>3</w:t>
            </w:r>
            <w:r>
              <w:rPr>
                <w:rFonts w:cs="Arial"/>
                <w:b/>
              </w:rPr>
              <w:t>1</w:t>
            </w:r>
            <w:r w:rsidRPr="0068592A">
              <w:rPr>
                <w:rFonts w:cs="Arial"/>
                <w:b/>
              </w:rPr>
              <w:t>.</w:t>
            </w:r>
            <w:r>
              <w:rPr>
                <w:rFonts w:cs="Arial"/>
                <w:b/>
              </w:rPr>
              <w:t>12</w:t>
            </w:r>
            <w:r w:rsidRPr="0068592A">
              <w:rPr>
                <w:rFonts w:cs="Arial"/>
                <w:b/>
              </w:rPr>
              <w:t>.202</w:t>
            </w:r>
            <w:r>
              <w:rPr>
                <w:rFonts w:cs="Arial"/>
                <w:b/>
              </w:rPr>
              <w:t>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6CD4772" w14:textId="77777777" w:rsidR="00375569" w:rsidRPr="0068592A" w:rsidRDefault="00375569" w:rsidP="000D3975">
            <w:pPr>
              <w:pStyle w:val="08-Tabelageral"/>
              <w:rPr>
                <w:rFonts w:cs="Arial"/>
                <w:b/>
              </w:rPr>
            </w:pPr>
            <w:r w:rsidRPr="0068592A">
              <w:rPr>
                <w:rFonts w:cs="Arial"/>
                <w:b/>
              </w:rPr>
              <w:t>31.12.20</w:t>
            </w:r>
            <w:r>
              <w:rPr>
                <w:rFonts w:cs="Arial"/>
                <w:b/>
              </w:rPr>
              <w:t>20</w:t>
            </w:r>
          </w:p>
        </w:tc>
      </w:tr>
      <w:tr w:rsidR="00375569" w:rsidRPr="0068592A" w14:paraId="5D77783F" w14:textId="77777777" w:rsidTr="00725333">
        <w:trPr>
          <w:trHeight w:val="238"/>
          <w:jc w:val="center"/>
        </w:trPr>
        <w:tc>
          <w:tcPr>
            <w:tcW w:w="3094" w:type="dxa"/>
            <w:tcBorders>
              <w:top w:val="single" w:sz="2" w:space="0" w:color="1F4E79" w:themeColor="accent1" w:themeShade="80"/>
            </w:tcBorders>
            <w:shd w:val="clear" w:color="auto" w:fill="auto"/>
          </w:tcPr>
          <w:p w14:paraId="24E29775" w14:textId="77777777" w:rsidR="00375569" w:rsidRPr="0068592A" w:rsidRDefault="00375569" w:rsidP="000D3975">
            <w:pPr>
              <w:pStyle w:val="08-Tabelageral"/>
              <w:jc w:val="left"/>
              <w:rPr>
                <w:rFonts w:cs="Arial"/>
                <w:b/>
                <w:bCs/>
                <w:szCs w:val="14"/>
              </w:rPr>
            </w:pPr>
            <w:r w:rsidRPr="0068592A">
              <w:rPr>
                <w:rFonts w:cs="Arial"/>
                <w:b/>
                <w:szCs w:val="14"/>
              </w:rPr>
              <w:t>Ativo Circulante</w:t>
            </w:r>
          </w:p>
        </w:tc>
        <w:tc>
          <w:tcPr>
            <w:tcW w:w="604" w:type="dxa"/>
            <w:tcBorders>
              <w:top w:val="single" w:sz="2" w:space="0" w:color="1F4E79" w:themeColor="accent1" w:themeShade="80"/>
            </w:tcBorders>
            <w:shd w:val="clear" w:color="auto" w:fill="auto"/>
          </w:tcPr>
          <w:p w14:paraId="23D936C0" w14:textId="77777777" w:rsidR="00375569" w:rsidRPr="0068592A" w:rsidRDefault="00375569" w:rsidP="000D3975">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5F163605" w14:textId="77777777" w:rsidR="00375569" w:rsidRPr="0068592A" w:rsidRDefault="00375569" w:rsidP="000D3975">
            <w:pPr>
              <w:pStyle w:val="08-Tabelageral"/>
              <w:rPr>
                <w:rFonts w:cs="Arial"/>
                <w:b/>
                <w:szCs w:val="14"/>
              </w:rPr>
            </w:pPr>
            <w:r>
              <w:rPr>
                <w:rFonts w:cs="Arial"/>
                <w:b/>
                <w:szCs w:val="14"/>
              </w:rPr>
              <w:t>12.719</w:t>
            </w:r>
          </w:p>
        </w:tc>
        <w:tc>
          <w:tcPr>
            <w:tcW w:w="1412" w:type="dxa"/>
            <w:tcBorders>
              <w:top w:val="single" w:sz="2" w:space="0" w:color="1F4E79" w:themeColor="accent1" w:themeShade="80"/>
            </w:tcBorders>
            <w:shd w:val="clear" w:color="auto" w:fill="auto"/>
            <w:vAlign w:val="center"/>
          </w:tcPr>
          <w:p w14:paraId="72234896" w14:textId="77777777" w:rsidR="00375569" w:rsidRPr="0068592A" w:rsidRDefault="00375569" w:rsidP="000D3975">
            <w:pPr>
              <w:pStyle w:val="08-Tabelageral"/>
              <w:rPr>
                <w:rFonts w:cs="Arial"/>
                <w:b/>
                <w:szCs w:val="14"/>
              </w:rPr>
            </w:pPr>
            <w:r>
              <w:rPr>
                <w:rFonts w:cs="Arial"/>
                <w:b/>
                <w:szCs w:val="14"/>
              </w:rPr>
              <w:t>10.170</w:t>
            </w:r>
          </w:p>
        </w:tc>
        <w:tc>
          <w:tcPr>
            <w:tcW w:w="283" w:type="dxa"/>
            <w:tcBorders>
              <w:top w:val="single" w:sz="2" w:space="0" w:color="1F4E79" w:themeColor="accent1" w:themeShade="80"/>
            </w:tcBorders>
            <w:shd w:val="clear" w:color="auto" w:fill="auto"/>
            <w:vAlign w:val="center"/>
          </w:tcPr>
          <w:p w14:paraId="4EA49C7A" w14:textId="77777777" w:rsidR="00375569" w:rsidRPr="0068592A" w:rsidRDefault="00375569" w:rsidP="000D3975">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1C13C313" w14:textId="77777777" w:rsidR="00375569" w:rsidRPr="0068592A" w:rsidRDefault="00375569" w:rsidP="000D3975">
            <w:pPr>
              <w:pStyle w:val="08-Tabelageral"/>
              <w:rPr>
                <w:rFonts w:cs="Arial"/>
                <w:b/>
                <w:szCs w:val="14"/>
              </w:rPr>
            </w:pPr>
            <w:r>
              <w:rPr>
                <w:rFonts w:cs="Arial"/>
                <w:b/>
                <w:szCs w:val="14"/>
              </w:rPr>
              <w:t>5.336</w:t>
            </w:r>
          </w:p>
        </w:tc>
        <w:tc>
          <w:tcPr>
            <w:tcW w:w="1418" w:type="dxa"/>
            <w:tcBorders>
              <w:top w:val="single" w:sz="2" w:space="0" w:color="1F4E79" w:themeColor="accent1" w:themeShade="80"/>
            </w:tcBorders>
            <w:shd w:val="clear" w:color="auto" w:fill="auto"/>
            <w:vAlign w:val="center"/>
          </w:tcPr>
          <w:p w14:paraId="3D2F5FB5" w14:textId="77777777" w:rsidR="00375569" w:rsidRPr="0068592A" w:rsidRDefault="00375569" w:rsidP="000D3975">
            <w:pPr>
              <w:pStyle w:val="08-Tabelageral"/>
              <w:rPr>
                <w:rFonts w:cs="Arial"/>
                <w:b/>
                <w:szCs w:val="14"/>
              </w:rPr>
            </w:pPr>
            <w:r>
              <w:rPr>
                <w:rFonts w:cs="Arial"/>
                <w:b/>
                <w:szCs w:val="14"/>
              </w:rPr>
              <w:t>4.347</w:t>
            </w:r>
          </w:p>
        </w:tc>
      </w:tr>
      <w:tr w:rsidR="00375569" w:rsidRPr="0068592A" w14:paraId="3B1C4FBF" w14:textId="77777777" w:rsidTr="00725333">
        <w:trPr>
          <w:trHeight w:val="238"/>
          <w:jc w:val="center"/>
        </w:trPr>
        <w:tc>
          <w:tcPr>
            <w:tcW w:w="3094" w:type="dxa"/>
            <w:shd w:val="clear" w:color="auto" w:fill="auto"/>
          </w:tcPr>
          <w:p w14:paraId="4B4CEC64" w14:textId="77777777" w:rsidR="00375569" w:rsidRPr="0068592A" w:rsidRDefault="00375569" w:rsidP="000D3975">
            <w:pPr>
              <w:pStyle w:val="08-Tabelageral"/>
              <w:ind w:left="113"/>
              <w:jc w:val="left"/>
              <w:rPr>
                <w:rFonts w:cs="Arial"/>
                <w:szCs w:val="14"/>
              </w:rPr>
            </w:pPr>
            <w:r w:rsidRPr="0068592A">
              <w:rPr>
                <w:rFonts w:cs="Arial"/>
                <w:szCs w:val="14"/>
              </w:rPr>
              <w:t>Valores a receber de sociedades ligadas</w:t>
            </w:r>
          </w:p>
        </w:tc>
        <w:tc>
          <w:tcPr>
            <w:tcW w:w="604" w:type="dxa"/>
            <w:shd w:val="clear" w:color="auto" w:fill="auto"/>
          </w:tcPr>
          <w:p w14:paraId="61159A8F" w14:textId="77777777" w:rsidR="00375569" w:rsidRPr="0068592A" w:rsidRDefault="00375569" w:rsidP="000D3975">
            <w:pPr>
              <w:pStyle w:val="08-Tabelageral"/>
              <w:ind w:left="113"/>
              <w:jc w:val="center"/>
              <w:rPr>
                <w:rFonts w:cs="Arial"/>
                <w:szCs w:val="14"/>
              </w:rPr>
            </w:pPr>
          </w:p>
        </w:tc>
        <w:tc>
          <w:tcPr>
            <w:tcW w:w="1411" w:type="dxa"/>
            <w:shd w:val="clear" w:color="auto" w:fill="auto"/>
            <w:vAlign w:val="center"/>
          </w:tcPr>
          <w:p w14:paraId="14D73ED0" w14:textId="77777777" w:rsidR="00375569" w:rsidRPr="0068592A" w:rsidRDefault="00375569" w:rsidP="000D3975">
            <w:pPr>
              <w:pStyle w:val="08-Tabelageral"/>
              <w:ind w:left="113"/>
              <w:rPr>
                <w:rFonts w:cs="Arial"/>
                <w:szCs w:val="14"/>
              </w:rPr>
            </w:pPr>
            <w:r>
              <w:rPr>
                <w:rFonts w:cs="Arial"/>
                <w:szCs w:val="14"/>
              </w:rPr>
              <w:t>7.571</w:t>
            </w:r>
          </w:p>
        </w:tc>
        <w:tc>
          <w:tcPr>
            <w:tcW w:w="1412" w:type="dxa"/>
            <w:shd w:val="clear" w:color="auto" w:fill="auto"/>
            <w:vAlign w:val="center"/>
          </w:tcPr>
          <w:p w14:paraId="20916364" w14:textId="77777777" w:rsidR="00375569" w:rsidRPr="0068592A" w:rsidRDefault="00375569" w:rsidP="000D3975">
            <w:pPr>
              <w:pStyle w:val="08-Tabelageral"/>
              <w:ind w:left="113"/>
              <w:rPr>
                <w:rFonts w:cs="Arial"/>
                <w:szCs w:val="14"/>
              </w:rPr>
            </w:pPr>
            <w:r>
              <w:rPr>
                <w:rFonts w:cs="Arial"/>
                <w:szCs w:val="14"/>
              </w:rPr>
              <w:t>7.261</w:t>
            </w:r>
          </w:p>
        </w:tc>
        <w:tc>
          <w:tcPr>
            <w:tcW w:w="283" w:type="dxa"/>
            <w:shd w:val="clear" w:color="auto" w:fill="auto"/>
            <w:vAlign w:val="center"/>
          </w:tcPr>
          <w:p w14:paraId="049EC527" w14:textId="77777777" w:rsidR="00375569" w:rsidRPr="0068592A" w:rsidRDefault="00375569" w:rsidP="000D3975">
            <w:pPr>
              <w:pStyle w:val="08-Tabelageral"/>
              <w:ind w:left="113"/>
              <w:rPr>
                <w:rFonts w:cs="Arial"/>
                <w:szCs w:val="14"/>
              </w:rPr>
            </w:pPr>
          </w:p>
        </w:tc>
        <w:tc>
          <w:tcPr>
            <w:tcW w:w="1417" w:type="dxa"/>
            <w:shd w:val="clear" w:color="auto" w:fill="auto"/>
            <w:vAlign w:val="center"/>
          </w:tcPr>
          <w:p w14:paraId="59FE2A21" w14:textId="77777777" w:rsidR="00375569" w:rsidRPr="0068592A" w:rsidRDefault="00375569" w:rsidP="000D3975">
            <w:pPr>
              <w:pStyle w:val="08-Tabelageral"/>
              <w:ind w:left="113"/>
              <w:rPr>
                <w:rFonts w:cs="Arial"/>
                <w:szCs w:val="14"/>
              </w:rPr>
            </w:pPr>
            <w:r>
              <w:rPr>
                <w:rFonts w:cs="Arial"/>
                <w:szCs w:val="14"/>
              </w:rPr>
              <w:t>--</w:t>
            </w:r>
          </w:p>
        </w:tc>
        <w:tc>
          <w:tcPr>
            <w:tcW w:w="1418" w:type="dxa"/>
            <w:shd w:val="clear" w:color="auto" w:fill="auto"/>
            <w:vAlign w:val="center"/>
          </w:tcPr>
          <w:p w14:paraId="06A32057" w14:textId="77777777" w:rsidR="00375569" w:rsidRPr="0068592A" w:rsidRDefault="00375569" w:rsidP="000D3975">
            <w:pPr>
              <w:pStyle w:val="08-Tabelageral"/>
              <w:ind w:left="113"/>
              <w:rPr>
                <w:rFonts w:cs="Arial"/>
                <w:szCs w:val="14"/>
              </w:rPr>
            </w:pPr>
            <w:r>
              <w:rPr>
                <w:rFonts w:cs="Arial"/>
                <w:szCs w:val="14"/>
              </w:rPr>
              <w:t>--</w:t>
            </w:r>
          </w:p>
        </w:tc>
      </w:tr>
      <w:tr w:rsidR="00375569" w:rsidRPr="0068592A" w14:paraId="00203EA0" w14:textId="77777777" w:rsidTr="00725333">
        <w:trPr>
          <w:trHeight w:val="238"/>
          <w:jc w:val="center"/>
        </w:trPr>
        <w:tc>
          <w:tcPr>
            <w:tcW w:w="3094" w:type="dxa"/>
            <w:shd w:val="clear" w:color="auto" w:fill="auto"/>
          </w:tcPr>
          <w:p w14:paraId="482C1752" w14:textId="77777777" w:rsidR="00375569" w:rsidRPr="0068592A" w:rsidRDefault="00375569" w:rsidP="000D3975">
            <w:pPr>
              <w:pStyle w:val="08-Tabelageral"/>
              <w:ind w:left="113"/>
              <w:jc w:val="left"/>
              <w:rPr>
                <w:rFonts w:cs="Arial"/>
                <w:szCs w:val="14"/>
              </w:rPr>
            </w:pPr>
            <w:r w:rsidRPr="0068592A">
              <w:rPr>
                <w:rFonts w:cs="Arial"/>
                <w:szCs w:val="14"/>
              </w:rPr>
              <w:t>Valores a receber ADR</w:t>
            </w:r>
          </w:p>
        </w:tc>
        <w:tc>
          <w:tcPr>
            <w:tcW w:w="604" w:type="dxa"/>
            <w:shd w:val="clear" w:color="auto" w:fill="auto"/>
          </w:tcPr>
          <w:p w14:paraId="5E8782D3" w14:textId="77777777" w:rsidR="00375569" w:rsidRPr="0068592A" w:rsidRDefault="00375569" w:rsidP="000D3975">
            <w:pPr>
              <w:pStyle w:val="08-Tabelageral"/>
              <w:ind w:left="113"/>
              <w:jc w:val="center"/>
              <w:rPr>
                <w:rFonts w:cs="Arial"/>
                <w:szCs w:val="14"/>
              </w:rPr>
            </w:pPr>
          </w:p>
        </w:tc>
        <w:tc>
          <w:tcPr>
            <w:tcW w:w="1411" w:type="dxa"/>
            <w:shd w:val="clear" w:color="auto" w:fill="auto"/>
            <w:vAlign w:val="center"/>
          </w:tcPr>
          <w:p w14:paraId="0FB2B0EC" w14:textId="77777777" w:rsidR="00375569" w:rsidRPr="0068592A" w:rsidRDefault="00375569" w:rsidP="000D3975">
            <w:pPr>
              <w:pStyle w:val="08-Tabelageral"/>
              <w:ind w:left="113"/>
              <w:rPr>
                <w:rFonts w:cs="Arial"/>
                <w:szCs w:val="14"/>
              </w:rPr>
            </w:pPr>
            <w:r>
              <w:rPr>
                <w:rFonts w:cs="Arial"/>
                <w:szCs w:val="14"/>
              </w:rPr>
              <w:t>5.072</w:t>
            </w:r>
          </w:p>
        </w:tc>
        <w:tc>
          <w:tcPr>
            <w:tcW w:w="1412" w:type="dxa"/>
            <w:shd w:val="clear" w:color="auto" w:fill="auto"/>
            <w:vAlign w:val="center"/>
          </w:tcPr>
          <w:p w14:paraId="553A0029" w14:textId="77777777" w:rsidR="00375569" w:rsidRPr="0068592A" w:rsidRDefault="00375569" w:rsidP="000D3975">
            <w:pPr>
              <w:pStyle w:val="08-Tabelageral"/>
              <w:ind w:left="113"/>
              <w:rPr>
                <w:rFonts w:cs="Arial"/>
                <w:szCs w:val="14"/>
              </w:rPr>
            </w:pPr>
            <w:r>
              <w:rPr>
                <w:rFonts w:cs="Arial"/>
                <w:szCs w:val="14"/>
              </w:rPr>
              <w:t>2.899</w:t>
            </w:r>
          </w:p>
        </w:tc>
        <w:tc>
          <w:tcPr>
            <w:tcW w:w="283" w:type="dxa"/>
            <w:shd w:val="clear" w:color="auto" w:fill="auto"/>
            <w:vAlign w:val="center"/>
          </w:tcPr>
          <w:p w14:paraId="2D25081A" w14:textId="77777777" w:rsidR="00375569" w:rsidRPr="0068592A" w:rsidRDefault="00375569" w:rsidP="000D3975">
            <w:pPr>
              <w:pStyle w:val="08-Tabelageral"/>
              <w:ind w:left="113"/>
              <w:rPr>
                <w:rFonts w:cs="Arial"/>
                <w:szCs w:val="14"/>
              </w:rPr>
            </w:pPr>
          </w:p>
        </w:tc>
        <w:tc>
          <w:tcPr>
            <w:tcW w:w="1417" w:type="dxa"/>
            <w:shd w:val="clear" w:color="auto" w:fill="auto"/>
            <w:vAlign w:val="center"/>
          </w:tcPr>
          <w:p w14:paraId="00B493CF" w14:textId="77777777" w:rsidR="00375569" w:rsidRPr="0068592A" w:rsidRDefault="00375569" w:rsidP="000D3975">
            <w:pPr>
              <w:pStyle w:val="08-Tabelageral"/>
              <w:ind w:left="113"/>
              <w:rPr>
                <w:rFonts w:cs="Arial"/>
                <w:szCs w:val="14"/>
              </w:rPr>
            </w:pPr>
            <w:r>
              <w:rPr>
                <w:rFonts w:cs="Arial"/>
                <w:szCs w:val="14"/>
              </w:rPr>
              <w:t>5.072</w:t>
            </w:r>
          </w:p>
        </w:tc>
        <w:tc>
          <w:tcPr>
            <w:tcW w:w="1418" w:type="dxa"/>
            <w:shd w:val="clear" w:color="auto" w:fill="auto"/>
            <w:vAlign w:val="center"/>
          </w:tcPr>
          <w:p w14:paraId="2A970ED1" w14:textId="77777777" w:rsidR="00375569" w:rsidRPr="0068592A" w:rsidRDefault="00375569" w:rsidP="000D3975">
            <w:pPr>
              <w:pStyle w:val="08-Tabelageral"/>
              <w:ind w:left="113"/>
              <w:rPr>
                <w:rFonts w:cs="Arial"/>
                <w:szCs w:val="14"/>
              </w:rPr>
            </w:pPr>
            <w:r>
              <w:rPr>
                <w:rFonts w:cs="Arial"/>
                <w:szCs w:val="14"/>
              </w:rPr>
              <w:t>2.899</w:t>
            </w:r>
          </w:p>
        </w:tc>
      </w:tr>
      <w:tr w:rsidR="00375569" w:rsidRPr="0068592A" w14:paraId="4EE98F46" w14:textId="77777777" w:rsidTr="00725333">
        <w:trPr>
          <w:trHeight w:val="238"/>
          <w:jc w:val="center"/>
        </w:trPr>
        <w:tc>
          <w:tcPr>
            <w:tcW w:w="3094" w:type="dxa"/>
            <w:shd w:val="clear" w:color="auto" w:fill="auto"/>
          </w:tcPr>
          <w:p w14:paraId="700F1ECE" w14:textId="77777777" w:rsidR="00375569" w:rsidRPr="0068592A" w:rsidRDefault="00375569" w:rsidP="000D3975">
            <w:pPr>
              <w:pStyle w:val="08-Tabelageral"/>
              <w:ind w:left="113"/>
              <w:jc w:val="left"/>
              <w:rPr>
                <w:rFonts w:cs="Arial"/>
                <w:szCs w:val="14"/>
              </w:rPr>
            </w:pPr>
            <w:r w:rsidRPr="0068592A">
              <w:rPr>
                <w:rFonts w:cs="Arial"/>
                <w:szCs w:val="14"/>
              </w:rPr>
              <w:t>Outros</w:t>
            </w:r>
          </w:p>
        </w:tc>
        <w:tc>
          <w:tcPr>
            <w:tcW w:w="604" w:type="dxa"/>
            <w:shd w:val="clear" w:color="auto" w:fill="auto"/>
          </w:tcPr>
          <w:p w14:paraId="0F1DC083" w14:textId="77777777" w:rsidR="00375569" w:rsidRPr="0068592A" w:rsidRDefault="00375569" w:rsidP="000D3975">
            <w:pPr>
              <w:pStyle w:val="08-Tabelageral"/>
              <w:ind w:left="113"/>
              <w:jc w:val="center"/>
              <w:rPr>
                <w:rFonts w:cs="Arial"/>
                <w:szCs w:val="14"/>
              </w:rPr>
            </w:pPr>
          </w:p>
        </w:tc>
        <w:tc>
          <w:tcPr>
            <w:tcW w:w="1411" w:type="dxa"/>
            <w:shd w:val="clear" w:color="auto" w:fill="auto"/>
            <w:vAlign w:val="center"/>
          </w:tcPr>
          <w:p w14:paraId="036F08A2" w14:textId="77777777" w:rsidR="00375569" w:rsidRPr="0068592A" w:rsidRDefault="00375569" w:rsidP="000D3975">
            <w:pPr>
              <w:pStyle w:val="08-Tabelageral"/>
              <w:ind w:left="113"/>
              <w:rPr>
                <w:rFonts w:cs="Arial"/>
                <w:szCs w:val="14"/>
              </w:rPr>
            </w:pPr>
            <w:r>
              <w:rPr>
                <w:rFonts w:cs="Arial"/>
                <w:szCs w:val="14"/>
              </w:rPr>
              <w:t>76</w:t>
            </w:r>
          </w:p>
        </w:tc>
        <w:tc>
          <w:tcPr>
            <w:tcW w:w="1412" w:type="dxa"/>
            <w:shd w:val="clear" w:color="auto" w:fill="auto"/>
            <w:vAlign w:val="center"/>
          </w:tcPr>
          <w:p w14:paraId="55AAD451" w14:textId="77777777" w:rsidR="00375569" w:rsidRPr="0068592A" w:rsidRDefault="00375569" w:rsidP="000D3975">
            <w:pPr>
              <w:pStyle w:val="08-Tabelageral"/>
              <w:ind w:left="113"/>
              <w:rPr>
                <w:rFonts w:cs="Arial"/>
                <w:szCs w:val="14"/>
              </w:rPr>
            </w:pPr>
            <w:r>
              <w:rPr>
                <w:rFonts w:cs="Arial"/>
                <w:szCs w:val="14"/>
              </w:rPr>
              <w:t>10</w:t>
            </w:r>
          </w:p>
        </w:tc>
        <w:tc>
          <w:tcPr>
            <w:tcW w:w="283" w:type="dxa"/>
            <w:shd w:val="clear" w:color="auto" w:fill="auto"/>
            <w:vAlign w:val="center"/>
          </w:tcPr>
          <w:p w14:paraId="159FFA60" w14:textId="77777777" w:rsidR="00375569" w:rsidRPr="0068592A" w:rsidRDefault="00375569" w:rsidP="000D3975">
            <w:pPr>
              <w:pStyle w:val="08-Tabelageral"/>
              <w:ind w:left="113"/>
              <w:rPr>
                <w:rFonts w:cs="Arial"/>
                <w:szCs w:val="14"/>
              </w:rPr>
            </w:pPr>
          </w:p>
        </w:tc>
        <w:tc>
          <w:tcPr>
            <w:tcW w:w="1417" w:type="dxa"/>
            <w:shd w:val="clear" w:color="auto" w:fill="auto"/>
            <w:vAlign w:val="center"/>
          </w:tcPr>
          <w:p w14:paraId="3554EB46" w14:textId="77777777" w:rsidR="00375569" w:rsidRPr="0068592A" w:rsidRDefault="00375569" w:rsidP="000D3975">
            <w:pPr>
              <w:pStyle w:val="08-Tabelageral"/>
              <w:ind w:left="113"/>
              <w:rPr>
                <w:rFonts w:cs="Arial"/>
                <w:szCs w:val="14"/>
              </w:rPr>
            </w:pPr>
            <w:r>
              <w:rPr>
                <w:rFonts w:cs="Arial"/>
                <w:szCs w:val="14"/>
              </w:rPr>
              <w:t>264</w:t>
            </w:r>
          </w:p>
        </w:tc>
        <w:tc>
          <w:tcPr>
            <w:tcW w:w="1418" w:type="dxa"/>
            <w:shd w:val="clear" w:color="auto" w:fill="auto"/>
            <w:vAlign w:val="center"/>
          </w:tcPr>
          <w:p w14:paraId="15D2B154" w14:textId="77777777" w:rsidR="00375569" w:rsidRPr="0068592A" w:rsidRDefault="00375569" w:rsidP="000D3975">
            <w:pPr>
              <w:pStyle w:val="08-Tabelageral"/>
              <w:ind w:left="113"/>
              <w:rPr>
                <w:rFonts w:cs="Arial"/>
                <w:szCs w:val="14"/>
              </w:rPr>
            </w:pPr>
            <w:r>
              <w:rPr>
                <w:rFonts w:cs="Arial"/>
                <w:szCs w:val="14"/>
              </w:rPr>
              <w:t>1.448</w:t>
            </w:r>
          </w:p>
        </w:tc>
      </w:tr>
      <w:tr w:rsidR="00375569" w:rsidRPr="0068592A" w14:paraId="30B3F22C" w14:textId="77777777" w:rsidTr="00725333">
        <w:trPr>
          <w:trHeight w:val="238"/>
          <w:jc w:val="center"/>
        </w:trPr>
        <w:tc>
          <w:tcPr>
            <w:tcW w:w="3094" w:type="dxa"/>
            <w:shd w:val="clear" w:color="auto" w:fill="auto"/>
          </w:tcPr>
          <w:p w14:paraId="712A4D43" w14:textId="77777777" w:rsidR="00375569" w:rsidRPr="0068592A" w:rsidRDefault="00375569" w:rsidP="000D3975">
            <w:pPr>
              <w:pStyle w:val="08-Tabelageral"/>
              <w:jc w:val="left"/>
              <w:rPr>
                <w:rFonts w:cs="Arial"/>
                <w:b/>
                <w:szCs w:val="14"/>
              </w:rPr>
            </w:pPr>
            <w:r w:rsidRPr="0068592A">
              <w:rPr>
                <w:rFonts w:cs="Arial"/>
                <w:b/>
                <w:szCs w:val="14"/>
              </w:rPr>
              <w:t>Ativo Não Circulante</w:t>
            </w:r>
          </w:p>
        </w:tc>
        <w:tc>
          <w:tcPr>
            <w:tcW w:w="604" w:type="dxa"/>
            <w:shd w:val="clear" w:color="auto" w:fill="auto"/>
          </w:tcPr>
          <w:p w14:paraId="7EE30590" w14:textId="77777777" w:rsidR="00375569" w:rsidRPr="0068592A" w:rsidRDefault="00375569" w:rsidP="000D3975">
            <w:pPr>
              <w:pStyle w:val="08-Tabelageral"/>
              <w:jc w:val="center"/>
              <w:rPr>
                <w:rFonts w:cs="Arial"/>
                <w:b/>
                <w:szCs w:val="14"/>
              </w:rPr>
            </w:pPr>
          </w:p>
        </w:tc>
        <w:tc>
          <w:tcPr>
            <w:tcW w:w="1411" w:type="dxa"/>
            <w:shd w:val="clear" w:color="auto" w:fill="auto"/>
            <w:vAlign w:val="center"/>
          </w:tcPr>
          <w:p w14:paraId="665959D3" w14:textId="77777777" w:rsidR="00375569" w:rsidRPr="0068592A" w:rsidRDefault="00375569" w:rsidP="003C7E32">
            <w:pPr>
              <w:pStyle w:val="08-Tabelageral"/>
              <w:rPr>
                <w:rFonts w:cs="Arial"/>
                <w:b/>
                <w:szCs w:val="14"/>
              </w:rPr>
            </w:pPr>
            <w:r>
              <w:rPr>
                <w:rFonts w:cs="Arial"/>
                <w:b/>
                <w:szCs w:val="14"/>
              </w:rPr>
              <w:t>40</w:t>
            </w:r>
          </w:p>
        </w:tc>
        <w:tc>
          <w:tcPr>
            <w:tcW w:w="1412" w:type="dxa"/>
            <w:shd w:val="clear" w:color="auto" w:fill="auto"/>
            <w:vAlign w:val="center"/>
          </w:tcPr>
          <w:p w14:paraId="0CD7DEE1" w14:textId="77777777" w:rsidR="00375569" w:rsidRPr="0068592A" w:rsidRDefault="00375569" w:rsidP="000D3975">
            <w:pPr>
              <w:pStyle w:val="08-Tabelageral"/>
              <w:rPr>
                <w:rFonts w:cs="Arial"/>
                <w:b/>
                <w:szCs w:val="14"/>
              </w:rPr>
            </w:pPr>
            <w:r>
              <w:rPr>
                <w:rFonts w:cs="Arial"/>
                <w:b/>
                <w:szCs w:val="14"/>
              </w:rPr>
              <w:t>53</w:t>
            </w:r>
          </w:p>
        </w:tc>
        <w:tc>
          <w:tcPr>
            <w:tcW w:w="283" w:type="dxa"/>
            <w:shd w:val="clear" w:color="auto" w:fill="auto"/>
            <w:vAlign w:val="center"/>
          </w:tcPr>
          <w:p w14:paraId="508E0E71" w14:textId="77777777" w:rsidR="00375569" w:rsidRPr="0068592A" w:rsidRDefault="00375569" w:rsidP="000D3975">
            <w:pPr>
              <w:pStyle w:val="08-Tabelageral"/>
              <w:rPr>
                <w:rFonts w:cs="Arial"/>
                <w:b/>
                <w:szCs w:val="14"/>
              </w:rPr>
            </w:pPr>
          </w:p>
        </w:tc>
        <w:tc>
          <w:tcPr>
            <w:tcW w:w="1417" w:type="dxa"/>
            <w:shd w:val="clear" w:color="auto" w:fill="auto"/>
            <w:vAlign w:val="center"/>
          </w:tcPr>
          <w:p w14:paraId="74CCE16F" w14:textId="77777777" w:rsidR="00375569" w:rsidRPr="0068592A" w:rsidRDefault="00375569" w:rsidP="000D3975">
            <w:pPr>
              <w:pStyle w:val="08-Tabelageral"/>
              <w:rPr>
                <w:rFonts w:cs="Arial"/>
                <w:b/>
                <w:szCs w:val="14"/>
              </w:rPr>
            </w:pPr>
            <w:r>
              <w:rPr>
                <w:rFonts w:cs="Arial"/>
                <w:b/>
                <w:szCs w:val="14"/>
              </w:rPr>
              <w:t>214.187</w:t>
            </w:r>
          </w:p>
        </w:tc>
        <w:tc>
          <w:tcPr>
            <w:tcW w:w="1418" w:type="dxa"/>
            <w:shd w:val="clear" w:color="auto" w:fill="auto"/>
            <w:vAlign w:val="center"/>
          </w:tcPr>
          <w:p w14:paraId="72F15E1A" w14:textId="77777777" w:rsidR="00375569" w:rsidRPr="0068592A" w:rsidRDefault="00375569" w:rsidP="000D3975">
            <w:pPr>
              <w:pStyle w:val="08-Tabelageral"/>
              <w:rPr>
                <w:rFonts w:cs="Arial"/>
                <w:b/>
                <w:szCs w:val="14"/>
              </w:rPr>
            </w:pPr>
            <w:r>
              <w:rPr>
                <w:rFonts w:cs="Arial"/>
                <w:b/>
                <w:szCs w:val="14"/>
              </w:rPr>
              <w:t>206.654</w:t>
            </w:r>
          </w:p>
        </w:tc>
      </w:tr>
      <w:tr w:rsidR="00375569" w:rsidRPr="0068592A" w14:paraId="0260E7C5" w14:textId="77777777" w:rsidTr="00725333">
        <w:trPr>
          <w:trHeight w:val="238"/>
          <w:jc w:val="center"/>
        </w:trPr>
        <w:tc>
          <w:tcPr>
            <w:tcW w:w="3094" w:type="dxa"/>
            <w:shd w:val="clear" w:color="auto" w:fill="auto"/>
          </w:tcPr>
          <w:p w14:paraId="025E5D07" w14:textId="77777777" w:rsidR="00375569" w:rsidRPr="0068592A" w:rsidRDefault="00375569" w:rsidP="000D3975">
            <w:pPr>
              <w:pStyle w:val="08-Tabelageral"/>
              <w:ind w:left="113"/>
              <w:jc w:val="left"/>
              <w:rPr>
                <w:rFonts w:cs="Arial"/>
                <w:szCs w:val="14"/>
              </w:rPr>
            </w:pPr>
            <w:r w:rsidRPr="0068592A">
              <w:rPr>
                <w:rFonts w:cs="Arial"/>
                <w:szCs w:val="14"/>
              </w:rPr>
              <w:t>Depósitos judiciais</w:t>
            </w:r>
            <w:r>
              <w:rPr>
                <w:rFonts w:cs="Arial"/>
                <w:szCs w:val="14"/>
              </w:rPr>
              <w:t xml:space="preserve"> </w:t>
            </w:r>
            <w:r w:rsidRPr="0068592A">
              <w:rPr>
                <w:rFonts w:cs="Arial"/>
                <w:szCs w:val="14"/>
                <w:vertAlign w:val="superscript"/>
              </w:rPr>
              <w:t>(1)</w:t>
            </w:r>
          </w:p>
        </w:tc>
        <w:tc>
          <w:tcPr>
            <w:tcW w:w="604" w:type="dxa"/>
            <w:shd w:val="clear" w:color="auto" w:fill="auto"/>
          </w:tcPr>
          <w:p w14:paraId="79237D40" w14:textId="77777777" w:rsidR="00375569" w:rsidRPr="0068592A" w:rsidRDefault="00375569" w:rsidP="000D3975">
            <w:pPr>
              <w:pStyle w:val="08-Tabelageral"/>
              <w:ind w:left="113"/>
              <w:jc w:val="center"/>
              <w:rPr>
                <w:rFonts w:cs="Arial"/>
                <w:szCs w:val="14"/>
              </w:rPr>
            </w:pPr>
          </w:p>
        </w:tc>
        <w:tc>
          <w:tcPr>
            <w:tcW w:w="1411" w:type="dxa"/>
            <w:shd w:val="clear" w:color="auto" w:fill="auto"/>
            <w:vAlign w:val="center"/>
          </w:tcPr>
          <w:p w14:paraId="61890ACB" w14:textId="77777777" w:rsidR="00375569" w:rsidRPr="0068592A" w:rsidRDefault="00375569" w:rsidP="000D3975">
            <w:pPr>
              <w:pStyle w:val="08-Tabelageral"/>
              <w:ind w:left="113"/>
              <w:rPr>
                <w:rFonts w:cs="Arial"/>
                <w:szCs w:val="14"/>
              </w:rPr>
            </w:pPr>
            <w:r>
              <w:rPr>
                <w:rFonts w:cs="Arial"/>
                <w:szCs w:val="14"/>
              </w:rPr>
              <w:t>--</w:t>
            </w:r>
          </w:p>
        </w:tc>
        <w:tc>
          <w:tcPr>
            <w:tcW w:w="1412" w:type="dxa"/>
            <w:shd w:val="clear" w:color="auto" w:fill="auto"/>
            <w:vAlign w:val="center"/>
          </w:tcPr>
          <w:p w14:paraId="616FF8F7" w14:textId="77777777" w:rsidR="00375569" w:rsidRPr="0068592A" w:rsidRDefault="00375569" w:rsidP="000D3975">
            <w:pPr>
              <w:pStyle w:val="08-Tabelageral"/>
              <w:ind w:left="113"/>
              <w:rPr>
                <w:rFonts w:cs="Arial"/>
                <w:szCs w:val="14"/>
              </w:rPr>
            </w:pPr>
            <w:r>
              <w:rPr>
                <w:rFonts w:cs="Arial"/>
                <w:szCs w:val="14"/>
              </w:rPr>
              <w:t>--</w:t>
            </w:r>
          </w:p>
        </w:tc>
        <w:tc>
          <w:tcPr>
            <w:tcW w:w="283" w:type="dxa"/>
            <w:shd w:val="clear" w:color="auto" w:fill="auto"/>
            <w:vAlign w:val="center"/>
          </w:tcPr>
          <w:p w14:paraId="1FAF192A" w14:textId="77777777" w:rsidR="00375569" w:rsidRPr="0068592A" w:rsidRDefault="00375569" w:rsidP="000D3975">
            <w:pPr>
              <w:pStyle w:val="08-Tabelageral"/>
              <w:ind w:left="113"/>
              <w:rPr>
                <w:rFonts w:cs="Arial"/>
                <w:szCs w:val="14"/>
              </w:rPr>
            </w:pPr>
          </w:p>
        </w:tc>
        <w:tc>
          <w:tcPr>
            <w:tcW w:w="1417" w:type="dxa"/>
            <w:shd w:val="clear" w:color="auto" w:fill="auto"/>
            <w:vAlign w:val="center"/>
          </w:tcPr>
          <w:p w14:paraId="1B651649" w14:textId="77777777" w:rsidR="00375569" w:rsidRPr="0068592A" w:rsidRDefault="00375569" w:rsidP="000D6710">
            <w:pPr>
              <w:pStyle w:val="08-Tabelageral"/>
              <w:ind w:left="113"/>
              <w:rPr>
                <w:rFonts w:cs="Arial"/>
                <w:szCs w:val="14"/>
              </w:rPr>
            </w:pPr>
            <w:r>
              <w:rPr>
                <w:rFonts w:cs="Arial"/>
                <w:szCs w:val="14"/>
              </w:rPr>
              <w:t>214.147</w:t>
            </w:r>
          </w:p>
        </w:tc>
        <w:tc>
          <w:tcPr>
            <w:tcW w:w="1418" w:type="dxa"/>
            <w:shd w:val="clear" w:color="auto" w:fill="auto"/>
            <w:vAlign w:val="center"/>
          </w:tcPr>
          <w:p w14:paraId="1014A093" w14:textId="77777777" w:rsidR="00375569" w:rsidRPr="0068592A" w:rsidRDefault="00375569" w:rsidP="000D3975">
            <w:pPr>
              <w:pStyle w:val="08-Tabelageral"/>
              <w:ind w:left="113"/>
              <w:rPr>
                <w:rFonts w:cs="Arial"/>
                <w:szCs w:val="14"/>
              </w:rPr>
            </w:pPr>
            <w:r>
              <w:rPr>
                <w:rFonts w:cs="Arial"/>
                <w:szCs w:val="14"/>
              </w:rPr>
              <w:t>206.601</w:t>
            </w:r>
          </w:p>
        </w:tc>
      </w:tr>
      <w:tr w:rsidR="00375569" w:rsidRPr="0068592A" w14:paraId="348B9CAC" w14:textId="77777777" w:rsidTr="00725333">
        <w:trPr>
          <w:trHeight w:val="238"/>
          <w:jc w:val="center"/>
        </w:trPr>
        <w:tc>
          <w:tcPr>
            <w:tcW w:w="3094" w:type="dxa"/>
            <w:tcBorders>
              <w:bottom w:val="nil"/>
            </w:tcBorders>
            <w:shd w:val="clear" w:color="auto" w:fill="auto"/>
          </w:tcPr>
          <w:p w14:paraId="5AA8252A" w14:textId="77777777" w:rsidR="00375569" w:rsidRPr="0068592A" w:rsidRDefault="00375569" w:rsidP="000D3975">
            <w:pPr>
              <w:pStyle w:val="08-Tabelageral"/>
              <w:ind w:left="113"/>
              <w:jc w:val="left"/>
              <w:rPr>
                <w:rFonts w:cs="Arial"/>
                <w:szCs w:val="14"/>
                <w:vertAlign w:val="superscript"/>
              </w:rPr>
            </w:pPr>
            <w:r w:rsidRPr="0068592A">
              <w:rPr>
                <w:rFonts w:cs="Arial"/>
                <w:szCs w:val="14"/>
              </w:rPr>
              <w:t xml:space="preserve">Imobilizado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tcBorders>
              <w:bottom w:val="nil"/>
            </w:tcBorders>
            <w:shd w:val="clear" w:color="auto" w:fill="auto"/>
          </w:tcPr>
          <w:p w14:paraId="7FA6A9BA" w14:textId="77777777" w:rsidR="00375569" w:rsidRPr="0068592A" w:rsidRDefault="00375569" w:rsidP="000D3975">
            <w:pPr>
              <w:pStyle w:val="08-Tabelageral"/>
              <w:ind w:left="113"/>
              <w:jc w:val="center"/>
              <w:rPr>
                <w:rFonts w:cs="Arial"/>
                <w:szCs w:val="14"/>
              </w:rPr>
            </w:pPr>
          </w:p>
        </w:tc>
        <w:tc>
          <w:tcPr>
            <w:tcW w:w="1411" w:type="dxa"/>
            <w:tcBorders>
              <w:bottom w:val="nil"/>
            </w:tcBorders>
            <w:shd w:val="clear" w:color="auto" w:fill="auto"/>
            <w:vAlign w:val="center"/>
          </w:tcPr>
          <w:p w14:paraId="37CA43E0" w14:textId="77777777" w:rsidR="00375569" w:rsidRPr="0068592A" w:rsidRDefault="00375569" w:rsidP="003C7E32">
            <w:pPr>
              <w:pStyle w:val="08-Tabelageral"/>
              <w:ind w:left="113"/>
              <w:rPr>
                <w:rFonts w:cs="Arial"/>
                <w:szCs w:val="14"/>
              </w:rPr>
            </w:pPr>
            <w:r>
              <w:rPr>
                <w:rFonts w:cs="Arial"/>
                <w:szCs w:val="14"/>
              </w:rPr>
              <w:t>40</w:t>
            </w:r>
          </w:p>
        </w:tc>
        <w:tc>
          <w:tcPr>
            <w:tcW w:w="1412" w:type="dxa"/>
            <w:tcBorders>
              <w:bottom w:val="nil"/>
            </w:tcBorders>
            <w:shd w:val="clear" w:color="auto" w:fill="auto"/>
            <w:vAlign w:val="center"/>
          </w:tcPr>
          <w:p w14:paraId="659AB33A" w14:textId="77777777" w:rsidR="00375569" w:rsidRPr="0068592A" w:rsidRDefault="00375569" w:rsidP="000D3975">
            <w:pPr>
              <w:pStyle w:val="08-Tabelageral"/>
              <w:ind w:left="113"/>
              <w:rPr>
                <w:rFonts w:cs="Arial"/>
                <w:szCs w:val="14"/>
              </w:rPr>
            </w:pPr>
            <w:r>
              <w:rPr>
                <w:rFonts w:cs="Arial"/>
                <w:szCs w:val="14"/>
              </w:rPr>
              <w:t>53</w:t>
            </w:r>
          </w:p>
        </w:tc>
        <w:tc>
          <w:tcPr>
            <w:tcW w:w="283" w:type="dxa"/>
            <w:tcBorders>
              <w:bottom w:val="nil"/>
            </w:tcBorders>
            <w:shd w:val="clear" w:color="auto" w:fill="auto"/>
            <w:vAlign w:val="center"/>
          </w:tcPr>
          <w:p w14:paraId="7ADAA384" w14:textId="77777777" w:rsidR="00375569" w:rsidRPr="0068592A" w:rsidRDefault="00375569" w:rsidP="000D3975">
            <w:pPr>
              <w:pStyle w:val="08-Tabelageral"/>
              <w:ind w:left="113"/>
              <w:rPr>
                <w:rFonts w:cs="Arial"/>
                <w:szCs w:val="14"/>
              </w:rPr>
            </w:pPr>
          </w:p>
        </w:tc>
        <w:tc>
          <w:tcPr>
            <w:tcW w:w="1417" w:type="dxa"/>
            <w:tcBorders>
              <w:bottom w:val="nil"/>
            </w:tcBorders>
            <w:shd w:val="clear" w:color="auto" w:fill="auto"/>
            <w:vAlign w:val="center"/>
          </w:tcPr>
          <w:p w14:paraId="30BFEAED" w14:textId="77777777" w:rsidR="00375569" w:rsidRPr="0068592A" w:rsidRDefault="00375569" w:rsidP="000D6710">
            <w:pPr>
              <w:pStyle w:val="08-Tabelageral"/>
              <w:ind w:left="113"/>
              <w:rPr>
                <w:rFonts w:cs="Arial"/>
                <w:szCs w:val="14"/>
              </w:rPr>
            </w:pPr>
            <w:r>
              <w:rPr>
                <w:rFonts w:cs="Arial"/>
                <w:szCs w:val="14"/>
              </w:rPr>
              <w:t>40</w:t>
            </w:r>
          </w:p>
        </w:tc>
        <w:tc>
          <w:tcPr>
            <w:tcW w:w="1418" w:type="dxa"/>
            <w:tcBorders>
              <w:bottom w:val="nil"/>
            </w:tcBorders>
            <w:shd w:val="clear" w:color="auto" w:fill="auto"/>
            <w:vAlign w:val="center"/>
          </w:tcPr>
          <w:p w14:paraId="4DA45632" w14:textId="77777777" w:rsidR="00375569" w:rsidRPr="0068592A" w:rsidRDefault="00375569" w:rsidP="000D3975">
            <w:pPr>
              <w:pStyle w:val="08-Tabelageral"/>
              <w:ind w:left="113"/>
              <w:rPr>
                <w:rFonts w:cs="Arial"/>
                <w:szCs w:val="14"/>
              </w:rPr>
            </w:pPr>
            <w:r>
              <w:rPr>
                <w:rFonts w:cs="Arial"/>
                <w:szCs w:val="14"/>
              </w:rPr>
              <w:t>53</w:t>
            </w:r>
          </w:p>
        </w:tc>
      </w:tr>
      <w:tr w:rsidR="00375569" w:rsidRPr="0068592A" w14:paraId="1577343F" w14:textId="77777777" w:rsidTr="00725333">
        <w:trPr>
          <w:trHeight w:val="238"/>
          <w:jc w:val="center"/>
        </w:trPr>
        <w:tc>
          <w:tcPr>
            <w:tcW w:w="3094" w:type="dxa"/>
            <w:tcBorders>
              <w:top w:val="nil"/>
              <w:bottom w:val="single" w:sz="2" w:space="0" w:color="1F4E79" w:themeColor="accent1" w:themeShade="80"/>
            </w:tcBorders>
            <w:shd w:val="clear" w:color="auto" w:fill="auto"/>
          </w:tcPr>
          <w:p w14:paraId="6B064A86" w14:textId="77777777" w:rsidR="00375569" w:rsidRPr="0068592A" w:rsidRDefault="00375569" w:rsidP="000D3975">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6B65E0ED" w14:textId="77777777" w:rsidR="00375569" w:rsidRPr="0068592A" w:rsidRDefault="00375569" w:rsidP="000D3975">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E72D3D1" w14:textId="77777777" w:rsidR="00375569" w:rsidRPr="0068592A" w:rsidRDefault="00375569" w:rsidP="00970181">
            <w:pPr>
              <w:pStyle w:val="08-Tabelageral"/>
              <w:rPr>
                <w:rFonts w:cs="Arial"/>
                <w:b/>
                <w:szCs w:val="14"/>
              </w:rPr>
            </w:pPr>
            <w:r>
              <w:rPr>
                <w:rFonts w:cs="Arial"/>
                <w:b/>
                <w:szCs w:val="14"/>
              </w:rPr>
              <w:t>12.759</w:t>
            </w:r>
          </w:p>
        </w:tc>
        <w:tc>
          <w:tcPr>
            <w:tcW w:w="1412" w:type="dxa"/>
            <w:tcBorders>
              <w:top w:val="nil"/>
              <w:bottom w:val="single" w:sz="2" w:space="0" w:color="1F4E79" w:themeColor="accent1" w:themeShade="80"/>
            </w:tcBorders>
            <w:shd w:val="clear" w:color="auto" w:fill="auto"/>
            <w:vAlign w:val="center"/>
          </w:tcPr>
          <w:p w14:paraId="5634CC2C" w14:textId="77777777" w:rsidR="00375569" w:rsidRPr="0068592A" w:rsidRDefault="00375569" w:rsidP="000D3975">
            <w:pPr>
              <w:pStyle w:val="08-Tabelageral"/>
              <w:rPr>
                <w:rFonts w:cs="Arial"/>
                <w:b/>
                <w:szCs w:val="14"/>
              </w:rPr>
            </w:pPr>
            <w:r>
              <w:rPr>
                <w:rFonts w:cs="Arial"/>
                <w:b/>
                <w:szCs w:val="14"/>
              </w:rPr>
              <w:t>10.223</w:t>
            </w:r>
          </w:p>
        </w:tc>
        <w:tc>
          <w:tcPr>
            <w:tcW w:w="283" w:type="dxa"/>
            <w:tcBorders>
              <w:top w:val="nil"/>
              <w:bottom w:val="single" w:sz="2" w:space="0" w:color="1F4E79" w:themeColor="accent1" w:themeShade="80"/>
            </w:tcBorders>
            <w:shd w:val="clear" w:color="auto" w:fill="auto"/>
            <w:vAlign w:val="center"/>
          </w:tcPr>
          <w:p w14:paraId="42898641" w14:textId="77777777" w:rsidR="00375569" w:rsidRPr="0068592A" w:rsidRDefault="00375569" w:rsidP="000D3975">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30F05663" w14:textId="77777777" w:rsidR="00375569" w:rsidRPr="0068592A" w:rsidRDefault="00375569" w:rsidP="000D3975">
            <w:pPr>
              <w:pStyle w:val="08-Tabelageral"/>
              <w:rPr>
                <w:rFonts w:cs="Arial"/>
                <w:b/>
                <w:szCs w:val="14"/>
              </w:rPr>
            </w:pPr>
            <w:r>
              <w:rPr>
                <w:rFonts w:cs="Arial"/>
                <w:b/>
                <w:szCs w:val="14"/>
              </w:rPr>
              <w:t>219.523</w:t>
            </w:r>
          </w:p>
        </w:tc>
        <w:tc>
          <w:tcPr>
            <w:tcW w:w="1418" w:type="dxa"/>
            <w:tcBorders>
              <w:top w:val="nil"/>
              <w:bottom w:val="single" w:sz="2" w:space="0" w:color="1F4E79" w:themeColor="accent1" w:themeShade="80"/>
            </w:tcBorders>
            <w:shd w:val="clear" w:color="auto" w:fill="auto"/>
            <w:vAlign w:val="center"/>
          </w:tcPr>
          <w:p w14:paraId="0F2EE797" w14:textId="77777777" w:rsidR="00375569" w:rsidRPr="0068592A" w:rsidRDefault="00375569" w:rsidP="000D3975">
            <w:pPr>
              <w:pStyle w:val="08-Tabelageral"/>
              <w:rPr>
                <w:rFonts w:cs="Arial"/>
                <w:b/>
                <w:szCs w:val="14"/>
              </w:rPr>
            </w:pPr>
            <w:r>
              <w:rPr>
                <w:rFonts w:cs="Arial"/>
                <w:b/>
                <w:szCs w:val="14"/>
              </w:rPr>
              <w:t>211.001</w:t>
            </w:r>
          </w:p>
        </w:tc>
      </w:tr>
    </w:tbl>
    <w:bookmarkEnd w:id="97"/>
    <w:p w14:paraId="191C04B2" w14:textId="77777777" w:rsidR="00375569" w:rsidRPr="006D2B90" w:rsidRDefault="00375569" w:rsidP="00375569">
      <w:pPr>
        <w:pStyle w:val="07-Legenda"/>
        <w:numPr>
          <w:ilvl w:val="0"/>
          <w:numId w:val="15"/>
        </w:numPr>
        <w:ind w:left="284" w:hanging="284"/>
        <w:rPr>
          <w:rFonts w:cs="Arial"/>
        </w:rPr>
      </w:pPr>
      <w:r w:rsidRPr="006D2B90">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de </w:t>
      </w:r>
      <w:r w:rsidRPr="002465C5">
        <w:rPr>
          <w:rFonts w:cs="Arial"/>
        </w:rPr>
        <w:t xml:space="preserve">R$ </w:t>
      </w:r>
      <w:r>
        <w:rPr>
          <w:rFonts w:cs="Arial"/>
        </w:rPr>
        <w:t>155.058</w:t>
      </w:r>
      <w:r w:rsidRPr="002465C5">
        <w:rPr>
          <w:rFonts w:cs="Arial"/>
        </w:rPr>
        <w:t xml:space="preserve"> mil (</w:t>
      </w:r>
      <w:r w:rsidRPr="006D2B90">
        <w:rPr>
          <w:rFonts w:cs="Arial"/>
        </w:rPr>
        <w:t>R</w:t>
      </w:r>
      <w:r w:rsidRPr="00A3369D">
        <w:rPr>
          <w:rFonts w:cs="Arial"/>
        </w:rPr>
        <w:t>$ 151.968</w:t>
      </w:r>
      <w:r w:rsidRPr="006D2B90">
        <w:rPr>
          <w:rFonts w:cs="Arial"/>
        </w:rPr>
        <w:t xml:space="preserve"> mil em 31.12.20</w:t>
      </w:r>
      <w:r>
        <w:rPr>
          <w:rFonts w:cs="Arial"/>
        </w:rPr>
        <w:t>20</w:t>
      </w:r>
      <w:r w:rsidRPr="006D2B90">
        <w:rPr>
          <w:rFonts w:cs="Arial"/>
        </w:rPr>
        <w:t>), sendo sua atualização pela taxa SELIC.</w:t>
      </w:r>
    </w:p>
    <w:p w14:paraId="62ECCFCB" w14:textId="77777777" w:rsidR="00375569" w:rsidRPr="004778B4" w:rsidRDefault="00375569" w:rsidP="00375569">
      <w:pPr>
        <w:pStyle w:val="07-Legenda"/>
        <w:numPr>
          <w:ilvl w:val="0"/>
          <w:numId w:val="15"/>
        </w:numPr>
        <w:ind w:left="284" w:hanging="284"/>
        <w:rPr>
          <w:szCs w:val="14"/>
        </w:rPr>
      </w:pPr>
      <w:r w:rsidRPr="004778B4">
        <w:rPr>
          <w:szCs w:val="14"/>
        </w:rPr>
        <w:t>Aquisição de computadores e móveis no valor de R$</w:t>
      </w:r>
      <w:r>
        <w:rPr>
          <w:szCs w:val="14"/>
        </w:rPr>
        <w:t xml:space="preserve"> 74</w:t>
      </w:r>
      <w:r w:rsidRPr="004778B4">
        <w:rPr>
          <w:szCs w:val="14"/>
        </w:rPr>
        <w:t xml:space="preserve"> mil (depreciação de R$ </w:t>
      </w:r>
      <w:r>
        <w:rPr>
          <w:szCs w:val="14"/>
        </w:rPr>
        <w:t>34</w:t>
      </w:r>
      <w:r w:rsidRPr="004778B4">
        <w:rPr>
          <w:szCs w:val="14"/>
        </w:rPr>
        <w:t xml:space="preserve"> mil) em 3</w:t>
      </w:r>
      <w:r>
        <w:rPr>
          <w:szCs w:val="14"/>
        </w:rPr>
        <w:t>1</w:t>
      </w:r>
      <w:r w:rsidRPr="004778B4">
        <w:rPr>
          <w:szCs w:val="14"/>
        </w:rPr>
        <w:t>.</w:t>
      </w:r>
      <w:r>
        <w:rPr>
          <w:szCs w:val="14"/>
        </w:rPr>
        <w:t>12</w:t>
      </w:r>
      <w:r w:rsidRPr="004778B4">
        <w:rPr>
          <w:szCs w:val="14"/>
        </w:rPr>
        <w:t>.2021.</w:t>
      </w:r>
    </w:p>
    <w:p w14:paraId="31EC8241" w14:textId="77777777" w:rsidR="00375569" w:rsidRDefault="00375569">
      <w:pPr>
        <w:rPr>
          <w:rFonts w:cs="Arial"/>
          <w:b/>
          <w:color w:val="1F4E79" w:themeColor="accent1" w:themeShade="80"/>
          <w:szCs w:val="18"/>
        </w:rPr>
      </w:pPr>
    </w:p>
    <w:p w14:paraId="22A4FC56" w14:textId="04CD6E02" w:rsidR="00375569" w:rsidRPr="00BF2E45" w:rsidRDefault="00375569" w:rsidP="00BF2E45">
      <w:pPr>
        <w:pStyle w:val="02-TtulodeNota"/>
        <w:rPr>
          <w:color w:val="1F4E79" w:themeColor="accent1" w:themeShade="80"/>
        </w:rPr>
      </w:pPr>
      <w:bookmarkStart w:id="99" w:name="OLE_LINK16"/>
      <w:bookmarkStart w:id="100" w:name="_Toc94861079"/>
      <w:r w:rsidRPr="00BF2E45">
        <w:rPr>
          <w:color w:val="1F4E79" w:themeColor="accent1" w:themeShade="80"/>
        </w:rPr>
        <w:t>21 – OBRIGAÇÕES SOCIETÁRIAS E ESTATUTÁRIAS</w:t>
      </w:r>
      <w:bookmarkEnd w:id="100"/>
      <w:r w:rsidRPr="00BF2E45">
        <w:rPr>
          <w:color w:val="1F4E79" w:themeColor="accent1" w:themeShade="80"/>
        </w:rPr>
        <w:t xml:space="preserve"> </w:t>
      </w:r>
    </w:p>
    <w:p w14:paraId="2E712784" w14:textId="77777777" w:rsidR="00375569" w:rsidRPr="00334399" w:rsidRDefault="00375569" w:rsidP="0043555A">
      <w:pPr>
        <w:pStyle w:val="01-TtulodeNota"/>
        <w:spacing w:before="0" w:after="0"/>
        <w:jc w:val="right"/>
        <w:rPr>
          <w:rFonts w:cs="Arial"/>
          <w:sz w:val="14"/>
          <w:szCs w:val="14"/>
        </w:rPr>
      </w:pPr>
      <w:r w:rsidRPr="00334399">
        <w:rPr>
          <w:rFonts w:cs="Arial"/>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75569" w:rsidRPr="00C74971" w14:paraId="0FDCF61A" w14:textId="77777777" w:rsidTr="00725333">
        <w:trPr>
          <w:trHeight w:val="238"/>
          <w:jc w:val="center"/>
        </w:trPr>
        <w:tc>
          <w:tcPr>
            <w:tcW w:w="850" w:type="dxa"/>
            <w:tcBorders>
              <w:bottom w:val="nil"/>
            </w:tcBorders>
            <w:shd w:val="clear" w:color="auto" w:fill="auto"/>
          </w:tcPr>
          <w:p w14:paraId="4605B63D" w14:textId="77777777" w:rsidR="00375569" w:rsidRPr="00C74971" w:rsidRDefault="00375569" w:rsidP="00922DF8">
            <w:pPr>
              <w:keepNext/>
              <w:keepLines/>
              <w:spacing w:before="40" w:after="40"/>
              <w:jc w:val="center"/>
              <w:rPr>
                <w:rFonts w:cs="Arial"/>
                <w:b/>
                <w:bCs/>
                <w:spacing w:val="-2"/>
                <w:sz w:val="14"/>
                <w:szCs w:val="14"/>
              </w:rPr>
            </w:pPr>
          </w:p>
        </w:tc>
        <w:tc>
          <w:tcPr>
            <w:tcW w:w="2848" w:type="dxa"/>
            <w:gridSpan w:val="2"/>
            <w:tcBorders>
              <w:bottom w:val="nil"/>
            </w:tcBorders>
            <w:shd w:val="clear" w:color="auto" w:fill="auto"/>
          </w:tcPr>
          <w:p w14:paraId="642D2058" w14:textId="77777777" w:rsidR="00375569" w:rsidRPr="00C74971" w:rsidRDefault="00375569" w:rsidP="00922DF8">
            <w:pPr>
              <w:keepNext/>
              <w:keepLines/>
              <w:spacing w:before="40" w:after="40"/>
              <w:jc w:val="center"/>
              <w:rPr>
                <w:rFonts w:cs="Arial"/>
                <w:b/>
                <w:spacing w:val="-2"/>
                <w:sz w:val="14"/>
                <w:szCs w:val="14"/>
              </w:rPr>
            </w:pPr>
          </w:p>
        </w:tc>
        <w:tc>
          <w:tcPr>
            <w:tcW w:w="2823" w:type="dxa"/>
            <w:gridSpan w:val="2"/>
            <w:shd w:val="clear" w:color="auto" w:fill="auto"/>
            <w:vAlign w:val="center"/>
          </w:tcPr>
          <w:p w14:paraId="323EB62C" w14:textId="77777777" w:rsidR="00375569" w:rsidRPr="00C74971" w:rsidRDefault="00375569" w:rsidP="00875027">
            <w:pPr>
              <w:keepNext/>
              <w:keepLines/>
              <w:spacing w:before="40" w:after="40"/>
              <w:jc w:val="center"/>
              <w:rPr>
                <w:rFonts w:cs="Arial"/>
                <w:b/>
                <w:spacing w:val="-2"/>
                <w:sz w:val="14"/>
                <w:szCs w:val="14"/>
                <w:vertAlign w:val="superscript"/>
              </w:rPr>
            </w:pPr>
            <w:r w:rsidRPr="00C74971">
              <w:rPr>
                <w:rFonts w:cs="Arial"/>
                <w:b/>
                <w:spacing w:val="-2"/>
                <w:sz w:val="14"/>
                <w:szCs w:val="14"/>
              </w:rPr>
              <w:t>Controlador</w:t>
            </w:r>
          </w:p>
        </w:tc>
        <w:tc>
          <w:tcPr>
            <w:tcW w:w="283" w:type="dxa"/>
            <w:shd w:val="clear" w:color="auto" w:fill="auto"/>
            <w:vAlign w:val="center"/>
          </w:tcPr>
          <w:p w14:paraId="2ADF8689" w14:textId="77777777" w:rsidR="00375569" w:rsidRPr="00C74971" w:rsidRDefault="00375569" w:rsidP="00875027">
            <w:pPr>
              <w:keepNext/>
              <w:keepLines/>
              <w:spacing w:before="40" w:after="40"/>
              <w:jc w:val="center"/>
              <w:rPr>
                <w:rFonts w:cs="Arial"/>
                <w:b/>
                <w:bCs/>
                <w:spacing w:val="-2"/>
                <w:sz w:val="14"/>
                <w:szCs w:val="14"/>
              </w:rPr>
            </w:pPr>
          </w:p>
        </w:tc>
        <w:tc>
          <w:tcPr>
            <w:tcW w:w="2835" w:type="dxa"/>
            <w:gridSpan w:val="2"/>
            <w:shd w:val="clear" w:color="auto" w:fill="auto"/>
            <w:vAlign w:val="center"/>
          </w:tcPr>
          <w:p w14:paraId="5C38F35C" w14:textId="77777777" w:rsidR="00375569" w:rsidRPr="00C74971" w:rsidRDefault="00375569" w:rsidP="00875027">
            <w:pPr>
              <w:keepNext/>
              <w:keepLines/>
              <w:spacing w:before="40" w:after="40"/>
              <w:jc w:val="center"/>
              <w:rPr>
                <w:rFonts w:cs="Arial"/>
                <w:b/>
                <w:spacing w:val="-2"/>
                <w:sz w:val="14"/>
                <w:szCs w:val="14"/>
                <w:vertAlign w:val="superscript"/>
              </w:rPr>
            </w:pPr>
            <w:r w:rsidRPr="00C74971">
              <w:rPr>
                <w:rFonts w:cs="Arial"/>
                <w:b/>
                <w:spacing w:val="-2"/>
                <w:sz w:val="14"/>
                <w:szCs w:val="14"/>
              </w:rPr>
              <w:t>Consolidado</w:t>
            </w:r>
          </w:p>
        </w:tc>
      </w:tr>
      <w:tr w:rsidR="00375569" w:rsidRPr="00C74971" w14:paraId="688FC4D2" w14:textId="77777777" w:rsidTr="00725333">
        <w:trPr>
          <w:trHeight w:val="238"/>
          <w:jc w:val="center"/>
        </w:trPr>
        <w:tc>
          <w:tcPr>
            <w:tcW w:w="3094" w:type="dxa"/>
            <w:gridSpan w:val="2"/>
            <w:tcBorders>
              <w:top w:val="nil"/>
              <w:bottom w:val="single" w:sz="2" w:space="0" w:color="1F4E79" w:themeColor="accent1" w:themeShade="80"/>
            </w:tcBorders>
            <w:shd w:val="clear" w:color="auto" w:fill="auto"/>
          </w:tcPr>
          <w:p w14:paraId="2ADA0994" w14:textId="77777777" w:rsidR="00375569" w:rsidRPr="00C74971" w:rsidRDefault="00375569" w:rsidP="00922DF8">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09AE4D35" w14:textId="77777777" w:rsidR="00375569" w:rsidRPr="00C74971" w:rsidRDefault="00375569" w:rsidP="00922DF8">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7ED4A6F1" w14:textId="77777777" w:rsidR="00375569" w:rsidRPr="00C74971" w:rsidRDefault="00375569" w:rsidP="00D212CC">
            <w:pPr>
              <w:keepNext/>
              <w:keepLines/>
              <w:spacing w:before="40" w:after="40"/>
              <w:jc w:val="right"/>
              <w:rPr>
                <w:rFonts w:cs="Arial"/>
                <w:b/>
                <w:spacing w:val="-2"/>
                <w:sz w:val="14"/>
                <w:szCs w:val="14"/>
              </w:rPr>
            </w:pPr>
            <w:r w:rsidRPr="00C74971">
              <w:rPr>
                <w:rFonts w:cs="Arial"/>
                <w:b/>
                <w:spacing w:val="-2"/>
                <w:sz w:val="14"/>
                <w:szCs w:val="14"/>
              </w:rPr>
              <w:t>3</w:t>
            </w:r>
            <w:r>
              <w:rPr>
                <w:rFonts w:cs="Arial"/>
                <w:b/>
                <w:spacing w:val="-2"/>
                <w:sz w:val="14"/>
                <w:szCs w:val="14"/>
              </w:rPr>
              <w:t>1</w:t>
            </w:r>
            <w:r w:rsidRPr="00C74971">
              <w:rPr>
                <w:rFonts w:cs="Arial"/>
                <w:b/>
                <w:spacing w:val="-2"/>
                <w:sz w:val="14"/>
                <w:szCs w:val="14"/>
              </w:rPr>
              <w:t>.</w:t>
            </w:r>
            <w:r>
              <w:rPr>
                <w:rFonts w:cs="Arial"/>
                <w:b/>
                <w:spacing w:val="-2"/>
                <w:sz w:val="14"/>
                <w:szCs w:val="14"/>
              </w:rPr>
              <w:t>12</w:t>
            </w:r>
            <w:r w:rsidRPr="00C74971">
              <w:rPr>
                <w:rFonts w:cs="Arial"/>
                <w:b/>
                <w:spacing w:val="-2"/>
                <w:sz w:val="14"/>
                <w:szCs w:val="14"/>
              </w:rPr>
              <w:t>.202</w:t>
            </w:r>
            <w:r>
              <w:rPr>
                <w:rFonts w:cs="Arial"/>
                <w:b/>
                <w:spacing w:val="-2"/>
                <w:sz w:val="14"/>
                <w:szCs w:val="14"/>
              </w:rPr>
              <w:t>1</w:t>
            </w:r>
          </w:p>
        </w:tc>
        <w:tc>
          <w:tcPr>
            <w:tcW w:w="1412" w:type="dxa"/>
            <w:tcBorders>
              <w:bottom w:val="single" w:sz="2" w:space="0" w:color="1F4E79" w:themeColor="accent1" w:themeShade="80"/>
            </w:tcBorders>
            <w:shd w:val="clear" w:color="auto" w:fill="auto"/>
            <w:vAlign w:val="center"/>
          </w:tcPr>
          <w:p w14:paraId="3F1570B3" w14:textId="77777777" w:rsidR="00375569" w:rsidRPr="00C74971" w:rsidRDefault="00375569" w:rsidP="00B90701">
            <w:pPr>
              <w:keepNext/>
              <w:keepLines/>
              <w:spacing w:before="40" w:after="40"/>
              <w:jc w:val="right"/>
              <w:rPr>
                <w:rFonts w:cs="Arial"/>
                <w:b/>
                <w:spacing w:val="-2"/>
                <w:sz w:val="14"/>
                <w:szCs w:val="14"/>
                <w:vertAlign w:val="superscript"/>
              </w:rPr>
            </w:pPr>
            <w:r w:rsidRPr="00C74971">
              <w:rPr>
                <w:rFonts w:cs="Arial"/>
                <w:b/>
                <w:spacing w:val="-2"/>
                <w:sz w:val="14"/>
                <w:szCs w:val="14"/>
              </w:rPr>
              <w:t>31.12.20</w:t>
            </w:r>
            <w:r>
              <w:rPr>
                <w:rFonts w:cs="Arial"/>
                <w:b/>
                <w:spacing w:val="-2"/>
                <w:sz w:val="14"/>
                <w:szCs w:val="14"/>
              </w:rPr>
              <w:t>20</w:t>
            </w:r>
          </w:p>
        </w:tc>
        <w:tc>
          <w:tcPr>
            <w:tcW w:w="283" w:type="dxa"/>
            <w:tcBorders>
              <w:bottom w:val="single" w:sz="2" w:space="0" w:color="1F4E79" w:themeColor="accent1" w:themeShade="80"/>
            </w:tcBorders>
            <w:shd w:val="clear" w:color="auto" w:fill="auto"/>
            <w:vAlign w:val="center"/>
          </w:tcPr>
          <w:p w14:paraId="34915453" w14:textId="77777777" w:rsidR="00375569" w:rsidRPr="00C74971" w:rsidRDefault="00375569" w:rsidP="00875027">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465CD110" w14:textId="77777777" w:rsidR="00375569" w:rsidRPr="00C74971" w:rsidRDefault="00375569" w:rsidP="00D212CC">
            <w:pPr>
              <w:keepNext/>
              <w:keepLines/>
              <w:spacing w:before="40" w:after="40"/>
              <w:jc w:val="right"/>
              <w:rPr>
                <w:rFonts w:cs="Arial"/>
                <w:b/>
                <w:spacing w:val="-2"/>
                <w:sz w:val="14"/>
                <w:szCs w:val="14"/>
              </w:rPr>
            </w:pPr>
            <w:r w:rsidRPr="00C74971">
              <w:rPr>
                <w:rFonts w:cs="Arial"/>
                <w:b/>
                <w:spacing w:val="-2"/>
                <w:sz w:val="14"/>
                <w:szCs w:val="14"/>
              </w:rPr>
              <w:t>3</w:t>
            </w:r>
            <w:r>
              <w:rPr>
                <w:rFonts w:cs="Arial"/>
                <w:b/>
                <w:spacing w:val="-2"/>
                <w:sz w:val="14"/>
                <w:szCs w:val="14"/>
              </w:rPr>
              <w:t>1</w:t>
            </w:r>
            <w:r w:rsidRPr="00C74971">
              <w:rPr>
                <w:rFonts w:cs="Arial"/>
                <w:b/>
                <w:spacing w:val="-2"/>
                <w:sz w:val="14"/>
                <w:szCs w:val="14"/>
              </w:rPr>
              <w:t>.</w:t>
            </w:r>
            <w:r>
              <w:rPr>
                <w:rFonts w:cs="Arial"/>
                <w:b/>
                <w:spacing w:val="-2"/>
                <w:sz w:val="14"/>
                <w:szCs w:val="14"/>
              </w:rPr>
              <w:t>12</w:t>
            </w:r>
            <w:r w:rsidRPr="00C74971">
              <w:rPr>
                <w:rFonts w:cs="Arial"/>
                <w:b/>
                <w:spacing w:val="-2"/>
                <w:sz w:val="14"/>
                <w:szCs w:val="14"/>
              </w:rPr>
              <w:t>.202</w:t>
            </w:r>
            <w:r>
              <w:rPr>
                <w:rFonts w:cs="Arial"/>
                <w:b/>
                <w:spacing w:val="-2"/>
                <w:sz w:val="14"/>
                <w:szCs w:val="14"/>
              </w:rPr>
              <w:t>1</w:t>
            </w:r>
          </w:p>
        </w:tc>
        <w:tc>
          <w:tcPr>
            <w:tcW w:w="1418" w:type="dxa"/>
            <w:tcBorders>
              <w:bottom w:val="single" w:sz="2" w:space="0" w:color="1F4E79" w:themeColor="accent1" w:themeShade="80"/>
            </w:tcBorders>
            <w:shd w:val="clear" w:color="auto" w:fill="auto"/>
            <w:vAlign w:val="center"/>
          </w:tcPr>
          <w:p w14:paraId="71CD35A4" w14:textId="77777777" w:rsidR="00375569" w:rsidRPr="00C74971" w:rsidRDefault="00375569" w:rsidP="00B90701">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20</w:t>
            </w:r>
          </w:p>
        </w:tc>
      </w:tr>
      <w:tr w:rsidR="00375569" w:rsidRPr="00C74971" w14:paraId="1F3102EE" w14:textId="77777777" w:rsidTr="00725333">
        <w:trPr>
          <w:trHeight w:val="238"/>
          <w:jc w:val="center"/>
        </w:trPr>
        <w:tc>
          <w:tcPr>
            <w:tcW w:w="3094" w:type="dxa"/>
            <w:gridSpan w:val="2"/>
            <w:tcBorders>
              <w:bottom w:val="nil"/>
            </w:tcBorders>
            <w:shd w:val="clear" w:color="auto" w:fill="auto"/>
          </w:tcPr>
          <w:p w14:paraId="6E7E8A06" w14:textId="77777777" w:rsidR="00375569" w:rsidRPr="00C74971" w:rsidRDefault="00375569" w:rsidP="00972946">
            <w:pPr>
              <w:pStyle w:val="08-Tabelageral"/>
              <w:ind w:left="113"/>
              <w:jc w:val="left"/>
              <w:rPr>
                <w:rFonts w:cs="Arial"/>
                <w:szCs w:val="14"/>
                <w:vertAlign w:val="superscript"/>
              </w:rPr>
            </w:pPr>
            <w:r w:rsidRPr="00C74971">
              <w:rPr>
                <w:rFonts w:cs="Arial"/>
                <w:szCs w:val="14"/>
              </w:rPr>
              <w:t xml:space="preserve">Dividendos a pagar </w:t>
            </w:r>
            <w:r>
              <w:rPr>
                <w:rFonts w:cs="Arial"/>
                <w:szCs w:val="14"/>
                <w:vertAlign w:val="superscript"/>
              </w:rPr>
              <w:t>(1)</w:t>
            </w:r>
          </w:p>
        </w:tc>
        <w:tc>
          <w:tcPr>
            <w:tcW w:w="604" w:type="dxa"/>
            <w:tcBorders>
              <w:bottom w:val="nil"/>
            </w:tcBorders>
            <w:shd w:val="clear" w:color="auto" w:fill="auto"/>
          </w:tcPr>
          <w:p w14:paraId="0781EAF0" w14:textId="77777777" w:rsidR="00375569" w:rsidRPr="00C74971" w:rsidRDefault="00375569" w:rsidP="00B90701">
            <w:pPr>
              <w:pStyle w:val="08-Tabelageral"/>
              <w:rPr>
                <w:rFonts w:cs="Arial"/>
                <w:szCs w:val="14"/>
              </w:rPr>
            </w:pPr>
          </w:p>
        </w:tc>
        <w:tc>
          <w:tcPr>
            <w:tcW w:w="1411" w:type="dxa"/>
            <w:tcBorders>
              <w:bottom w:val="nil"/>
            </w:tcBorders>
            <w:shd w:val="clear" w:color="auto" w:fill="auto"/>
          </w:tcPr>
          <w:p w14:paraId="1E1EBC40" w14:textId="77777777" w:rsidR="00375569" w:rsidRPr="00C74971" w:rsidRDefault="00375569" w:rsidP="001B7893">
            <w:pPr>
              <w:pStyle w:val="08-Tabelageral"/>
              <w:rPr>
                <w:rFonts w:cs="Arial"/>
                <w:szCs w:val="14"/>
              </w:rPr>
            </w:pPr>
            <w:r>
              <w:rPr>
                <w:rFonts w:cs="Arial"/>
                <w:szCs w:val="14"/>
              </w:rPr>
              <w:t>1.831.596</w:t>
            </w:r>
          </w:p>
        </w:tc>
        <w:tc>
          <w:tcPr>
            <w:tcW w:w="1412" w:type="dxa"/>
            <w:tcBorders>
              <w:bottom w:val="nil"/>
            </w:tcBorders>
            <w:shd w:val="clear" w:color="auto" w:fill="auto"/>
          </w:tcPr>
          <w:p w14:paraId="1C28AC88" w14:textId="77777777" w:rsidR="00375569" w:rsidRPr="00C74971" w:rsidRDefault="00375569" w:rsidP="00B90701">
            <w:pPr>
              <w:pStyle w:val="08-Tabelageral"/>
              <w:rPr>
                <w:rFonts w:cs="Arial"/>
                <w:szCs w:val="14"/>
              </w:rPr>
            </w:pPr>
            <w:r>
              <w:rPr>
                <w:rFonts w:cs="Arial"/>
                <w:szCs w:val="14"/>
              </w:rPr>
              <w:t>948.398</w:t>
            </w:r>
          </w:p>
        </w:tc>
        <w:tc>
          <w:tcPr>
            <w:tcW w:w="283" w:type="dxa"/>
            <w:tcBorders>
              <w:bottom w:val="nil"/>
            </w:tcBorders>
            <w:shd w:val="clear" w:color="auto" w:fill="auto"/>
          </w:tcPr>
          <w:p w14:paraId="5F6FA99B" w14:textId="77777777" w:rsidR="00375569" w:rsidRPr="00C74971" w:rsidRDefault="00375569" w:rsidP="00B90701">
            <w:pPr>
              <w:pStyle w:val="08-Tabelageral"/>
              <w:rPr>
                <w:rFonts w:cs="Arial"/>
                <w:szCs w:val="14"/>
              </w:rPr>
            </w:pPr>
          </w:p>
        </w:tc>
        <w:tc>
          <w:tcPr>
            <w:tcW w:w="1417" w:type="dxa"/>
            <w:tcBorders>
              <w:bottom w:val="nil"/>
            </w:tcBorders>
            <w:shd w:val="clear" w:color="auto" w:fill="auto"/>
          </w:tcPr>
          <w:p w14:paraId="59CA9518" w14:textId="77777777" w:rsidR="00375569" w:rsidRPr="00C74971" w:rsidRDefault="00375569" w:rsidP="001B7893">
            <w:pPr>
              <w:pStyle w:val="08-Tabelageral"/>
              <w:rPr>
                <w:rFonts w:cs="Arial"/>
                <w:szCs w:val="14"/>
              </w:rPr>
            </w:pPr>
            <w:r>
              <w:rPr>
                <w:rFonts w:cs="Arial"/>
                <w:szCs w:val="14"/>
              </w:rPr>
              <w:t>1.831.596</w:t>
            </w:r>
          </w:p>
        </w:tc>
        <w:tc>
          <w:tcPr>
            <w:tcW w:w="1418" w:type="dxa"/>
            <w:tcBorders>
              <w:bottom w:val="nil"/>
            </w:tcBorders>
            <w:shd w:val="clear" w:color="auto" w:fill="auto"/>
          </w:tcPr>
          <w:p w14:paraId="4BC6A83D" w14:textId="77777777" w:rsidR="00375569" w:rsidRPr="00C74971" w:rsidRDefault="00375569" w:rsidP="00B90701">
            <w:pPr>
              <w:pStyle w:val="08-Tabelageral"/>
              <w:rPr>
                <w:rFonts w:cs="Arial"/>
                <w:szCs w:val="14"/>
              </w:rPr>
            </w:pPr>
            <w:r>
              <w:rPr>
                <w:rFonts w:cs="Arial"/>
                <w:szCs w:val="14"/>
              </w:rPr>
              <w:t>948.398</w:t>
            </w:r>
          </w:p>
        </w:tc>
      </w:tr>
      <w:tr w:rsidR="00375569" w:rsidRPr="00C74971" w14:paraId="19C688EE" w14:textId="77777777" w:rsidTr="00725333">
        <w:trPr>
          <w:trHeight w:val="238"/>
          <w:jc w:val="center"/>
        </w:trPr>
        <w:tc>
          <w:tcPr>
            <w:tcW w:w="3094" w:type="dxa"/>
            <w:gridSpan w:val="2"/>
            <w:tcBorders>
              <w:top w:val="nil"/>
              <w:bottom w:val="nil"/>
            </w:tcBorders>
            <w:shd w:val="clear" w:color="auto" w:fill="auto"/>
          </w:tcPr>
          <w:p w14:paraId="364A24FA" w14:textId="77777777" w:rsidR="00375569" w:rsidRPr="00C74971" w:rsidRDefault="00375569" w:rsidP="00DB05CD">
            <w:pPr>
              <w:pStyle w:val="08-Tabelageral"/>
              <w:ind w:left="113"/>
              <w:jc w:val="left"/>
              <w:rPr>
                <w:rFonts w:cs="Arial"/>
                <w:szCs w:val="14"/>
                <w:vertAlign w:val="superscript"/>
              </w:rPr>
            </w:pPr>
            <w:r w:rsidRPr="00C74971">
              <w:rPr>
                <w:rFonts w:cs="Arial"/>
                <w:szCs w:val="14"/>
              </w:rPr>
              <w:t xml:space="preserve">Redução de capital a pagar </w:t>
            </w:r>
            <w:r w:rsidRPr="00C74971">
              <w:rPr>
                <w:rFonts w:cs="Arial"/>
                <w:szCs w:val="14"/>
                <w:vertAlign w:val="superscript"/>
              </w:rPr>
              <w:t>(</w:t>
            </w:r>
            <w:r>
              <w:rPr>
                <w:rFonts w:cs="Arial"/>
                <w:szCs w:val="14"/>
                <w:vertAlign w:val="superscript"/>
              </w:rPr>
              <w:t>2</w:t>
            </w:r>
            <w:r w:rsidRPr="00C74971">
              <w:rPr>
                <w:rFonts w:cs="Arial"/>
                <w:szCs w:val="14"/>
                <w:vertAlign w:val="superscript"/>
              </w:rPr>
              <w:t>)</w:t>
            </w:r>
          </w:p>
        </w:tc>
        <w:tc>
          <w:tcPr>
            <w:tcW w:w="604" w:type="dxa"/>
            <w:tcBorders>
              <w:top w:val="nil"/>
              <w:bottom w:val="nil"/>
            </w:tcBorders>
            <w:shd w:val="clear" w:color="auto" w:fill="auto"/>
          </w:tcPr>
          <w:p w14:paraId="55794D5B" w14:textId="77777777" w:rsidR="00375569" w:rsidRPr="00C74971" w:rsidRDefault="00375569" w:rsidP="00B90701">
            <w:pPr>
              <w:pStyle w:val="08-Tabelageral"/>
              <w:rPr>
                <w:rFonts w:cs="Arial"/>
                <w:szCs w:val="14"/>
              </w:rPr>
            </w:pPr>
          </w:p>
        </w:tc>
        <w:tc>
          <w:tcPr>
            <w:tcW w:w="1411" w:type="dxa"/>
            <w:tcBorders>
              <w:top w:val="nil"/>
              <w:bottom w:val="nil"/>
            </w:tcBorders>
            <w:shd w:val="clear" w:color="auto" w:fill="auto"/>
          </w:tcPr>
          <w:p w14:paraId="2999814A" w14:textId="77777777" w:rsidR="00375569" w:rsidRPr="00C74971" w:rsidRDefault="00375569" w:rsidP="00740A7D">
            <w:pPr>
              <w:pStyle w:val="08-Tabelageral"/>
              <w:rPr>
                <w:rFonts w:cs="Arial"/>
                <w:szCs w:val="14"/>
              </w:rPr>
            </w:pPr>
            <w:r>
              <w:rPr>
                <w:rFonts w:cs="Arial"/>
                <w:szCs w:val="14"/>
              </w:rPr>
              <w:t>95</w:t>
            </w:r>
          </w:p>
        </w:tc>
        <w:tc>
          <w:tcPr>
            <w:tcW w:w="1412" w:type="dxa"/>
            <w:tcBorders>
              <w:top w:val="nil"/>
              <w:bottom w:val="nil"/>
            </w:tcBorders>
            <w:shd w:val="clear" w:color="auto" w:fill="auto"/>
          </w:tcPr>
          <w:p w14:paraId="0101B693" w14:textId="77777777" w:rsidR="00375569" w:rsidRPr="00C74971" w:rsidRDefault="00375569" w:rsidP="00B90701">
            <w:pPr>
              <w:pStyle w:val="08-Tabelageral"/>
              <w:rPr>
                <w:rFonts w:cs="Arial"/>
                <w:szCs w:val="14"/>
              </w:rPr>
            </w:pPr>
            <w:r>
              <w:rPr>
                <w:rFonts w:cs="Arial"/>
                <w:szCs w:val="14"/>
              </w:rPr>
              <w:t>95</w:t>
            </w:r>
          </w:p>
        </w:tc>
        <w:tc>
          <w:tcPr>
            <w:tcW w:w="283" w:type="dxa"/>
            <w:tcBorders>
              <w:top w:val="nil"/>
              <w:bottom w:val="nil"/>
            </w:tcBorders>
            <w:shd w:val="clear" w:color="auto" w:fill="auto"/>
          </w:tcPr>
          <w:p w14:paraId="39C5CBD7" w14:textId="77777777" w:rsidR="00375569" w:rsidRPr="00C74971" w:rsidRDefault="00375569" w:rsidP="00B90701">
            <w:pPr>
              <w:pStyle w:val="08-Tabelageral"/>
              <w:rPr>
                <w:rFonts w:cs="Arial"/>
                <w:szCs w:val="14"/>
              </w:rPr>
            </w:pPr>
          </w:p>
        </w:tc>
        <w:tc>
          <w:tcPr>
            <w:tcW w:w="1417" w:type="dxa"/>
            <w:tcBorders>
              <w:top w:val="nil"/>
              <w:bottom w:val="nil"/>
            </w:tcBorders>
            <w:shd w:val="clear" w:color="auto" w:fill="auto"/>
          </w:tcPr>
          <w:p w14:paraId="7429D7E9" w14:textId="77777777" w:rsidR="00375569" w:rsidRPr="00C74971" w:rsidRDefault="00375569" w:rsidP="008875D7">
            <w:pPr>
              <w:pStyle w:val="08-Tabelageral"/>
              <w:rPr>
                <w:rFonts w:cs="Arial"/>
                <w:szCs w:val="14"/>
              </w:rPr>
            </w:pPr>
            <w:r>
              <w:rPr>
                <w:rFonts w:cs="Arial"/>
                <w:szCs w:val="14"/>
              </w:rPr>
              <w:t>95</w:t>
            </w:r>
          </w:p>
        </w:tc>
        <w:tc>
          <w:tcPr>
            <w:tcW w:w="1418" w:type="dxa"/>
            <w:tcBorders>
              <w:top w:val="nil"/>
              <w:bottom w:val="nil"/>
            </w:tcBorders>
            <w:shd w:val="clear" w:color="auto" w:fill="auto"/>
          </w:tcPr>
          <w:p w14:paraId="044D0507" w14:textId="77777777" w:rsidR="00375569" w:rsidRPr="00C74971" w:rsidRDefault="00375569" w:rsidP="00B90701">
            <w:pPr>
              <w:pStyle w:val="08-Tabelageral"/>
              <w:rPr>
                <w:rFonts w:cs="Arial"/>
                <w:szCs w:val="14"/>
              </w:rPr>
            </w:pPr>
            <w:r>
              <w:rPr>
                <w:rFonts w:cs="Arial"/>
                <w:szCs w:val="14"/>
              </w:rPr>
              <w:t>95</w:t>
            </w:r>
          </w:p>
        </w:tc>
      </w:tr>
      <w:tr w:rsidR="00375569" w:rsidRPr="00C74971" w14:paraId="3BDB58AE" w14:textId="77777777" w:rsidTr="00725333">
        <w:trPr>
          <w:trHeight w:val="238"/>
          <w:jc w:val="center"/>
        </w:trPr>
        <w:tc>
          <w:tcPr>
            <w:tcW w:w="3094" w:type="dxa"/>
            <w:gridSpan w:val="2"/>
            <w:tcBorders>
              <w:top w:val="nil"/>
            </w:tcBorders>
            <w:shd w:val="clear" w:color="auto" w:fill="auto"/>
          </w:tcPr>
          <w:p w14:paraId="707FCC74" w14:textId="77777777" w:rsidR="00375569" w:rsidRPr="00C74971" w:rsidRDefault="00375569" w:rsidP="00B90701">
            <w:pPr>
              <w:pStyle w:val="08-Tabelageral"/>
              <w:jc w:val="left"/>
              <w:rPr>
                <w:rFonts w:cs="Arial"/>
                <w:b/>
                <w:szCs w:val="14"/>
              </w:rPr>
            </w:pPr>
            <w:r w:rsidRPr="00C74971">
              <w:rPr>
                <w:rFonts w:cs="Arial"/>
                <w:b/>
                <w:szCs w:val="14"/>
              </w:rPr>
              <w:t>Total</w:t>
            </w:r>
          </w:p>
        </w:tc>
        <w:tc>
          <w:tcPr>
            <w:tcW w:w="604" w:type="dxa"/>
            <w:tcBorders>
              <w:top w:val="nil"/>
            </w:tcBorders>
            <w:shd w:val="clear" w:color="auto" w:fill="auto"/>
          </w:tcPr>
          <w:p w14:paraId="71D36E9B" w14:textId="77777777" w:rsidR="00375569" w:rsidRPr="00C74971" w:rsidRDefault="00375569" w:rsidP="00B90701">
            <w:pPr>
              <w:pStyle w:val="08-Tabelageral"/>
              <w:rPr>
                <w:rFonts w:cs="Arial"/>
                <w:b/>
                <w:szCs w:val="14"/>
              </w:rPr>
            </w:pPr>
          </w:p>
        </w:tc>
        <w:tc>
          <w:tcPr>
            <w:tcW w:w="1411" w:type="dxa"/>
            <w:tcBorders>
              <w:top w:val="nil"/>
            </w:tcBorders>
            <w:shd w:val="clear" w:color="auto" w:fill="auto"/>
          </w:tcPr>
          <w:p w14:paraId="574722DF" w14:textId="77777777" w:rsidR="00375569" w:rsidRPr="00C74971" w:rsidRDefault="00375569" w:rsidP="006100B9">
            <w:pPr>
              <w:pStyle w:val="08-Tabelageral"/>
              <w:rPr>
                <w:rFonts w:cs="Arial"/>
                <w:b/>
                <w:szCs w:val="14"/>
              </w:rPr>
            </w:pPr>
            <w:r>
              <w:rPr>
                <w:rFonts w:cs="Arial"/>
                <w:b/>
                <w:szCs w:val="14"/>
              </w:rPr>
              <w:t>1.831.691</w:t>
            </w:r>
          </w:p>
        </w:tc>
        <w:tc>
          <w:tcPr>
            <w:tcW w:w="1412" w:type="dxa"/>
            <w:tcBorders>
              <w:top w:val="nil"/>
            </w:tcBorders>
            <w:shd w:val="clear" w:color="auto" w:fill="auto"/>
          </w:tcPr>
          <w:p w14:paraId="5F11BADF" w14:textId="77777777" w:rsidR="00375569" w:rsidRPr="00C74971" w:rsidRDefault="00375569" w:rsidP="00B90701">
            <w:pPr>
              <w:pStyle w:val="08-Tabelageral"/>
              <w:rPr>
                <w:rFonts w:cs="Arial"/>
                <w:b/>
                <w:szCs w:val="14"/>
              </w:rPr>
            </w:pPr>
            <w:r>
              <w:rPr>
                <w:rFonts w:cs="Arial"/>
                <w:b/>
                <w:szCs w:val="14"/>
              </w:rPr>
              <w:t>948.493</w:t>
            </w:r>
          </w:p>
        </w:tc>
        <w:tc>
          <w:tcPr>
            <w:tcW w:w="283" w:type="dxa"/>
            <w:tcBorders>
              <w:top w:val="nil"/>
            </w:tcBorders>
            <w:shd w:val="clear" w:color="auto" w:fill="auto"/>
          </w:tcPr>
          <w:p w14:paraId="463AF280" w14:textId="77777777" w:rsidR="00375569" w:rsidRPr="00C74971" w:rsidRDefault="00375569" w:rsidP="00B90701">
            <w:pPr>
              <w:pStyle w:val="08-Tabelageral"/>
              <w:rPr>
                <w:rFonts w:cs="Arial"/>
                <w:b/>
                <w:szCs w:val="14"/>
              </w:rPr>
            </w:pPr>
          </w:p>
        </w:tc>
        <w:tc>
          <w:tcPr>
            <w:tcW w:w="1417" w:type="dxa"/>
            <w:tcBorders>
              <w:top w:val="nil"/>
            </w:tcBorders>
            <w:shd w:val="clear" w:color="auto" w:fill="auto"/>
          </w:tcPr>
          <w:p w14:paraId="5E75EB25" w14:textId="77777777" w:rsidR="00375569" w:rsidRPr="00C74971" w:rsidRDefault="00375569" w:rsidP="006100B9">
            <w:pPr>
              <w:pStyle w:val="08-Tabelageral"/>
              <w:rPr>
                <w:rFonts w:cs="Arial"/>
                <w:b/>
                <w:szCs w:val="14"/>
              </w:rPr>
            </w:pPr>
            <w:r>
              <w:rPr>
                <w:rFonts w:cs="Arial"/>
                <w:b/>
                <w:szCs w:val="14"/>
              </w:rPr>
              <w:t>1.831.691</w:t>
            </w:r>
          </w:p>
        </w:tc>
        <w:tc>
          <w:tcPr>
            <w:tcW w:w="1418" w:type="dxa"/>
            <w:tcBorders>
              <w:top w:val="nil"/>
            </w:tcBorders>
            <w:shd w:val="clear" w:color="auto" w:fill="auto"/>
          </w:tcPr>
          <w:p w14:paraId="6CCAD1B1" w14:textId="77777777" w:rsidR="00375569" w:rsidRPr="00C74971" w:rsidRDefault="00375569" w:rsidP="00B90701">
            <w:pPr>
              <w:pStyle w:val="08-Tabelageral"/>
              <w:rPr>
                <w:rFonts w:cs="Arial"/>
                <w:b/>
                <w:szCs w:val="14"/>
              </w:rPr>
            </w:pPr>
            <w:r>
              <w:rPr>
                <w:rFonts w:cs="Arial"/>
                <w:b/>
                <w:szCs w:val="14"/>
              </w:rPr>
              <w:t>948.493</w:t>
            </w:r>
          </w:p>
        </w:tc>
      </w:tr>
    </w:tbl>
    <w:p w14:paraId="68E5DBE8" w14:textId="77777777" w:rsidR="00375569" w:rsidRPr="00DB05CD" w:rsidRDefault="00375569" w:rsidP="00375569">
      <w:pPr>
        <w:pStyle w:val="07-Legenda"/>
        <w:keepNext/>
        <w:numPr>
          <w:ilvl w:val="0"/>
          <w:numId w:val="1"/>
        </w:numPr>
        <w:ind w:left="284" w:hanging="284"/>
        <w:rPr>
          <w:rFonts w:cs="Arial"/>
          <w:szCs w:val="14"/>
        </w:rPr>
      </w:pPr>
      <w:r>
        <w:rPr>
          <w:rFonts w:cs="Arial"/>
          <w:szCs w:val="14"/>
        </w:rPr>
        <w:t>Os dividendos distribuídos em 31.12.2020</w:t>
      </w:r>
      <w:r w:rsidRPr="00DB05CD">
        <w:rPr>
          <w:rFonts w:cs="Arial"/>
          <w:szCs w:val="14"/>
        </w:rPr>
        <w:t xml:space="preserve"> foram pagos aos acionistas em 25.02.2021.</w:t>
      </w:r>
    </w:p>
    <w:bookmarkEnd w:id="99"/>
    <w:p w14:paraId="5532452C" w14:textId="77777777" w:rsidR="00375569" w:rsidRDefault="00375569" w:rsidP="00375569">
      <w:pPr>
        <w:pStyle w:val="07-Legenda"/>
        <w:keepNext/>
        <w:numPr>
          <w:ilvl w:val="0"/>
          <w:numId w:val="1"/>
        </w:numPr>
        <w:rPr>
          <w:rFonts w:cs="Arial"/>
          <w:szCs w:val="14"/>
        </w:rPr>
      </w:pPr>
      <w:r>
        <w:rPr>
          <w:rFonts w:cs="Arial"/>
          <w:szCs w:val="14"/>
        </w:rPr>
        <w:t>Redução de capital aprovada pelo Conselho de Administração, cujo efetivo pagamento ocorreu em 30.04.2020, conforme detalhado Nota Explicativa 25.</w:t>
      </w:r>
    </w:p>
    <w:p w14:paraId="7AF4EF2A" w14:textId="3986EFF8" w:rsidR="00112F4C" w:rsidRDefault="00112F4C" w:rsidP="00375569">
      <w:pPr>
        <w:spacing w:before="120" w:after="120"/>
        <w:jc w:val="both"/>
      </w:pPr>
    </w:p>
    <w:p w14:paraId="376E8832" w14:textId="533BD5D3" w:rsidR="00376D0F" w:rsidRPr="00570A41" w:rsidRDefault="00376D0F" w:rsidP="00570A41">
      <w:pPr>
        <w:pStyle w:val="02-TtulodeNota"/>
        <w:keepNext/>
        <w:keepLines/>
        <w:pageBreakBefore/>
        <w:rPr>
          <w:color w:val="1F4E79" w:themeColor="accent1" w:themeShade="80"/>
        </w:rPr>
      </w:pPr>
      <w:bookmarkStart w:id="101" w:name="OLE_LINK17"/>
      <w:bookmarkStart w:id="102" w:name="_Toc94861080"/>
      <w:r w:rsidRPr="00570A41">
        <w:rPr>
          <w:color w:val="1F4E79" w:themeColor="accent1" w:themeShade="80"/>
        </w:rPr>
        <w:lastRenderedPageBreak/>
        <w:t>22 – PROVISÕES E PASSIVOS CONTINGENTES</w:t>
      </w:r>
      <w:bookmarkEnd w:id="102"/>
      <w:r w:rsidRPr="00570A41">
        <w:rPr>
          <w:color w:val="1F4E79" w:themeColor="accent1" w:themeShade="80"/>
        </w:rPr>
        <w:t xml:space="preserve"> </w:t>
      </w:r>
    </w:p>
    <w:p w14:paraId="266BC16E" w14:textId="77777777" w:rsidR="00376D0F" w:rsidRPr="00E2415B" w:rsidRDefault="00376D0F" w:rsidP="00086CD9">
      <w:pPr>
        <w:pStyle w:val="04-TtuloNegrito"/>
        <w:keepNext/>
        <w:keepLines/>
        <w:rPr>
          <w:rFonts w:cs="Arial"/>
          <w:color w:val="1F4E79" w:themeColor="accent1" w:themeShade="80"/>
          <w:sz w:val="18"/>
          <w:szCs w:val="18"/>
        </w:rPr>
      </w:pPr>
      <w:r w:rsidRPr="00E2415B">
        <w:rPr>
          <w:rFonts w:cs="Arial"/>
          <w:color w:val="1F4E79" w:themeColor="accent1" w:themeShade="80"/>
          <w:sz w:val="18"/>
          <w:szCs w:val="18"/>
        </w:rPr>
        <w:t>ATIVOS CONTINGENTES</w:t>
      </w:r>
    </w:p>
    <w:p w14:paraId="0EE85595" w14:textId="77777777" w:rsidR="00376D0F" w:rsidRPr="00E2415B" w:rsidRDefault="00376D0F" w:rsidP="00C119E1">
      <w:pPr>
        <w:pStyle w:val="04-TtuloNegrito"/>
        <w:keepNext/>
        <w:keepLines/>
        <w:rPr>
          <w:rFonts w:cs="Arial"/>
          <w:b w:val="0"/>
          <w:sz w:val="18"/>
          <w:szCs w:val="18"/>
        </w:rPr>
      </w:pPr>
      <w:r w:rsidRPr="00E2415B">
        <w:rPr>
          <w:rFonts w:cs="Arial"/>
          <w:b w:val="0"/>
          <w:sz w:val="18"/>
          <w:szCs w:val="18"/>
        </w:rPr>
        <w:t xml:space="preserve">Em conformidade com o </w:t>
      </w:r>
      <w:r>
        <w:rPr>
          <w:rFonts w:cs="Arial"/>
          <w:b w:val="0"/>
          <w:sz w:val="18"/>
          <w:szCs w:val="18"/>
        </w:rPr>
        <w:t>CPC 25 [IAS 37]</w:t>
      </w:r>
      <w:r w:rsidRPr="00E2415B">
        <w:rPr>
          <w:rFonts w:cs="Arial"/>
          <w:b w:val="0"/>
          <w:sz w:val="18"/>
          <w:szCs w:val="18"/>
        </w:rPr>
        <w:t xml:space="preserve"> – Provisões, Passivos Contingentes e Ativos Contingentes, não foram reconhecidos ativos contingentes nas demonstrações contábeis individuais e consolidadas.</w:t>
      </w:r>
    </w:p>
    <w:p w14:paraId="0227E696" w14:textId="77777777" w:rsidR="00376D0F" w:rsidRPr="00E2415B" w:rsidRDefault="00376D0F" w:rsidP="00C119E1">
      <w:pPr>
        <w:pStyle w:val="04-TtuloNegrito"/>
        <w:keepNext/>
        <w:keepLines/>
        <w:rPr>
          <w:rFonts w:cs="Arial"/>
          <w:b w:val="0"/>
          <w:sz w:val="18"/>
          <w:szCs w:val="18"/>
        </w:rPr>
      </w:pPr>
      <w:r w:rsidRPr="00E2415B">
        <w:rPr>
          <w:rFonts w:cs="Arial"/>
          <w:color w:val="1F4E79" w:themeColor="accent1" w:themeShade="80"/>
          <w:sz w:val="18"/>
          <w:szCs w:val="18"/>
        </w:rPr>
        <w:t xml:space="preserve">PASSIVOS CONTINGENTES - PROVÁVEIS </w:t>
      </w:r>
    </w:p>
    <w:p w14:paraId="4FC5B779" w14:textId="77777777" w:rsidR="00376D0F" w:rsidRPr="00E2415B" w:rsidRDefault="00376D0F" w:rsidP="008E5277">
      <w:pPr>
        <w:pStyle w:val="04-TtuloNegrito"/>
        <w:keepNext/>
        <w:keepLines/>
        <w:rPr>
          <w:rFonts w:cs="Arial"/>
          <w:color w:val="1F4E79" w:themeColor="accent1" w:themeShade="80"/>
          <w:sz w:val="18"/>
          <w:szCs w:val="18"/>
        </w:rPr>
      </w:pPr>
      <w:r w:rsidRPr="00E2415B">
        <w:rPr>
          <w:rFonts w:cs="Arial"/>
          <w:color w:val="1F4E79" w:themeColor="accent1" w:themeShade="80"/>
          <w:sz w:val="18"/>
          <w:szCs w:val="18"/>
        </w:rPr>
        <w:t>a) Ações fiscais</w:t>
      </w:r>
    </w:p>
    <w:p w14:paraId="6F1C7286" w14:textId="77777777" w:rsidR="00376D0F" w:rsidRPr="00E2415B" w:rsidRDefault="00376D0F" w:rsidP="00740783">
      <w:pPr>
        <w:pStyle w:val="04-TtuloNegrito"/>
        <w:keepNext/>
        <w:keepLines/>
        <w:rPr>
          <w:rFonts w:cs="Arial"/>
          <w:b w:val="0"/>
          <w:sz w:val="18"/>
          <w:szCs w:val="18"/>
        </w:rPr>
      </w:pPr>
      <w:r w:rsidRPr="00E2415B">
        <w:rPr>
          <w:rFonts w:cs="Arial"/>
          <w:b w:val="0"/>
          <w:sz w:val="18"/>
          <w:szCs w:val="18"/>
        </w:rPr>
        <w:t xml:space="preserve">As ações fiscais da Companhia relativas à BB Corretora advêm, principalmente, de autuações do fisco municipal/distrital (discutindo o “recolhimento” do Imposto Sobre Serviços de Qualquer Natureza - ISSQN); e de demandas da União propostas nas esferas administrativa ou judicial discutindo tributos federais (notadamente não homologação de compensações de tributos próprios com outros tributos). </w:t>
      </w:r>
    </w:p>
    <w:p w14:paraId="31628028" w14:textId="77777777" w:rsidR="00376D0F" w:rsidRPr="00E2415B" w:rsidRDefault="00376D0F" w:rsidP="00E2415B">
      <w:pPr>
        <w:pStyle w:val="01-Textonormal"/>
      </w:pPr>
      <w:r w:rsidRPr="00E2415B">
        <w:t>Em 31 dezembro de 2021, a BB Corretora tinha um total de 34 (trinta e quatro) ações fiscais ativas discutindo matérias afetas a área fisco-tributária, classificadas como remota, possível ou provável, a depender da fase do processo e/ou situação específica afeta a cada caso concreto. As citadas ações estão assim distribuídas: (i) 20 (vinte) delas na esfera administrativa, exclusivamente, junto à Receita Federal do Brasil (RFB); e, (ii) 14 (quatorze) delas ajuizados no judiciário brasileiro, sendo 10 (dez) na justiça Estadual e 04 (quatro) na justiça Federal.</w:t>
      </w:r>
    </w:p>
    <w:p w14:paraId="2ADB5394" w14:textId="77777777" w:rsidR="00376D0F" w:rsidRPr="00E2415B" w:rsidRDefault="00376D0F" w:rsidP="00E2415B">
      <w:pPr>
        <w:pStyle w:val="01-Textonormal"/>
      </w:pPr>
      <w:r w:rsidRPr="00E2415B">
        <w:t>Dentre a totalidade das ações fiscais, 4 (quatro) delas estão classificadas com probabilidade de perda provável. A seguir, uma breve síntese do principal processo classificado como provável:</w:t>
      </w:r>
    </w:p>
    <w:p w14:paraId="3B220E76" w14:textId="77777777" w:rsidR="00376D0F" w:rsidRPr="00E2415B" w:rsidRDefault="00376D0F" w:rsidP="00E2415B">
      <w:pPr>
        <w:pStyle w:val="04-TtuloNegrito"/>
        <w:keepNext/>
        <w:keepLines/>
        <w:ind w:left="567"/>
        <w:rPr>
          <w:b w:val="0"/>
          <w:sz w:val="18"/>
          <w:szCs w:val="18"/>
        </w:rPr>
      </w:pPr>
      <w:r w:rsidRPr="00E2415B">
        <w:rPr>
          <w:b w:val="0"/>
          <w:bCs/>
          <w:sz w:val="18"/>
          <w:szCs w:val="18"/>
        </w:rPr>
        <w:t>A BB Corretora é parte em processo judicial cuja causa de pedir está relacionada ao recolhimento de ISSQN, em trâmite junto ao TJ/MG, ao qual foi atribuído o valor da causa inicial de R$ 8,3 milhões e, ajuizado em 29/06/1998. A referida ação foi julgada pelo juízo competente, o qual reconheceu o direito do Município em receber o ISSQN requerido. No decorrer do processo, em sede de discussão de embargos à execução foi efetuado depósito judicial (para garantia do juízo em 15.12.2011, no valor de R$ 345.086,67) junto ao Banco do Brasil, cujo valor residual atualizado em: 31/12/2021 é de, aproximadamente, R$ 77,4 mil (</w:t>
      </w:r>
      <w:r w:rsidRPr="00E2415B">
        <w:rPr>
          <w:b w:val="0"/>
          <w:bCs/>
          <w:i/>
          <w:iCs/>
          <w:sz w:val="18"/>
          <w:szCs w:val="18"/>
        </w:rPr>
        <w:t>uma vez que houve decisão favorável à parte autora em sede de liquidação da sentença, na qual o juízo determinou o levantamento de R$ 527.842,98, em 16/08/2021 – relativo ao incontroverso</w:t>
      </w:r>
      <w:r w:rsidRPr="00E2415B">
        <w:rPr>
          <w:b w:val="0"/>
          <w:bCs/>
          <w:sz w:val="18"/>
          <w:szCs w:val="18"/>
        </w:rPr>
        <w:t>), outrossim, na referida decisão o juízo determinou que após as providências de saneamento processual, seja, expedido alvará a favor da BB Corretora para levantamento de eventual saldo residual a disposição do juízo – se for o caso. Em razão da situação instalada do processo em 31/12/2021 a BB Corretora, ainda, mantém provisão no importe de aproximadamente R$ 156,2 mil, vez que o processo tem probabilidade de perda como “provável” – diante do estágio processual verificado na data base 31/12/2021</w:t>
      </w:r>
      <w:r w:rsidRPr="00E2415B">
        <w:rPr>
          <w:b w:val="0"/>
          <w:sz w:val="18"/>
          <w:szCs w:val="18"/>
        </w:rPr>
        <w:t>.</w:t>
      </w:r>
    </w:p>
    <w:p w14:paraId="24919977" w14:textId="77777777" w:rsidR="00376D0F" w:rsidRDefault="00376D0F" w:rsidP="00462A07">
      <w:pPr>
        <w:pStyle w:val="04-TtuloNegrito"/>
        <w:keepNext/>
        <w:keepLines/>
        <w:rPr>
          <w:b w:val="0"/>
          <w:sz w:val="18"/>
          <w:szCs w:val="18"/>
        </w:rPr>
      </w:pPr>
      <w:r w:rsidRPr="00E2415B">
        <w:rPr>
          <w:b w:val="0"/>
          <w:sz w:val="18"/>
          <w:szCs w:val="18"/>
        </w:rPr>
        <w:t>Quanto à BB Seguridade e à BB Seguros, não possuem ações fiscais com valores significativos.</w:t>
      </w:r>
    </w:p>
    <w:p w14:paraId="00B9207C" w14:textId="77777777" w:rsidR="00376D0F" w:rsidRPr="00E2415B" w:rsidRDefault="00376D0F" w:rsidP="00462A07">
      <w:pPr>
        <w:pStyle w:val="04-TtuloNegrito"/>
        <w:keepNext/>
        <w:keepLines/>
        <w:rPr>
          <w:rFonts w:cs="Arial"/>
          <w:color w:val="1F4E79" w:themeColor="accent1" w:themeShade="80"/>
          <w:sz w:val="18"/>
          <w:szCs w:val="18"/>
        </w:rPr>
      </w:pPr>
      <w:r w:rsidRPr="00E2415B">
        <w:rPr>
          <w:rFonts w:cs="Arial"/>
          <w:color w:val="1F4E79" w:themeColor="accent1" w:themeShade="80"/>
          <w:sz w:val="18"/>
          <w:szCs w:val="18"/>
        </w:rPr>
        <w:t>b) Ações cíveis</w:t>
      </w:r>
    </w:p>
    <w:p w14:paraId="591FD5A4" w14:textId="77777777" w:rsidR="00376D0F" w:rsidRPr="00E2415B" w:rsidRDefault="00376D0F" w:rsidP="00740783">
      <w:pPr>
        <w:pStyle w:val="04-TtuloNegrito"/>
        <w:keepNext/>
        <w:keepLines/>
        <w:rPr>
          <w:rFonts w:cs="Arial"/>
          <w:b w:val="0"/>
          <w:sz w:val="18"/>
          <w:szCs w:val="18"/>
        </w:rPr>
      </w:pPr>
      <w:r w:rsidRPr="00E2415B">
        <w:rPr>
          <w:rFonts w:cs="Arial"/>
          <w:b w:val="0"/>
          <w:sz w:val="18"/>
          <w:szCs w:val="18"/>
        </w:rPr>
        <w:t>Nas ações de natureza cível envolvendo BB Seguridade, BB Seguros e BB Corretora, destacam-se os pedidos de indenizações diversas (dano material, dano moral, etc.), notadamente, decorrentes das relações consumeristas envolvendo os produtos de seguridade e afins (seguros de pessoas e patrimoniais, previdência complementar aberta, capitalização e planos odontológicos).</w:t>
      </w:r>
    </w:p>
    <w:p w14:paraId="3553CEF2" w14:textId="77777777" w:rsidR="00376D0F" w:rsidRPr="00E2415B" w:rsidRDefault="00376D0F" w:rsidP="00086CD9">
      <w:pPr>
        <w:pStyle w:val="04-TtuloNegrito"/>
        <w:keepNext/>
        <w:keepLines/>
        <w:rPr>
          <w:rFonts w:cs="Arial"/>
          <w:color w:val="1F4E79" w:themeColor="accent1" w:themeShade="80"/>
          <w:sz w:val="18"/>
          <w:szCs w:val="18"/>
        </w:rPr>
      </w:pPr>
      <w:r w:rsidRPr="00E2415B">
        <w:rPr>
          <w:rFonts w:cs="Arial"/>
          <w:color w:val="1F4E79" w:themeColor="accent1" w:themeShade="80"/>
          <w:sz w:val="18"/>
          <w:szCs w:val="18"/>
        </w:rPr>
        <w:t>c) Ações Trabalhistas</w:t>
      </w:r>
    </w:p>
    <w:p w14:paraId="6B36DB19" w14:textId="77777777" w:rsidR="00376D0F" w:rsidRDefault="00376D0F" w:rsidP="00740783">
      <w:pPr>
        <w:pStyle w:val="05-Textonormal"/>
        <w:rPr>
          <w:rFonts w:cs="Arial"/>
        </w:rPr>
      </w:pPr>
      <w:r w:rsidRPr="00E2415B">
        <w:rPr>
          <w:rFonts w:cs="Arial"/>
        </w:rPr>
        <w:t>As ações trabalhistas envolvendo BB Seguros e BB Corretora advêm, principalmente, de reclamatórias trabalhistas com cunho cível decorrentes, principalmente, de seguros empresariais de vida em grupo, cujas empregadoras originárias não arcaram com as verbas rescisórias trabalhistas e demandas de terceiros em desfavor das investidas avaliadas pelo método de equivalência patrimonial e da BB Seguros (como acionista) notadamente, requerendo eventual condenação subsidiária. Por outro lado, as ações trabalhistas da BB Seguridade envolvem ex-funcionários, discutindo direitos decorrentes de 7ª e 8ª horas extras bancárias e respectivos reflexos nas demais verbas de natureza salarial/indenizatória.</w:t>
      </w:r>
    </w:p>
    <w:p w14:paraId="32804F56" w14:textId="77777777" w:rsidR="00376D0F" w:rsidRDefault="00376D0F" w:rsidP="00740783">
      <w:pPr>
        <w:pStyle w:val="04-TtuloNegrito"/>
        <w:keepNext/>
        <w:keepLines/>
        <w:rPr>
          <w:rFonts w:cs="Arial"/>
          <w:color w:val="1F4E79" w:themeColor="accent1" w:themeShade="80"/>
          <w:sz w:val="18"/>
          <w:szCs w:val="18"/>
        </w:rPr>
        <w:sectPr w:rsidR="00376D0F" w:rsidSect="005D3059">
          <w:headerReference w:type="even" r:id="rId19"/>
          <w:footerReference w:type="even" r:id="rId20"/>
          <w:footerReference w:type="default" r:id="rId21"/>
          <w:headerReference w:type="first" r:id="rId22"/>
          <w:footerReference w:type="first" r:id="rId23"/>
          <w:type w:val="oddPage"/>
          <w:pgSz w:w="11906" w:h="16838" w:code="9"/>
          <w:pgMar w:top="1134" w:right="1134" w:bottom="851" w:left="1134" w:header="851" w:footer="284" w:gutter="0"/>
          <w:cols w:space="708"/>
          <w:docGrid w:linePitch="360"/>
        </w:sectPr>
      </w:pPr>
    </w:p>
    <w:p w14:paraId="7F705674" w14:textId="77777777" w:rsidR="00376D0F" w:rsidRDefault="00376D0F" w:rsidP="00376D0F">
      <w:pPr>
        <w:pStyle w:val="04-TtuloNegrito"/>
        <w:keepNext/>
        <w:keepLines/>
        <w:pageBreakBefore/>
        <w:rPr>
          <w:rFonts w:cs="Arial"/>
          <w:color w:val="1F4E79" w:themeColor="accent1" w:themeShade="80"/>
          <w:sz w:val="18"/>
          <w:szCs w:val="18"/>
        </w:rPr>
      </w:pPr>
      <w:r w:rsidRPr="00086CD9">
        <w:rPr>
          <w:rFonts w:cs="Arial"/>
          <w:color w:val="1F4E79" w:themeColor="accent1" w:themeShade="80"/>
          <w:sz w:val="18"/>
          <w:szCs w:val="18"/>
        </w:rPr>
        <w:lastRenderedPageBreak/>
        <w:t>Provisão para demandas fiscais, cíveis e trabalhistas classificadas como provávei</w:t>
      </w:r>
      <w:r>
        <w:rPr>
          <w:rFonts w:cs="Arial"/>
          <w:color w:val="1F4E79" w:themeColor="accent1" w:themeShade="80"/>
          <w:sz w:val="18"/>
          <w:szCs w:val="18"/>
        </w:rPr>
        <w:t>s</w:t>
      </w:r>
    </w:p>
    <w:p w14:paraId="13B19389" w14:textId="77777777" w:rsidR="00376D0F" w:rsidRDefault="00376D0F" w:rsidP="008E5277">
      <w:pPr>
        <w:pStyle w:val="05-Textonormal"/>
        <w:rPr>
          <w:rFonts w:cs="Arial"/>
        </w:rPr>
      </w:pPr>
      <w:r w:rsidRPr="00086CD9">
        <w:rPr>
          <w:rFonts w:cs="Arial"/>
        </w:rPr>
        <w:t xml:space="preserve">Em conformidade com o </w:t>
      </w:r>
      <w:r>
        <w:rPr>
          <w:rFonts w:cs="Arial"/>
        </w:rPr>
        <w:t>CPC 25 [IAS 37]</w:t>
      </w:r>
      <w:r w:rsidRPr="00086CD9">
        <w:rPr>
          <w:rFonts w:cs="Arial"/>
        </w:rPr>
        <w:t>, a BB Seguridade constitui provisão para demandas fiscais, cíveis e trabalhistas com risco de perda “provável”.</w:t>
      </w:r>
    </w:p>
    <w:p w14:paraId="1E7597C2" w14:textId="77777777" w:rsidR="00376D0F" w:rsidRPr="00442E11" w:rsidRDefault="00376D0F" w:rsidP="00442E11">
      <w:pPr>
        <w:pStyle w:val="01-Textonormal"/>
      </w:pPr>
      <w:r>
        <w:t>Essas provisões, r</w:t>
      </w:r>
      <w:r w:rsidRPr="007438BB">
        <w:t>eferem-se, principalmente, às contingências registradas na BB Corretora.</w:t>
      </w:r>
    </w:p>
    <w:p w14:paraId="204BAEAB" w14:textId="77777777" w:rsidR="00376D0F" w:rsidRPr="004C6ED9" w:rsidRDefault="00376D0F" w:rsidP="00744FE7">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94"/>
        <w:gridCol w:w="604"/>
        <w:gridCol w:w="1411"/>
        <w:gridCol w:w="1412"/>
        <w:gridCol w:w="283"/>
        <w:gridCol w:w="1417"/>
        <w:gridCol w:w="1418"/>
      </w:tblGrid>
      <w:tr w:rsidR="00376D0F" w:rsidRPr="0004725B" w14:paraId="214ED66E" w14:textId="77777777" w:rsidTr="007C29CB">
        <w:trPr>
          <w:trHeight w:val="238"/>
          <w:jc w:val="center"/>
        </w:trPr>
        <w:tc>
          <w:tcPr>
            <w:tcW w:w="3094" w:type="dxa"/>
            <w:tcBorders>
              <w:bottom w:val="nil"/>
            </w:tcBorders>
            <w:shd w:val="clear" w:color="auto" w:fill="auto"/>
            <w:vAlign w:val="center"/>
          </w:tcPr>
          <w:p w14:paraId="12788AA6" w14:textId="77777777" w:rsidR="00376D0F" w:rsidRPr="00795E28" w:rsidRDefault="00376D0F" w:rsidP="00382A97">
            <w:pPr>
              <w:spacing w:after="0"/>
              <w:jc w:val="center"/>
              <w:rPr>
                <w:rFonts w:cs="Arial"/>
                <w:b/>
                <w:sz w:val="14"/>
                <w:szCs w:val="14"/>
              </w:rPr>
            </w:pPr>
          </w:p>
        </w:tc>
        <w:tc>
          <w:tcPr>
            <w:tcW w:w="604" w:type="dxa"/>
            <w:tcBorders>
              <w:bottom w:val="nil"/>
            </w:tcBorders>
            <w:shd w:val="clear" w:color="auto" w:fill="auto"/>
            <w:vAlign w:val="center"/>
          </w:tcPr>
          <w:p w14:paraId="356BC272" w14:textId="77777777" w:rsidR="00376D0F" w:rsidRPr="00795E28" w:rsidRDefault="00376D0F" w:rsidP="00382A97">
            <w:pPr>
              <w:spacing w:after="0"/>
              <w:jc w:val="center"/>
              <w:rPr>
                <w:rFonts w:cs="Arial"/>
                <w:b/>
                <w:sz w:val="14"/>
                <w:szCs w:val="14"/>
              </w:rPr>
            </w:pPr>
          </w:p>
        </w:tc>
        <w:tc>
          <w:tcPr>
            <w:tcW w:w="5941" w:type="dxa"/>
            <w:gridSpan w:val="5"/>
            <w:shd w:val="clear" w:color="auto" w:fill="auto"/>
            <w:vAlign w:val="center"/>
          </w:tcPr>
          <w:p w14:paraId="020F557A" w14:textId="77777777" w:rsidR="00376D0F" w:rsidRPr="0004725B" w:rsidRDefault="00376D0F" w:rsidP="00382A97">
            <w:pPr>
              <w:spacing w:after="0"/>
              <w:jc w:val="center"/>
              <w:rPr>
                <w:rFonts w:cs="Arial"/>
                <w:b/>
                <w:sz w:val="14"/>
                <w:szCs w:val="14"/>
                <w:vertAlign w:val="superscript"/>
              </w:rPr>
            </w:pPr>
            <w:r>
              <w:rPr>
                <w:rFonts w:cs="Arial"/>
                <w:b/>
                <w:sz w:val="14"/>
                <w:szCs w:val="14"/>
              </w:rPr>
              <w:t xml:space="preserve">                            </w:t>
            </w:r>
            <w:r w:rsidRPr="0004725B">
              <w:rPr>
                <w:rFonts w:cs="Arial"/>
                <w:b/>
                <w:sz w:val="14"/>
                <w:szCs w:val="14"/>
              </w:rPr>
              <w:t xml:space="preserve">Consolidado </w:t>
            </w:r>
            <w:r w:rsidRPr="0004725B">
              <w:rPr>
                <w:rFonts w:cs="Arial"/>
                <w:b/>
                <w:sz w:val="14"/>
                <w:szCs w:val="14"/>
                <w:vertAlign w:val="superscript"/>
              </w:rPr>
              <w:t>(1) (2)</w:t>
            </w:r>
          </w:p>
        </w:tc>
      </w:tr>
      <w:tr w:rsidR="00376D0F" w:rsidRPr="0004725B" w14:paraId="64E5E352" w14:textId="77777777" w:rsidTr="007438BB">
        <w:trPr>
          <w:trHeight w:val="238"/>
          <w:jc w:val="center"/>
        </w:trPr>
        <w:tc>
          <w:tcPr>
            <w:tcW w:w="3094" w:type="dxa"/>
            <w:tcBorders>
              <w:top w:val="nil"/>
              <w:bottom w:val="single" w:sz="2" w:space="0" w:color="1F4E79" w:themeColor="accent1" w:themeShade="80"/>
            </w:tcBorders>
            <w:shd w:val="clear" w:color="auto" w:fill="auto"/>
            <w:vAlign w:val="center"/>
          </w:tcPr>
          <w:p w14:paraId="6884FAC6" w14:textId="77777777" w:rsidR="00376D0F" w:rsidRPr="0004725B" w:rsidRDefault="00376D0F" w:rsidP="00382A97">
            <w:pPr>
              <w:pStyle w:val="08-Tabelageral"/>
              <w:jc w:val="center"/>
              <w:rPr>
                <w:rFonts w:cs="Arial"/>
                <w:b/>
                <w:szCs w:val="14"/>
              </w:rPr>
            </w:pPr>
          </w:p>
        </w:tc>
        <w:tc>
          <w:tcPr>
            <w:tcW w:w="604" w:type="dxa"/>
            <w:tcBorders>
              <w:top w:val="nil"/>
              <w:bottom w:val="single" w:sz="2" w:space="0" w:color="1F4E79" w:themeColor="accent1" w:themeShade="80"/>
            </w:tcBorders>
            <w:shd w:val="clear" w:color="auto" w:fill="auto"/>
            <w:vAlign w:val="center"/>
          </w:tcPr>
          <w:p w14:paraId="50957357" w14:textId="77777777" w:rsidR="00376D0F" w:rsidRPr="0004725B" w:rsidRDefault="00376D0F" w:rsidP="00382A97">
            <w:pPr>
              <w:pStyle w:val="08-Tabelageral"/>
              <w:jc w:val="center"/>
              <w:rPr>
                <w:rFonts w:cs="Arial"/>
                <w:b/>
                <w:szCs w:val="14"/>
              </w:rPr>
            </w:pPr>
          </w:p>
        </w:tc>
        <w:tc>
          <w:tcPr>
            <w:tcW w:w="1411" w:type="dxa"/>
            <w:tcBorders>
              <w:bottom w:val="single" w:sz="2" w:space="0" w:color="1F4E79" w:themeColor="accent1" w:themeShade="80"/>
            </w:tcBorders>
            <w:shd w:val="clear" w:color="auto" w:fill="auto"/>
            <w:vAlign w:val="center"/>
          </w:tcPr>
          <w:p w14:paraId="1076C2A6" w14:textId="77777777" w:rsidR="00376D0F" w:rsidRPr="0004725B" w:rsidRDefault="00376D0F" w:rsidP="00BB5052">
            <w:pPr>
              <w:pStyle w:val="08-Tabelageral"/>
              <w:ind w:left="308"/>
              <w:jc w:val="center"/>
              <w:rPr>
                <w:rFonts w:cs="Arial"/>
                <w:b/>
                <w:szCs w:val="14"/>
              </w:rPr>
            </w:pPr>
          </w:p>
        </w:tc>
        <w:tc>
          <w:tcPr>
            <w:tcW w:w="1412" w:type="dxa"/>
            <w:tcBorders>
              <w:bottom w:val="single" w:sz="2" w:space="0" w:color="1F4E79" w:themeColor="accent1" w:themeShade="80"/>
            </w:tcBorders>
            <w:shd w:val="clear" w:color="auto" w:fill="auto"/>
            <w:vAlign w:val="center"/>
          </w:tcPr>
          <w:p w14:paraId="37161F51" w14:textId="77777777" w:rsidR="00376D0F" w:rsidRPr="0004725B" w:rsidRDefault="00376D0F" w:rsidP="00D472D3">
            <w:pPr>
              <w:pStyle w:val="08-Tabelageral"/>
              <w:rPr>
                <w:rFonts w:cs="Arial"/>
                <w:b/>
                <w:szCs w:val="14"/>
              </w:rPr>
            </w:pPr>
            <w:r>
              <w:rPr>
                <w:rFonts w:cs="Arial"/>
                <w:b/>
                <w:szCs w:val="14"/>
              </w:rPr>
              <w:t>Exercício 2021</w:t>
            </w:r>
          </w:p>
        </w:tc>
        <w:tc>
          <w:tcPr>
            <w:tcW w:w="283" w:type="dxa"/>
            <w:tcBorders>
              <w:bottom w:val="single" w:sz="2" w:space="0" w:color="1F4E79" w:themeColor="accent1" w:themeShade="80"/>
            </w:tcBorders>
            <w:shd w:val="clear" w:color="auto" w:fill="auto"/>
            <w:vAlign w:val="center"/>
          </w:tcPr>
          <w:p w14:paraId="66BC2510" w14:textId="77777777" w:rsidR="00376D0F" w:rsidRPr="0004725B" w:rsidRDefault="00376D0F" w:rsidP="00382A97">
            <w:pPr>
              <w:pStyle w:val="08-Tabelageral"/>
              <w:jc w:val="center"/>
              <w:rPr>
                <w:rFonts w:cs="Arial"/>
                <w:b/>
                <w:szCs w:val="14"/>
              </w:rPr>
            </w:pPr>
          </w:p>
        </w:tc>
        <w:tc>
          <w:tcPr>
            <w:tcW w:w="1417" w:type="dxa"/>
            <w:tcBorders>
              <w:bottom w:val="single" w:sz="2" w:space="0" w:color="1F4E79" w:themeColor="accent1" w:themeShade="80"/>
            </w:tcBorders>
            <w:shd w:val="clear" w:color="auto" w:fill="auto"/>
            <w:vAlign w:val="center"/>
          </w:tcPr>
          <w:p w14:paraId="5AE6D152" w14:textId="77777777" w:rsidR="00376D0F" w:rsidRPr="0004725B" w:rsidRDefault="00376D0F" w:rsidP="00BB5052">
            <w:pPr>
              <w:pStyle w:val="08-Tabelageral"/>
              <w:ind w:left="314"/>
              <w:jc w:val="center"/>
              <w:rPr>
                <w:rFonts w:cs="Arial"/>
                <w:b/>
                <w:szCs w:val="14"/>
              </w:rPr>
            </w:pPr>
          </w:p>
        </w:tc>
        <w:tc>
          <w:tcPr>
            <w:tcW w:w="1418" w:type="dxa"/>
            <w:tcBorders>
              <w:bottom w:val="single" w:sz="2" w:space="0" w:color="1F4E79" w:themeColor="accent1" w:themeShade="80"/>
            </w:tcBorders>
            <w:shd w:val="clear" w:color="auto" w:fill="auto"/>
            <w:vAlign w:val="center"/>
          </w:tcPr>
          <w:p w14:paraId="63F90FF4" w14:textId="77777777" w:rsidR="00376D0F" w:rsidRPr="0004725B" w:rsidRDefault="00376D0F" w:rsidP="00D472D3">
            <w:pPr>
              <w:pStyle w:val="08-Tabelageral"/>
              <w:rPr>
                <w:rFonts w:cs="Arial"/>
                <w:b/>
                <w:szCs w:val="14"/>
              </w:rPr>
            </w:pPr>
            <w:r>
              <w:rPr>
                <w:rFonts w:cs="Arial"/>
                <w:b/>
                <w:szCs w:val="14"/>
              </w:rPr>
              <w:t>Exercício 2020</w:t>
            </w:r>
          </w:p>
        </w:tc>
      </w:tr>
      <w:tr w:rsidR="00376D0F" w:rsidRPr="0004725B" w14:paraId="09567327" w14:textId="77777777" w:rsidTr="007438BB">
        <w:trPr>
          <w:trHeight w:val="238"/>
          <w:jc w:val="center"/>
        </w:trPr>
        <w:tc>
          <w:tcPr>
            <w:tcW w:w="3094" w:type="dxa"/>
            <w:tcBorders>
              <w:bottom w:val="nil"/>
            </w:tcBorders>
            <w:shd w:val="clear" w:color="auto" w:fill="auto"/>
            <w:vAlign w:val="center"/>
          </w:tcPr>
          <w:p w14:paraId="624EBF44" w14:textId="77777777" w:rsidR="00376D0F" w:rsidRPr="0004725B" w:rsidRDefault="00376D0F" w:rsidP="00382A97">
            <w:pPr>
              <w:pStyle w:val="08-Tabelageral"/>
              <w:spacing w:afterLines="40" w:after="96"/>
              <w:jc w:val="left"/>
              <w:rPr>
                <w:rFonts w:cs="Arial"/>
                <w:b/>
                <w:bCs/>
                <w:szCs w:val="14"/>
              </w:rPr>
            </w:pPr>
            <w:r w:rsidRPr="0004725B">
              <w:rPr>
                <w:rFonts w:cs="Arial"/>
                <w:b/>
                <w:szCs w:val="14"/>
              </w:rPr>
              <w:t>Demandas Fiscais</w:t>
            </w:r>
          </w:p>
        </w:tc>
        <w:tc>
          <w:tcPr>
            <w:tcW w:w="604" w:type="dxa"/>
            <w:tcBorders>
              <w:bottom w:val="nil"/>
            </w:tcBorders>
            <w:shd w:val="clear" w:color="auto" w:fill="auto"/>
            <w:vAlign w:val="center"/>
          </w:tcPr>
          <w:p w14:paraId="020C84ED" w14:textId="77777777" w:rsidR="00376D0F" w:rsidRPr="0004725B" w:rsidRDefault="00376D0F" w:rsidP="00382A97">
            <w:pPr>
              <w:pStyle w:val="08-Tabelageral"/>
              <w:rPr>
                <w:rFonts w:cs="Arial"/>
                <w:b/>
                <w:bCs/>
                <w:szCs w:val="14"/>
              </w:rPr>
            </w:pPr>
          </w:p>
        </w:tc>
        <w:tc>
          <w:tcPr>
            <w:tcW w:w="1411" w:type="dxa"/>
            <w:tcBorders>
              <w:bottom w:val="nil"/>
            </w:tcBorders>
            <w:shd w:val="clear" w:color="auto" w:fill="auto"/>
            <w:vAlign w:val="center"/>
          </w:tcPr>
          <w:p w14:paraId="355416D2" w14:textId="77777777" w:rsidR="00376D0F" w:rsidRPr="0004725B" w:rsidRDefault="00376D0F" w:rsidP="00382A97">
            <w:pPr>
              <w:pStyle w:val="08-Tabelageral"/>
              <w:rPr>
                <w:rFonts w:cs="Arial"/>
                <w:b/>
                <w:bCs/>
                <w:szCs w:val="14"/>
              </w:rPr>
            </w:pPr>
          </w:p>
        </w:tc>
        <w:tc>
          <w:tcPr>
            <w:tcW w:w="1412" w:type="dxa"/>
            <w:tcBorders>
              <w:bottom w:val="nil"/>
            </w:tcBorders>
            <w:shd w:val="clear" w:color="auto" w:fill="auto"/>
            <w:vAlign w:val="center"/>
          </w:tcPr>
          <w:p w14:paraId="75FC3BE6" w14:textId="77777777" w:rsidR="00376D0F" w:rsidRPr="0004725B" w:rsidRDefault="00376D0F" w:rsidP="00382A97">
            <w:pPr>
              <w:pStyle w:val="08-Tabelageral"/>
              <w:rPr>
                <w:rFonts w:cs="Arial"/>
                <w:b/>
                <w:bCs/>
                <w:szCs w:val="14"/>
              </w:rPr>
            </w:pPr>
          </w:p>
        </w:tc>
        <w:tc>
          <w:tcPr>
            <w:tcW w:w="283" w:type="dxa"/>
            <w:tcBorders>
              <w:bottom w:val="nil"/>
            </w:tcBorders>
            <w:shd w:val="clear" w:color="auto" w:fill="auto"/>
            <w:vAlign w:val="center"/>
          </w:tcPr>
          <w:p w14:paraId="6892CD94" w14:textId="77777777" w:rsidR="00376D0F" w:rsidRPr="0004725B" w:rsidRDefault="00376D0F" w:rsidP="00382A97">
            <w:pPr>
              <w:pStyle w:val="08-Tabelageral"/>
              <w:rPr>
                <w:rFonts w:cs="Arial"/>
                <w:b/>
                <w:bCs/>
                <w:szCs w:val="14"/>
              </w:rPr>
            </w:pPr>
          </w:p>
        </w:tc>
        <w:tc>
          <w:tcPr>
            <w:tcW w:w="1417" w:type="dxa"/>
            <w:tcBorders>
              <w:bottom w:val="nil"/>
            </w:tcBorders>
            <w:shd w:val="clear" w:color="auto" w:fill="auto"/>
            <w:vAlign w:val="center"/>
          </w:tcPr>
          <w:p w14:paraId="62E59DAD" w14:textId="77777777" w:rsidR="00376D0F" w:rsidRPr="0004725B" w:rsidRDefault="00376D0F" w:rsidP="00382A97">
            <w:pPr>
              <w:pStyle w:val="08-Tabelageral"/>
              <w:rPr>
                <w:rFonts w:cs="Arial"/>
                <w:b/>
                <w:bCs/>
                <w:szCs w:val="14"/>
              </w:rPr>
            </w:pPr>
          </w:p>
        </w:tc>
        <w:tc>
          <w:tcPr>
            <w:tcW w:w="1418" w:type="dxa"/>
            <w:tcBorders>
              <w:bottom w:val="nil"/>
            </w:tcBorders>
            <w:shd w:val="clear" w:color="auto" w:fill="auto"/>
            <w:vAlign w:val="center"/>
          </w:tcPr>
          <w:p w14:paraId="1DDED9CE" w14:textId="77777777" w:rsidR="00376D0F" w:rsidRPr="0004725B" w:rsidRDefault="00376D0F" w:rsidP="00382A97">
            <w:pPr>
              <w:pStyle w:val="08-Tabelageral"/>
              <w:rPr>
                <w:rFonts w:cs="Arial"/>
                <w:b/>
                <w:bCs/>
                <w:szCs w:val="14"/>
              </w:rPr>
            </w:pPr>
          </w:p>
        </w:tc>
      </w:tr>
      <w:tr w:rsidR="00376D0F" w:rsidRPr="0004725B" w14:paraId="5BFF61FF" w14:textId="77777777" w:rsidTr="007438BB">
        <w:trPr>
          <w:trHeight w:val="238"/>
          <w:jc w:val="center"/>
        </w:trPr>
        <w:tc>
          <w:tcPr>
            <w:tcW w:w="3094" w:type="dxa"/>
            <w:tcBorders>
              <w:top w:val="nil"/>
              <w:bottom w:val="nil"/>
            </w:tcBorders>
            <w:shd w:val="clear" w:color="auto" w:fill="auto"/>
            <w:vAlign w:val="center"/>
          </w:tcPr>
          <w:p w14:paraId="548C654D"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Inicial</w:t>
            </w:r>
          </w:p>
        </w:tc>
        <w:tc>
          <w:tcPr>
            <w:tcW w:w="604" w:type="dxa"/>
            <w:tcBorders>
              <w:top w:val="nil"/>
              <w:bottom w:val="nil"/>
            </w:tcBorders>
            <w:shd w:val="clear" w:color="auto" w:fill="auto"/>
            <w:vAlign w:val="center"/>
          </w:tcPr>
          <w:p w14:paraId="2917156A"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759D4032"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2CB4C350" w14:textId="77777777" w:rsidR="00376D0F" w:rsidRPr="0004725B" w:rsidRDefault="00376D0F" w:rsidP="00BB5052">
            <w:pPr>
              <w:pStyle w:val="08-Tabelageral"/>
              <w:spacing w:before="0" w:after="0"/>
              <w:rPr>
                <w:rFonts w:cs="Arial"/>
                <w:b/>
                <w:bCs/>
                <w:szCs w:val="14"/>
              </w:rPr>
            </w:pPr>
            <w:r>
              <w:rPr>
                <w:rFonts w:cs="Arial"/>
                <w:b/>
                <w:bCs/>
                <w:szCs w:val="14"/>
              </w:rPr>
              <w:t>1.440</w:t>
            </w:r>
          </w:p>
        </w:tc>
        <w:tc>
          <w:tcPr>
            <w:tcW w:w="283" w:type="dxa"/>
            <w:tcBorders>
              <w:top w:val="nil"/>
              <w:bottom w:val="nil"/>
            </w:tcBorders>
            <w:shd w:val="clear" w:color="auto" w:fill="auto"/>
            <w:vAlign w:val="center"/>
          </w:tcPr>
          <w:p w14:paraId="2DB5A55C"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2C959756"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01DB7AB7" w14:textId="77777777" w:rsidR="00376D0F" w:rsidRPr="0004725B" w:rsidRDefault="00376D0F" w:rsidP="00BB5052">
            <w:pPr>
              <w:pStyle w:val="08-Tabelageral"/>
              <w:spacing w:before="0" w:after="0"/>
              <w:rPr>
                <w:rFonts w:cs="Arial"/>
                <w:b/>
                <w:bCs/>
                <w:szCs w:val="14"/>
              </w:rPr>
            </w:pPr>
            <w:r w:rsidRPr="0004725B">
              <w:rPr>
                <w:rFonts w:cs="Arial"/>
                <w:b/>
                <w:bCs/>
                <w:szCs w:val="14"/>
              </w:rPr>
              <w:t>999</w:t>
            </w:r>
          </w:p>
        </w:tc>
      </w:tr>
      <w:tr w:rsidR="00376D0F" w:rsidRPr="0004725B" w14:paraId="264BF0A8" w14:textId="77777777" w:rsidTr="007438BB">
        <w:trPr>
          <w:trHeight w:val="238"/>
          <w:jc w:val="center"/>
        </w:trPr>
        <w:tc>
          <w:tcPr>
            <w:tcW w:w="3094" w:type="dxa"/>
            <w:tcBorders>
              <w:top w:val="nil"/>
              <w:bottom w:val="nil"/>
            </w:tcBorders>
            <w:shd w:val="clear" w:color="auto" w:fill="auto"/>
            <w:vAlign w:val="center"/>
          </w:tcPr>
          <w:p w14:paraId="6F5F5139" w14:textId="77777777" w:rsidR="00376D0F" w:rsidRPr="0004725B" w:rsidRDefault="00376D0F" w:rsidP="00BB5052">
            <w:pPr>
              <w:pStyle w:val="08-Tabelageral"/>
              <w:spacing w:afterLines="40" w:after="96"/>
              <w:ind w:left="113"/>
              <w:jc w:val="left"/>
              <w:rPr>
                <w:rFonts w:cs="Arial"/>
                <w:szCs w:val="14"/>
              </w:rPr>
            </w:pPr>
            <w:r w:rsidRPr="0004725B">
              <w:rPr>
                <w:rFonts w:cs="Arial"/>
                <w:szCs w:val="14"/>
              </w:rPr>
              <w:t xml:space="preserve">Constituição / Atualização </w:t>
            </w:r>
            <w:r w:rsidRPr="0004725B">
              <w:rPr>
                <w:rFonts w:cs="Arial"/>
                <w:szCs w:val="14"/>
                <w:vertAlign w:val="superscript"/>
              </w:rPr>
              <w:t>(1)</w:t>
            </w:r>
          </w:p>
        </w:tc>
        <w:tc>
          <w:tcPr>
            <w:tcW w:w="604" w:type="dxa"/>
            <w:tcBorders>
              <w:top w:val="nil"/>
              <w:bottom w:val="nil"/>
            </w:tcBorders>
            <w:shd w:val="clear" w:color="auto" w:fill="auto"/>
            <w:vAlign w:val="center"/>
          </w:tcPr>
          <w:p w14:paraId="36BBE388" w14:textId="77777777" w:rsidR="00376D0F" w:rsidRPr="0004725B" w:rsidRDefault="00376D0F" w:rsidP="00BB5052">
            <w:pPr>
              <w:pStyle w:val="08-Tabelageral"/>
              <w:spacing w:afterLines="40" w:after="96"/>
              <w:ind w:left="113"/>
              <w:rPr>
                <w:rFonts w:cs="Arial"/>
                <w:bCs/>
                <w:szCs w:val="14"/>
              </w:rPr>
            </w:pPr>
          </w:p>
        </w:tc>
        <w:tc>
          <w:tcPr>
            <w:tcW w:w="1411" w:type="dxa"/>
            <w:tcBorders>
              <w:top w:val="nil"/>
              <w:bottom w:val="nil"/>
            </w:tcBorders>
            <w:shd w:val="clear" w:color="auto" w:fill="auto"/>
            <w:vAlign w:val="center"/>
          </w:tcPr>
          <w:p w14:paraId="61149A91" w14:textId="77777777" w:rsidR="00376D0F" w:rsidRPr="0004725B" w:rsidRDefault="00376D0F" w:rsidP="00BB5052">
            <w:pPr>
              <w:pStyle w:val="08-Tabelageral"/>
              <w:spacing w:afterLines="40" w:after="96"/>
              <w:ind w:left="113"/>
              <w:rPr>
                <w:rFonts w:cs="Arial"/>
                <w:bCs/>
                <w:szCs w:val="14"/>
              </w:rPr>
            </w:pPr>
          </w:p>
        </w:tc>
        <w:tc>
          <w:tcPr>
            <w:tcW w:w="1412" w:type="dxa"/>
            <w:tcBorders>
              <w:top w:val="nil"/>
              <w:bottom w:val="nil"/>
            </w:tcBorders>
            <w:shd w:val="clear" w:color="auto" w:fill="auto"/>
            <w:vAlign w:val="center"/>
          </w:tcPr>
          <w:p w14:paraId="6E7A956C" w14:textId="77777777" w:rsidR="00376D0F" w:rsidRPr="0004725B" w:rsidRDefault="00376D0F" w:rsidP="00BB5052">
            <w:pPr>
              <w:pStyle w:val="08-Tabelageral"/>
              <w:spacing w:afterLines="40" w:after="96"/>
              <w:ind w:left="113"/>
              <w:rPr>
                <w:rFonts w:cs="Arial"/>
                <w:bCs/>
                <w:szCs w:val="14"/>
              </w:rPr>
            </w:pPr>
            <w:r>
              <w:rPr>
                <w:rFonts w:cs="Arial"/>
                <w:bCs/>
                <w:szCs w:val="14"/>
              </w:rPr>
              <w:t>48</w:t>
            </w:r>
          </w:p>
        </w:tc>
        <w:tc>
          <w:tcPr>
            <w:tcW w:w="283" w:type="dxa"/>
            <w:tcBorders>
              <w:top w:val="nil"/>
              <w:bottom w:val="nil"/>
            </w:tcBorders>
            <w:shd w:val="clear" w:color="auto" w:fill="auto"/>
            <w:vAlign w:val="center"/>
          </w:tcPr>
          <w:p w14:paraId="6FC34DE3" w14:textId="77777777" w:rsidR="00376D0F" w:rsidRPr="0004725B" w:rsidRDefault="00376D0F" w:rsidP="00BB5052">
            <w:pPr>
              <w:pStyle w:val="08-Tabelageral"/>
              <w:spacing w:afterLines="40" w:after="96"/>
              <w:ind w:left="113"/>
              <w:rPr>
                <w:rFonts w:cs="Arial"/>
                <w:bCs/>
                <w:szCs w:val="14"/>
              </w:rPr>
            </w:pPr>
          </w:p>
        </w:tc>
        <w:tc>
          <w:tcPr>
            <w:tcW w:w="1417" w:type="dxa"/>
            <w:tcBorders>
              <w:top w:val="nil"/>
              <w:bottom w:val="nil"/>
            </w:tcBorders>
            <w:shd w:val="clear" w:color="auto" w:fill="auto"/>
            <w:vAlign w:val="center"/>
          </w:tcPr>
          <w:p w14:paraId="328FEED5" w14:textId="77777777" w:rsidR="00376D0F" w:rsidRPr="0004725B" w:rsidRDefault="00376D0F" w:rsidP="00BB5052">
            <w:pPr>
              <w:pStyle w:val="08-Tabelageral"/>
              <w:spacing w:afterLines="40" w:after="96"/>
              <w:ind w:left="113"/>
              <w:rPr>
                <w:rFonts w:cs="Arial"/>
                <w:bCs/>
                <w:szCs w:val="14"/>
              </w:rPr>
            </w:pPr>
          </w:p>
        </w:tc>
        <w:tc>
          <w:tcPr>
            <w:tcW w:w="1418" w:type="dxa"/>
            <w:tcBorders>
              <w:top w:val="nil"/>
              <w:bottom w:val="nil"/>
            </w:tcBorders>
            <w:shd w:val="clear" w:color="auto" w:fill="auto"/>
            <w:vAlign w:val="center"/>
          </w:tcPr>
          <w:p w14:paraId="56CA3479" w14:textId="77777777" w:rsidR="00376D0F" w:rsidRPr="0004725B" w:rsidRDefault="00376D0F" w:rsidP="00BB5052">
            <w:pPr>
              <w:pStyle w:val="08-Tabelageral"/>
              <w:spacing w:afterLines="40" w:after="96"/>
              <w:ind w:left="113"/>
              <w:rPr>
                <w:rFonts w:cs="Arial"/>
                <w:bCs/>
                <w:szCs w:val="14"/>
              </w:rPr>
            </w:pPr>
            <w:r>
              <w:rPr>
                <w:rFonts w:cs="Arial"/>
                <w:bCs/>
                <w:szCs w:val="14"/>
              </w:rPr>
              <w:t>441</w:t>
            </w:r>
          </w:p>
        </w:tc>
      </w:tr>
      <w:tr w:rsidR="00376D0F" w:rsidRPr="0004725B" w14:paraId="74289C3B" w14:textId="77777777" w:rsidTr="007438BB">
        <w:trPr>
          <w:trHeight w:val="238"/>
          <w:jc w:val="center"/>
        </w:trPr>
        <w:tc>
          <w:tcPr>
            <w:tcW w:w="3094" w:type="dxa"/>
            <w:tcBorders>
              <w:top w:val="nil"/>
              <w:bottom w:val="nil"/>
            </w:tcBorders>
            <w:shd w:val="clear" w:color="auto" w:fill="auto"/>
            <w:vAlign w:val="center"/>
          </w:tcPr>
          <w:p w14:paraId="4A5C29AF" w14:textId="77777777" w:rsidR="00376D0F" w:rsidRPr="0004725B" w:rsidRDefault="00376D0F" w:rsidP="00BB5052">
            <w:pPr>
              <w:pStyle w:val="08-Tabelageral"/>
              <w:spacing w:afterLines="40" w:after="96"/>
              <w:ind w:left="113"/>
              <w:jc w:val="left"/>
              <w:rPr>
                <w:rFonts w:cs="Arial"/>
                <w:szCs w:val="14"/>
              </w:rPr>
            </w:pPr>
            <w:r w:rsidRPr="0004725B">
              <w:rPr>
                <w:rFonts w:cs="Arial"/>
                <w:szCs w:val="14"/>
              </w:rPr>
              <w:t>Reversão de provisão</w:t>
            </w:r>
          </w:p>
        </w:tc>
        <w:tc>
          <w:tcPr>
            <w:tcW w:w="604" w:type="dxa"/>
            <w:tcBorders>
              <w:top w:val="nil"/>
              <w:bottom w:val="nil"/>
            </w:tcBorders>
            <w:shd w:val="clear" w:color="auto" w:fill="auto"/>
            <w:vAlign w:val="center"/>
          </w:tcPr>
          <w:p w14:paraId="4CB7F172" w14:textId="77777777" w:rsidR="00376D0F" w:rsidRPr="0004725B" w:rsidRDefault="00376D0F" w:rsidP="00BB5052">
            <w:pPr>
              <w:pStyle w:val="08-Tabelageral"/>
              <w:spacing w:afterLines="40" w:after="96"/>
              <w:ind w:left="113"/>
              <w:rPr>
                <w:rFonts w:cs="Arial"/>
                <w:bCs/>
                <w:szCs w:val="14"/>
              </w:rPr>
            </w:pPr>
          </w:p>
        </w:tc>
        <w:tc>
          <w:tcPr>
            <w:tcW w:w="1411" w:type="dxa"/>
            <w:tcBorders>
              <w:top w:val="nil"/>
              <w:bottom w:val="nil"/>
            </w:tcBorders>
            <w:shd w:val="clear" w:color="auto" w:fill="auto"/>
            <w:vAlign w:val="center"/>
          </w:tcPr>
          <w:p w14:paraId="47B67835" w14:textId="77777777" w:rsidR="00376D0F" w:rsidRPr="0004725B" w:rsidRDefault="00376D0F" w:rsidP="00BB5052">
            <w:pPr>
              <w:pStyle w:val="08-Tabelageral"/>
              <w:spacing w:afterLines="40" w:after="96"/>
              <w:ind w:left="113"/>
              <w:rPr>
                <w:rFonts w:cs="Arial"/>
                <w:bCs/>
                <w:szCs w:val="14"/>
              </w:rPr>
            </w:pPr>
          </w:p>
        </w:tc>
        <w:tc>
          <w:tcPr>
            <w:tcW w:w="1412" w:type="dxa"/>
            <w:tcBorders>
              <w:top w:val="nil"/>
              <w:bottom w:val="nil"/>
            </w:tcBorders>
            <w:shd w:val="clear" w:color="auto" w:fill="auto"/>
            <w:vAlign w:val="center"/>
          </w:tcPr>
          <w:p w14:paraId="3E2E6245" w14:textId="77777777" w:rsidR="00376D0F" w:rsidRPr="0004725B" w:rsidRDefault="00376D0F" w:rsidP="00805C53">
            <w:pPr>
              <w:pStyle w:val="08-Tabelageral"/>
              <w:spacing w:afterLines="40" w:after="96"/>
              <w:ind w:left="113"/>
              <w:rPr>
                <w:rFonts w:cs="Arial"/>
                <w:bCs/>
                <w:szCs w:val="14"/>
              </w:rPr>
            </w:pPr>
            <w:r>
              <w:rPr>
                <w:rFonts w:cs="Arial"/>
                <w:bCs/>
                <w:szCs w:val="14"/>
              </w:rPr>
              <w:t>(358)</w:t>
            </w:r>
          </w:p>
        </w:tc>
        <w:tc>
          <w:tcPr>
            <w:tcW w:w="283" w:type="dxa"/>
            <w:tcBorders>
              <w:top w:val="nil"/>
              <w:bottom w:val="nil"/>
            </w:tcBorders>
            <w:shd w:val="clear" w:color="auto" w:fill="auto"/>
            <w:vAlign w:val="center"/>
          </w:tcPr>
          <w:p w14:paraId="147CC2D1" w14:textId="77777777" w:rsidR="00376D0F" w:rsidRPr="0004725B" w:rsidRDefault="00376D0F" w:rsidP="00BB5052">
            <w:pPr>
              <w:pStyle w:val="08-Tabelageral"/>
              <w:spacing w:afterLines="40" w:after="96"/>
              <w:ind w:left="113"/>
              <w:rPr>
                <w:rFonts w:cs="Arial"/>
                <w:bCs/>
                <w:szCs w:val="14"/>
              </w:rPr>
            </w:pPr>
          </w:p>
        </w:tc>
        <w:tc>
          <w:tcPr>
            <w:tcW w:w="1417" w:type="dxa"/>
            <w:tcBorders>
              <w:top w:val="nil"/>
              <w:bottom w:val="nil"/>
            </w:tcBorders>
            <w:shd w:val="clear" w:color="auto" w:fill="auto"/>
            <w:vAlign w:val="center"/>
          </w:tcPr>
          <w:p w14:paraId="114A85EC" w14:textId="77777777" w:rsidR="00376D0F" w:rsidRPr="0004725B" w:rsidRDefault="00376D0F" w:rsidP="00BB5052">
            <w:pPr>
              <w:pStyle w:val="08-Tabelageral"/>
              <w:spacing w:afterLines="40" w:after="96"/>
              <w:ind w:left="113"/>
              <w:rPr>
                <w:rFonts w:cs="Arial"/>
                <w:bCs/>
                <w:szCs w:val="14"/>
              </w:rPr>
            </w:pPr>
          </w:p>
        </w:tc>
        <w:tc>
          <w:tcPr>
            <w:tcW w:w="1418" w:type="dxa"/>
            <w:tcBorders>
              <w:top w:val="nil"/>
              <w:bottom w:val="nil"/>
            </w:tcBorders>
            <w:shd w:val="clear" w:color="auto" w:fill="auto"/>
            <w:vAlign w:val="center"/>
          </w:tcPr>
          <w:p w14:paraId="730078D6" w14:textId="77777777" w:rsidR="00376D0F" w:rsidRPr="0004725B" w:rsidRDefault="00376D0F" w:rsidP="00BB5052">
            <w:pPr>
              <w:pStyle w:val="08-Tabelageral"/>
              <w:spacing w:afterLines="40" w:after="96"/>
              <w:ind w:left="113"/>
              <w:rPr>
                <w:rFonts w:cs="Arial"/>
                <w:bCs/>
                <w:szCs w:val="14"/>
              </w:rPr>
            </w:pPr>
            <w:r w:rsidRPr="0004725B">
              <w:rPr>
                <w:rFonts w:cs="Arial"/>
                <w:bCs/>
                <w:szCs w:val="14"/>
              </w:rPr>
              <w:t>--</w:t>
            </w:r>
          </w:p>
        </w:tc>
      </w:tr>
      <w:tr w:rsidR="00376D0F" w:rsidRPr="0004725B" w14:paraId="421CA0F9" w14:textId="77777777" w:rsidTr="007438BB">
        <w:trPr>
          <w:trHeight w:val="238"/>
          <w:jc w:val="center"/>
        </w:trPr>
        <w:tc>
          <w:tcPr>
            <w:tcW w:w="3094" w:type="dxa"/>
            <w:tcBorders>
              <w:top w:val="nil"/>
              <w:bottom w:val="nil"/>
            </w:tcBorders>
            <w:shd w:val="clear" w:color="auto" w:fill="auto"/>
            <w:vAlign w:val="center"/>
          </w:tcPr>
          <w:p w14:paraId="54FE7240" w14:textId="77777777" w:rsidR="00376D0F" w:rsidRPr="0004725B" w:rsidRDefault="00376D0F" w:rsidP="00BB5052">
            <w:pPr>
              <w:pStyle w:val="08-Tabelageral"/>
              <w:spacing w:afterLines="40" w:after="96"/>
              <w:ind w:left="113"/>
              <w:jc w:val="left"/>
              <w:rPr>
                <w:rFonts w:cs="Arial"/>
                <w:szCs w:val="14"/>
              </w:rPr>
            </w:pPr>
            <w:r w:rsidRPr="0004725B">
              <w:rPr>
                <w:rFonts w:cs="Arial"/>
                <w:szCs w:val="14"/>
              </w:rPr>
              <w:t>Baixa por pagamento</w:t>
            </w:r>
          </w:p>
        </w:tc>
        <w:tc>
          <w:tcPr>
            <w:tcW w:w="604" w:type="dxa"/>
            <w:tcBorders>
              <w:top w:val="nil"/>
              <w:bottom w:val="nil"/>
            </w:tcBorders>
            <w:shd w:val="clear" w:color="auto" w:fill="auto"/>
            <w:vAlign w:val="center"/>
          </w:tcPr>
          <w:p w14:paraId="4071F3F7" w14:textId="77777777" w:rsidR="00376D0F" w:rsidRPr="0004725B" w:rsidRDefault="00376D0F" w:rsidP="00BB5052">
            <w:pPr>
              <w:pStyle w:val="08-Tabelageral"/>
              <w:spacing w:afterLines="40" w:after="96"/>
              <w:ind w:left="113"/>
              <w:rPr>
                <w:rFonts w:cs="Arial"/>
                <w:bCs/>
                <w:szCs w:val="14"/>
              </w:rPr>
            </w:pPr>
          </w:p>
        </w:tc>
        <w:tc>
          <w:tcPr>
            <w:tcW w:w="1411" w:type="dxa"/>
            <w:tcBorders>
              <w:top w:val="nil"/>
              <w:bottom w:val="nil"/>
            </w:tcBorders>
            <w:shd w:val="clear" w:color="auto" w:fill="auto"/>
            <w:vAlign w:val="center"/>
          </w:tcPr>
          <w:p w14:paraId="6EA92817" w14:textId="77777777" w:rsidR="00376D0F" w:rsidRPr="0004725B" w:rsidRDefault="00376D0F" w:rsidP="00BB5052">
            <w:pPr>
              <w:pStyle w:val="08-Tabelageral"/>
              <w:spacing w:afterLines="40" w:after="96"/>
              <w:ind w:left="113"/>
              <w:rPr>
                <w:rFonts w:cs="Arial"/>
                <w:bCs/>
                <w:szCs w:val="14"/>
              </w:rPr>
            </w:pPr>
          </w:p>
        </w:tc>
        <w:tc>
          <w:tcPr>
            <w:tcW w:w="1412" w:type="dxa"/>
            <w:tcBorders>
              <w:top w:val="nil"/>
              <w:bottom w:val="nil"/>
            </w:tcBorders>
            <w:shd w:val="clear" w:color="auto" w:fill="auto"/>
            <w:vAlign w:val="center"/>
          </w:tcPr>
          <w:p w14:paraId="6A73E0A1" w14:textId="77777777" w:rsidR="00376D0F" w:rsidRPr="0004725B" w:rsidRDefault="00376D0F" w:rsidP="00BB5052">
            <w:pPr>
              <w:pStyle w:val="08-Tabelageral"/>
              <w:spacing w:afterLines="40" w:after="96"/>
              <w:ind w:left="113"/>
              <w:rPr>
                <w:rFonts w:cs="Arial"/>
                <w:bCs/>
                <w:szCs w:val="14"/>
              </w:rPr>
            </w:pPr>
            <w:r>
              <w:rPr>
                <w:rFonts w:cs="Arial"/>
                <w:bCs/>
                <w:szCs w:val="14"/>
              </w:rPr>
              <w:t>--</w:t>
            </w:r>
          </w:p>
        </w:tc>
        <w:tc>
          <w:tcPr>
            <w:tcW w:w="283" w:type="dxa"/>
            <w:tcBorders>
              <w:top w:val="nil"/>
              <w:bottom w:val="nil"/>
            </w:tcBorders>
            <w:shd w:val="clear" w:color="auto" w:fill="auto"/>
            <w:vAlign w:val="center"/>
          </w:tcPr>
          <w:p w14:paraId="7A7D7E71" w14:textId="77777777" w:rsidR="00376D0F" w:rsidRPr="0004725B" w:rsidRDefault="00376D0F" w:rsidP="00BB5052">
            <w:pPr>
              <w:pStyle w:val="08-Tabelageral"/>
              <w:spacing w:afterLines="40" w:after="96"/>
              <w:ind w:left="113"/>
              <w:rPr>
                <w:rFonts w:cs="Arial"/>
                <w:bCs/>
                <w:szCs w:val="14"/>
              </w:rPr>
            </w:pPr>
          </w:p>
        </w:tc>
        <w:tc>
          <w:tcPr>
            <w:tcW w:w="1417" w:type="dxa"/>
            <w:tcBorders>
              <w:top w:val="nil"/>
              <w:bottom w:val="nil"/>
            </w:tcBorders>
            <w:shd w:val="clear" w:color="auto" w:fill="auto"/>
            <w:vAlign w:val="center"/>
          </w:tcPr>
          <w:p w14:paraId="3B689BDA" w14:textId="77777777" w:rsidR="00376D0F" w:rsidRPr="0004725B" w:rsidRDefault="00376D0F" w:rsidP="00BB5052">
            <w:pPr>
              <w:pStyle w:val="08-Tabelageral"/>
              <w:spacing w:afterLines="40" w:after="96"/>
              <w:ind w:left="113"/>
              <w:rPr>
                <w:rFonts w:cs="Arial"/>
                <w:bCs/>
                <w:szCs w:val="14"/>
              </w:rPr>
            </w:pPr>
          </w:p>
        </w:tc>
        <w:tc>
          <w:tcPr>
            <w:tcW w:w="1418" w:type="dxa"/>
            <w:tcBorders>
              <w:top w:val="nil"/>
              <w:bottom w:val="nil"/>
            </w:tcBorders>
            <w:shd w:val="clear" w:color="auto" w:fill="auto"/>
            <w:vAlign w:val="center"/>
          </w:tcPr>
          <w:p w14:paraId="372FDC21" w14:textId="77777777" w:rsidR="00376D0F" w:rsidRPr="0004725B" w:rsidRDefault="00376D0F" w:rsidP="00BB5052">
            <w:pPr>
              <w:pStyle w:val="08-Tabelageral"/>
              <w:spacing w:afterLines="40" w:after="96"/>
              <w:ind w:left="113"/>
              <w:rPr>
                <w:rFonts w:cs="Arial"/>
                <w:bCs/>
                <w:szCs w:val="14"/>
              </w:rPr>
            </w:pPr>
            <w:r w:rsidRPr="0004725B">
              <w:rPr>
                <w:rFonts w:cs="Arial"/>
                <w:bCs/>
                <w:szCs w:val="14"/>
              </w:rPr>
              <w:t>--</w:t>
            </w:r>
          </w:p>
        </w:tc>
      </w:tr>
      <w:tr w:rsidR="00376D0F" w:rsidRPr="0004725B" w14:paraId="4B3B786A" w14:textId="77777777" w:rsidTr="007438BB">
        <w:trPr>
          <w:trHeight w:val="238"/>
          <w:jc w:val="center"/>
        </w:trPr>
        <w:tc>
          <w:tcPr>
            <w:tcW w:w="3094" w:type="dxa"/>
            <w:tcBorders>
              <w:top w:val="nil"/>
              <w:bottom w:val="nil"/>
            </w:tcBorders>
            <w:shd w:val="clear" w:color="auto" w:fill="auto"/>
            <w:vAlign w:val="center"/>
          </w:tcPr>
          <w:p w14:paraId="5F585921"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Final</w:t>
            </w:r>
          </w:p>
        </w:tc>
        <w:tc>
          <w:tcPr>
            <w:tcW w:w="604" w:type="dxa"/>
            <w:tcBorders>
              <w:top w:val="nil"/>
              <w:bottom w:val="nil"/>
            </w:tcBorders>
            <w:shd w:val="clear" w:color="auto" w:fill="auto"/>
            <w:vAlign w:val="center"/>
          </w:tcPr>
          <w:p w14:paraId="5B603DAC"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162AE4E6"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069C173C" w14:textId="77777777" w:rsidR="00376D0F" w:rsidRPr="0004725B" w:rsidRDefault="00376D0F" w:rsidP="00BB5052">
            <w:pPr>
              <w:pStyle w:val="08-Tabelageral"/>
              <w:spacing w:before="0" w:after="0"/>
              <w:rPr>
                <w:rFonts w:cs="Arial"/>
                <w:b/>
                <w:bCs/>
                <w:szCs w:val="14"/>
              </w:rPr>
            </w:pPr>
            <w:r>
              <w:rPr>
                <w:rFonts w:cs="Arial"/>
                <w:b/>
                <w:bCs/>
                <w:szCs w:val="14"/>
              </w:rPr>
              <w:t>1.130</w:t>
            </w:r>
          </w:p>
        </w:tc>
        <w:tc>
          <w:tcPr>
            <w:tcW w:w="283" w:type="dxa"/>
            <w:tcBorders>
              <w:top w:val="nil"/>
              <w:bottom w:val="nil"/>
            </w:tcBorders>
            <w:shd w:val="clear" w:color="auto" w:fill="auto"/>
            <w:vAlign w:val="center"/>
          </w:tcPr>
          <w:p w14:paraId="2D341DCF"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43684CD7"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1358A841" w14:textId="77777777" w:rsidR="00376D0F" w:rsidRPr="0004725B" w:rsidRDefault="00376D0F" w:rsidP="00D472D3">
            <w:pPr>
              <w:pStyle w:val="08-Tabelageral"/>
              <w:spacing w:before="0" w:after="0"/>
              <w:rPr>
                <w:rFonts w:cs="Arial"/>
                <w:b/>
                <w:bCs/>
                <w:szCs w:val="14"/>
              </w:rPr>
            </w:pPr>
            <w:r w:rsidRPr="0004725B">
              <w:rPr>
                <w:rFonts w:cs="Arial"/>
                <w:b/>
                <w:bCs/>
                <w:szCs w:val="14"/>
              </w:rPr>
              <w:t>1.</w:t>
            </w:r>
            <w:r>
              <w:rPr>
                <w:rFonts w:cs="Arial"/>
                <w:b/>
                <w:bCs/>
                <w:szCs w:val="14"/>
              </w:rPr>
              <w:t>440</w:t>
            </w:r>
          </w:p>
        </w:tc>
      </w:tr>
      <w:tr w:rsidR="00376D0F" w:rsidRPr="0004725B" w14:paraId="73583FB5" w14:textId="77777777" w:rsidTr="007438BB">
        <w:trPr>
          <w:trHeight w:val="238"/>
          <w:jc w:val="center"/>
        </w:trPr>
        <w:tc>
          <w:tcPr>
            <w:tcW w:w="3094" w:type="dxa"/>
            <w:tcBorders>
              <w:top w:val="nil"/>
              <w:bottom w:val="nil"/>
            </w:tcBorders>
            <w:shd w:val="clear" w:color="auto" w:fill="auto"/>
            <w:vAlign w:val="center"/>
          </w:tcPr>
          <w:p w14:paraId="43875A31" w14:textId="77777777" w:rsidR="00376D0F" w:rsidRPr="0004725B" w:rsidRDefault="00376D0F" w:rsidP="00BB5052">
            <w:pPr>
              <w:pStyle w:val="08-Tabelageral"/>
              <w:spacing w:afterLines="40" w:after="96"/>
              <w:jc w:val="left"/>
              <w:rPr>
                <w:rFonts w:cs="Arial"/>
                <w:b/>
                <w:szCs w:val="14"/>
              </w:rPr>
            </w:pPr>
            <w:r w:rsidRPr="0004725B">
              <w:rPr>
                <w:rFonts w:cs="Arial"/>
                <w:b/>
                <w:szCs w:val="14"/>
              </w:rPr>
              <w:t>Demandas Cíveis</w:t>
            </w:r>
          </w:p>
        </w:tc>
        <w:tc>
          <w:tcPr>
            <w:tcW w:w="604" w:type="dxa"/>
            <w:tcBorders>
              <w:top w:val="nil"/>
              <w:bottom w:val="nil"/>
            </w:tcBorders>
            <w:shd w:val="clear" w:color="auto" w:fill="auto"/>
            <w:vAlign w:val="center"/>
          </w:tcPr>
          <w:p w14:paraId="3A9BE1EB"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0936BF3A"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1452D928" w14:textId="77777777" w:rsidR="00376D0F" w:rsidRPr="0004725B" w:rsidRDefault="00376D0F" w:rsidP="00BB5052">
            <w:pPr>
              <w:pStyle w:val="08-Tabelageral"/>
              <w:spacing w:before="0" w:after="0"/>
              <w:rPr>
                <w:rFonts w:cs="Arial"/>
                <w:b/>
                <w:bCs/>
                <w:szCs w:val="14"/>
              </w:rPr>
            </w:pPr>
          </w:p>
        </w:tc>
        <w:tc>
          <w:tcPr>
            <w:tcW w:w="283" w:type="dxa"/>
            <w:tcBorders>
              <w:top w:val="nil"/>
              <w:bottom w:val="nil"/>
            </w:tcBorders>
            <w:shd w:val="clear" w:color="auto" w:fill="auto"/>
            <w:vAlign w:val="center"/>
          </w:tcPr>
          <w:p w14:paraId="49619924"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403CCA1A"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772220FB" w14:textId="77777777" w:rsidR="00376D0F" w:rsidRPr="0004725B" w:rsidRDefault="00376D0F" w:rsidP="00BB5052">
            <w:pPr>
              <w:pStyle w:val="08-Tabelageral"/>
              <w:spacing w:before="0" w:after="0"/>
              <w:rPr>
                <w:rFonts w:cs="Arial"/>
                <w:b/>
                <w:bCs/>
                <w:szCs w:val="14"/>
              </w:rPr>
            </w:pPr>
          </w:p>
        </w:tc>
      </w:tr>
      <w:tr w:rsidR="00376D0F" w:rsidRPr="0004725B" w14:paraId="4533D56B" w14:textId="77777777" w:rsidTr="007438BB">
        <w:trPr>
          <w:trHeight w:val="238"/>
          <w:jc w:val="center"/>
        </w:trPr>
        <w:tc>
          <w:tcPr>
            <w:tcW w:w="3094" w:type="dxa"/>
            <w:tcBorders>
              <w:top w:val="nil"/>
              <w:bottom w:val="nil"/>
            </w:tcBorders>
            <w:shd w:val="clear" w:color="auto" w:fill="auto"/>
            <w:vAlign w:val="center"/>
          </w:tcPr>
          <w:p w14:paraId="1B90ECC8"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Inicial</w:t>
            </w:r>
          </w:p>
        </w:tc>
        <w:tc>
          <w:tcPr>
            <w:tcW w:w="604" w:type="dxa"/>
            <w:tcBorders>
              <w:top w:val="nil"/>
              <w:bottom w:val="nil"/>
            </w:tcBorders>
            <w:shd w:val="clear" w:color="auto" w:fill="auto"/>
            <w:vAlign w:val="center"/>
          </w:tcPr>
          <w:p w14:paraId="21D86909"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0642307A"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344A6042" w14:textId="77777777" w:rsidR="00376D0F" w:rsidRPr="0004725B" w:rsidRDefault="00376D0F" w:rsidP="00BB5052">
            <w:pPr>
              <w:pStyle w:val="08-Tabelageral"/>
              <w:spacing w:before="0" w:after="0"/>
              <w:rPr>
                <w:rFonts w:cs="Arial"/>
                <w:b/>
                <w:bCs/>
                <w:szCs w:val="14"/>
              </w:rPr>
            </w:pPr>
            <w:r>
              <w:rPr>
                <w:rFonts w:cs="Arial"/>
                <w:b/>
                <w:bCs/>
                <w:szCs w:val="14"/>
              </w:rPr>
              <w:t>16.314</w:t>
            </w:r>
          </w:p>
        </w:tc>
        <w:tc>
          <w:tcPr>
            <w:tcW w:w="283" w:type="dxa"/>
            <w:tcBorders>
              <w:top w:val="nil"/>
              <w:bottom w:val="nil"/>
            </w:tcBorders>
            <w:shd w:val="clear" w:color="auto" w:fill="auto"/>
            <w:vAlign w:val="center"/>
          </w:tcPr>
          <w:p w14:paraId="245B96B3"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68B118E2"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6D14775B" w14:textId="77777777" w:rsidR="00376D0F" w:rsidRPr="0004725B" w:rsidRDefault="00376D0F" w:rsidP="00BB5052">
            <w:pPr>
              <w:pStyle w:val="08-Tabelageral"/>
              <w:spacing w:before="0" w:after="0"/>
              <w:rPr>
                <w:rFonts w:cs="Arial"/>
                <w:b/>
                <w:bCs/>
                <w:szCs w:val="14"/>
              </w:rPr>
            </w:pPr>
            <w:r w:rsidRPr="0004725B">
              <w:rPr>
                <w:rFonts w:cs="Arial"/>
                <w:b/>
                <w:bCs/>
                <w:szCs w:val="14"/>
              </w:rPr>
              <w:t>16.692</w:t>
            </w:r>
          </w:p>
        </w:tc>
      </w:tr>
      <w:tr w:rsidR="00376D0F" w:rsidRPr="0004725B" w14:paraId="305375D2" w14:textId="77777777" w:rsidTr="007438BB">
        <w:trPr>
          <w:trHeight w:val="238"/>
          <w:jc w:val="center"/>
        </w:trPr>
        <w:tc>
          <w:tcPr>
            <w:tcW w:w="3094" w:type="dxa"/>
            <w:tcBorders>
              <w:top w:val="nil"/>
              <w:bottom w:val="nil"/>
            </w:tcBorders>
            <w:shd w:val="clear" w:color="auto" w:fill="auto"/>
            <w:vAlign w:val="center"/>
          </w:tcPr>
          <w:p w14:paraId="708F5158"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 xml:space="preserve">Constituição / Atualização </w:t>
            </w:r>
            <w:r w:rsidRPr="0004725B">
              <w:rPr>
                <w:rFonts w:cs="Arial"/>
                <w:szCs w:val="14"/>
                <w:vertAlign w:val="superscript"/>
              </w:rPr>
              <w:t>(2)</w:t>
            </w:r>
          </w:p>
        </w:tc>
        <w:tc>
          <w:tcPr>
            <w:tcW w:w="604" w:type="dxa"/>
            <w:tcBorders>
              <w:top w:val="nil"/>
              <w:bottom w:val="nil"/>
            </w:tcBorders>
            <w:shd w:val="clear" w:color="auto" w:fill="auto"/>
            <w:vAlign w:val="center"/>
          </w:tcPr>
          <w:p w14:paraId="45309740"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74275CDF" w14:textId="77777777" w:rsidR="00376D0F" w:rsidRPr="0004725B" w:rsidRDefault="00376D0F" w:rsidP="00BB5052">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2522C30F" w14:textId="77777777" w:rsidR="00376D0F" w:rsidRPr="0004725B" w:rsidRDefault="00376D0F" w:rsidP="00BB5052">
            <w:pPr>
              <w:pStyle w:val="08-Tabelageral"/>
              <w:spacing w:afterLines="40" w:after="96"/>
              <w:ind w:left="113"/>
              <w:rPr>
                <w:rFonts w:cs="Arial"/>
                <w:szCs w:val="14"/>
              </w:rPr>
            </w:pPr>
            <w:r>
              <w:rPr>
                <w:rFonts w:cs="Arial"/>
                <w:szCs w:val="14"/>
              </w:rPr>
              <w:t>5.580</w:t>
            </w:r>
          </w:p>
        </w:tc>
        <w:tc>
          <w:tcPr>
            <w:tcW w:w="283" w:type="dxa"/>
            <w:tcBorders>
              <w:top w:val="nil"/>
              <w:bottom w:val="nil"/>
            </w:tcBorders>
            <w:shd w:val="clear" w:color="auto" w:fill="auto"/>
            <w:vAlign w:val="center"/>
          </w:tcPr>
          <w:p w14:paraId="41A1ED97"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7C249D35"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23AFF4EA" w14:textId="77777777" w:rsidR="00376D0F" w:rsidRPr="0004725B" w:rsidRDefault="00376D0F" w:rsidP="00BB5052">
            <w:pPr>
              <w:pStyle w:val="08-Tabelageral"/>
              <w:spacing w:afterLines="40" w:after="96"/>
              <w:ind w:left="113"/>
              <w:rPr>
                <w:rFonts w:cs="Arial"/>
                <w:szCs w:val="14"/>
              </w:rPr>
            </w:pPr>
            <w:r>
              <w:rPr>
                <w:rFonts w:cs="Arial"/>
                <w:szCs w:val="14"/>
              </w:rPr>
              <w:t>5.713</w:t>
            </w:r>
          </w:p>
        </w:tc>
      </w:tr>
      <w:tr w:rsidR="00376D0F" w:rsidRPr="0004725B" w14:paraId="7A5BE26B" w14:textId="77777777" w:rsidTr="007438BB">
        <w:trPr>
          <w:trHeight w:val="238"/>
          <w:jc w:val="center"/>
        </w:trPr>
        <w:tc>
          <w:tcPr>
            <w:tcW w:w="3094" w:type="dxa"/>
            <w:tcBorders>
              <w:top w:val="nil"/>
              <w:bottom w:val="nil"/>
            </w:tcBorders>
            <w:shd w:val="clear" w:color="auto" w:fill="auto"/>
            <w:vAlign w:val="center"/>
          </w:tcPr>
          <w:p w14:paraId="0CDBD7B4"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Reversão de provisão</w:t>
            </w:r>
          </w:p>
        </w:tc>
        <w:tc>
          <w:tcPr>
            <w:tcW w:w="604" w:type="dxa"/>
            <w:tcBorders>
              <w:top w:val="nil"/>
              <w:bottom w:val="nil"/>
            </w:tcBorders>
            <w:shd w:val="clear" w:color="auto" w:fill="auto"/>
            <w:vAlign w:val="center"/>
          </w:tcPr>
          <w:p w14:paraId="68EEC2C5"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2AB2EA1E" w14:textId="77777777" w:rsidR="00376D0F" w:rsidRPr="0004725B" w:rsidRDefault="00376D0F" w:rsidP="00BB5052">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2CCC3F9D" w14:textId="77777777" w:rsidR="00376D0F" w:rsidRPr="0004725B" w:rsidRDefault="00376D0F" w:rsidP="00BB5052">
            <w:pPr>
              <w:pStyle w:val="08-Tabelageral"/>
              <w:spacing w:afterLines="40" w:after="96"/>
              <w:ind w:left="113"/>
              <w:rPr>
                <w:rFonts w:cs="Arial"/>
                <w:szCs w:val="14"/>
              </w:rPr>
            </w:pPr>
            <w:r>
              <w:rPr>
                <w:rFonts w:cs="Arial"/>
                <w:szCs w:val="14"/>
              </w:rPr>
              <w:t>(7.384)</w:t>
            </w:r>
          </w:p>
        </w:tc>
        <w:tc>
          <w:tcPr>
            <w:tcW w:w="283" w:type="dxa"/>
            <w:tcBorders>
              <w:top w:val="nil"/>
              <w:bottom w:val="nil"/>
            </w:tcBorders>
            <w:shd w:val="clear" w:color="auto" w:fill="auto"/>
            <w:vAlign w:val="center"/>
          </w:tcPr>
          <w:p w14:paraId="32B14526"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55B697D9"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58EC3FE4" w14:textId="77777777" w:rsidR="00376D0F" w:rsidRPr="0004725B" w:rsidRDefault="00376D0F" w:rsidP="00BB5052">
            <w:pPr>
              <w:pStyle w:val="08-Tabelageral"/>
              <w:spacing w:afterLines="40" w:after="96"/>
              <w:ind w:left="113"/>
              <w:rPr>
                <w:rFonts w:cs="Arial"/>
                <w:szCs w:val="14"/>
              </w:rPr>
            </w:pPr>
            <w:r>
              <w:rPr>
                <w:rFonts w:cs="Arial"/>
                <w:szCs w:val="14"/>
              </w:rPr>
              <w:t>(4.413</w:t>
            </w:r>
            <w:r w:rsidRPr="0004725B">
              <w:rPr>
                <w:rFonts w:cs="Arial"/>
                <w:szCs w:val="14"/>
              </w:rPr>
              <w:t>)</w:t>
            </w:r>
          </w:p>
        </w:tc>
      </w:tr>
      <w:tr w:rsidR="00376D0F" w:rsidRPr="0004725B" w14:paraId="06CE616C" w14:textId="77777777" w:rsidTr="007438BB">
        <w:trPr>
          <w:trHeight w:val="238"/>
          <w:jc w:val="center"/>
        </w:trPr>
        <w:tc>
          <w:tcPr>
            <w:tcW w:w="3094" w:type="dxa"/>
            <w:tcBorders>
              <w:top w:val="nil"/>
              <w:bottom w:val="nil"/>
            </w:tcBorders>
            <w:shd w:val="clear" w:color="auto" w:fill="auto"/>
            <w:vAlign w:val="center"/>
          </w:tcPr>
          <w:p w14:paraId="320A25D9"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Baixa por pagamento</w:t>
            </w:r>
          </w:p>
        </w:tc>
        <w:tc>
          <w:tcPr>
            <w:tcW w:w="604" w:type="dxa"/>
            <w:tcBorders>
              <w:top w:val="nil"/>
              <w:bottom w:val="nil"/>
            </w:tcBorders>
            <w:shd w:val="clear" w:color="auto" w:fill="auto"/>
            <w:vAlign w:val="center"/>
          </w:tcPr>
          <w:p w14:paraId="4A5ABCCA"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16096BC0" w14:textId="77777777" w:rsidR="00376D0F" w:rsidRPr="0004725B" w:rsidRDefault="00376D0F" w:rsidP="00BB5052">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02775A7A" w14:textId="77777777" w:rsidR="00376D0F" w:rsidRPr="0004725B" w:rsidRDefault="00376D0F" w:rsidP="00BB5052">
            <w:pPr>
              <w:pStyle w:val="08-Tabelageral"/>
              <w:spacing w:afterLines="40" w:after="96"/>
              <w:ind w:left="113"/>
              <w:rPr>
                <w:rFonts w:cs="Arial"/>
                <w:szCs w:val="14"/>
              </w:rPr>
            </w:pPr>
            <w:r>
              <w:rPr>
                <w:rFonts w:cs="Arial"/>
                <w:szCs w:val="14"/>
              </w:rPr>
              <w:t>(253)</w:t>
            </w:r>
          </w:p>
        </w:tc>
        <w:tc>
          <w:tcPr>
            <w:tcW w:w="283" w:type="dxa"/>
            <w:tcBorders>
              <w:top w:val="nil"/>
              <w:bottom w:val="nil"/>
            </w:tcBorders>
            <w:shd w:val="clear" w:color="auto" w:fill="auto"/>
            <w:vAlign w:val="center"/>
          </w:tcPr>
          <w:p w14:paraId="37D6B6DD"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43320D23"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722EC1D1" w14:textId="77777777" w:rsidR="00376D0F" w:rsidRPr="0004725B" w:rsidRDefault="00376D0F" w:rsidP="00D472D3">
            <w:pPr>
              <w:pStyle w:val="08-Tabelageral"/>
              <w:spacing w:afterLines="40" w:after="96"/>
              <w:ind w:left="113"/>
              <w:rPr>
                <w:rFonts w:cs="Arial"/>
                <w:szCs w:val="14"/>
              </w:rPr>
            </w:pPr>
            <w:r w:rsidRPr="0004725B">
              <w:rPr>
                <w:rFonts w:cs="Arial"/>
                <w:szCs w:val="14"/>
              </w:rPr>
              <w:t>(1.</w:t>
            </w:r>
            <w:r>
              <w:rPr>
                <w:rFonts w:cs="Arial"/>
                <w:szCs w:val="14"/>
              </w:rPr>
              <w:t>678</w:t>
            </w:r>
            <w:r w:rsidRPr="0004725B">
              <w:rPr>
                <w:rFonts w:cs="Arial"/>
                <w:szCs w:val="14"/>
              </w:rPr>
              <w:t>)</w:t>
            </w:r>
          </w:p>
        </w:tc>
      </w:tr>
      <w:tr w:rsidR="00376D0F" w:rsidRPr="0004725B" w14:paraId="1AB8FAEB" w14:textId="77777777" w:rsidTr="007438BB">
        <w:trPr>
          <w:trHeight w:val="238"/>
          <w:jc w:val="center"/>
        </w:trPr>
        <w:tc>
          <w:tcPr>
            <w:tcW w:w="3094" w:type="dxa"/>
            <w:tcBorders>
              <w:top w:val="nil"/>
              <w:bottom w:val="nil"/>
            </w:tcBorders>
            <w:shd w:val="clear" w:color="auto" w:fill="auto"/>
            <w:vAlign w:val="center"/>
          </w:tcPr>
          <w:p w14:paraId="367C0E54"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Final</w:t>
            </w:r>
          </w:p>
        </w:tc>
        <w:tc>
          <w:tcPr>
            <w:tcW w:w="604" w:type="dxa"/>
            <w:tcBorders>
              <w:top w:val="nil"/>
              <w:bottom w:val="nil"/>
            </w:tcBorders>
            <w:shd w:val="clear" w:color="auto" w:fill="auto"/>
            <w:vAlign w:val="center"/>
          </w:tcPr>
          <w:p w14:paraId="503E78CB"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07ACDA24"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0D395B1E" w14:textId="77777777" w:rsidR="00376D0F" w:rsidRPr="0004725B" w:rsidRDefault="00376D0F" w:rsidP="00BB5052">
            <w:pPr>
              <w:pStyle w:val="08-Tabelageral"/>
              <w:spacing w:before="0" w:after="0"/>
              <w:rPr>
                <w:rFonts w:cs="Arial"/>
                <w:b/>
                <w:bCs/>
                <w:szCs w:val="14"/>
              </w:rPr>
            </w:pPr>
            <w:r>
              <w:rPr>
                <w:rFonts w:cs="Arial"/>
                <w:b/>
                <w:bCs/>
                <w:szCs w:val="14"/>
              </w:rPr>
              <w:t>14.257</w:t>
            </w:r>
          </w:p>
        </w:tc>
        <w:tc>
          <w:tcPr>
            <w:tcW w:w="283" w:type="dxa"/>
            <w:tcBorders>
              <w:top w:val="nil"/>
              <w:bottom w:val="nil"/>
            </w:tcBorders>
            <w:shd w:val="clear" w:color="auto" w:fill="auto"/>
            <w:vAlign w:val="center"/>
          </w:tcPr>
          <w:p w14:paraId="6C693EAD"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1C965634"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4E75DD56" w14:textId="77777777" w:rsidR="00376D0F" w:rsidRPr="0004725B" w:rsidRDefault="00376D0F" w:rsidP="00D472D3">
            <w:pPr>
              <w:pStyle w:val="08-Tabelageral"/>
              <w:spacing w:before="0" w:after="0"/>
              <w:rPr>
                <w:rFonts w:cs="Arial"/>
                <w:b/>
                <w:bCs/>
                <w:szCs w:val="14"/>
              </w:rPr>
            </w:pPr>
            <w:r w:rsidRPr="0004725B">
              <w:rPr>
                <w:rFonts w:cs="Arial"/>
                <w:b/>
                <w:bCs/>
                <w:szCs w:val="14"/>
              </w:rPr>
              <w:t>1</w:t>
            </w:r>
            <w:r>
              <w:rPr>
                <w:rFonts w:cs="Arial"/>
                <w:b/>
                <w:bCs/>
                <w:szCs w:val="14"/>
              </w:rPr>
              <w:t>6</w:t>
            </w:r>
            <w:r w:rsidRPr="0004725B">
              <w:rPr>
                <w:rFonts w:cs="Arial"/>
                <w:b/>
                <w:bCs/>
                <w:szCs w:val="14"/>
              </w:rPr>
              <w:t>.</w:t>
            </w:r>
            <w:r>
              <w:rPr>
                <w:rFonts w:cs="Arial"/>
                <w:b/>
                <w:bCs/>
                <w:szCs w:val="14"/>
              </w:rPr>
              <w:t>314</w:t>
            </w:r>
          </w:p>
        </w:tc>
      </w:tr>
      <w:tr w:rsidR="00376D0F" w:rsidRPr="0004725B" w14:paraId="5A5D3029" w14:textId="77777777" w:rsidTr="007438BB">
        <w:trPr>
          <w:trHeight w:val="238"/>
          <w:jc w:val="center"/>
        </w:trPr>
        <w:tc>
          <w:tcPr>
            <w:tcW w:w="3094" w:type="dxa"/>
            <w:tcBorders>
              <w:top w:val="nil"/>
              <w:bottom w:val="nil"/>
            </w:tcBorders>
            <w:shd w:val="clear" w:color="auto" w:fill="auto"/>
            <w:vAlign w:val="center"/>
          </w:tcPr>
          <w:p w14:paraId="457ED892" w14:textId="77777777" w:rsidR="00376D0F" w:rsidRPr="0004725B" w:rsidRDefault="00376D0F" w:rsidP="00BB5052">
            <w:pPr>
              <w:pStyle w:val="08-Tabelageral"/>
              <w:spacing w:afterLines="40" w:after="96"/>
              <w:jc w:val="left"/>
              <w:rPr>
                <w:rFonts w:cs="Arial"/>
                <w:b/>
                <w:szCs w:val="14"/>
              </w:rPr>
            </w:pPr>
            <w:r w:rsidRPr="0004725B">
              <w:rPr>
                <w:rFonts w:cs="Arial"/>
                <w:b/>
                <w:szCs w:val="14"/>
              </w:rPr>
              <w:t>Demandas Trabalhistas</w:t>
            </w:r>
          </w:p>
        </w:tc>
        <w:tc>
          <w:tcPr>
            <w:tcW w:w="604" w:type="dxa"/>
            <w:tcBorders>
              <w:top w:val="nil"/>
              <w:bottom w:val="nil"/>
            </w:tcBorders>
            <w:shd w:val="clear" w:color="auto" w:fill="auto"/>
            <w:vAlign w:val="center"/>
          </w:tcPr>
          <w:p w14:paraId="2E4732A8"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7C6F13CB"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4C575EDD" w14:textId="77777777" w:rsidR="00376D0F" w:rsidRPr="0004725B" w:rsidRDefault="00376D0F" w:rsidP="00BB5052">
            <w:pPr>
              <w:pStyle w:val="08-Tabelageral"/>
              <w:spacing w:before="0" w:after="0"/>
              <w:rPr>
                <w:rFonts w:cs="Arial"/>
                <w:b/>
                <w:bCs/>
                <w:szCs w:val="14"/>
              </w:rPr>
            </w:pPr>
          </w:p>
        </w:tc>
        <w:tc>
          <w:tcPr>
            <w:tcW w:w="283" w:type="dxa"/>
            <w:tcBorders>
              <w:top w:val="nil"/>
              <w:bottom w:val="nil"/>
            </w:tcBorders>
            <w:shd w:val="clear" w:color="auto" w:fill="auto"/>
            <w:vAlign w:val="center"/>
          </w:tcPr>
          <w:p w14:paraId="4EDF1189"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5EB09906"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37EB565E" w14:textId="77777777" w:rsidR="00376D0F" w:rsidRPr="0004725B" w:rsidRDefault="00376D0F" w:rsidP="00BB5052">
            <w:pPr>
              <w:pStyle w:val="08-Tabelageral"/>
              <w:spacing w:before="0" w:after="0"/>
              <w:rPr>
                <w:rFonts w:cs="Arial"/>
                <w:b/>
                <w:bCs/>
                <w:szCs w:val="14"/>
              </w:rPr>
            </w:pPr>
          </w:p>
        </w:tc>
      </w:tr>
      <w:tr w:rsidR="00376D0F" w:rsidRPr="0004725B" w14:paraId="43ED30AD" w14:textId="77777777" w:rsidTr="007438BB">
        <w:trPr>
          <w:trHeight w:val="238"/>
          <w:jc w:val="center"/>
        </w:trPr>
        <w:tc>
          <w:tcPr>
            <w:tcW w:w="3094" w:type="dxa"/>
            <w:tcBorders>
              <w:top w:val="nil"/>
              <w:bottom w:val="nil"/>
            </w:tcBorders>
            <w:shd w:val="clear" w:color="auto" w:fill="auto"/>
            <w:vAlign w:val="center"/>
          </w:tcPr>
          <w:p w14:paraId="440D70D5"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Inicial</w:t>
            </w:r>
          </w:p>
        </w:tc>
        <w:tc>
          <w:tcPr>
            <w:tcW w:w="604" w:type="dxa"/>
            <w:tcBorders>
              <w:top w:val="nil"/>
              <w:bottom w:val="nil"/>
            </w:tcBorders>
            <w:shd w:val="clear" w:color="auto" w:fill="auto"/>
            <w:vAlign w:val="center"/>
          </w:tcPr>
          <w:p w14:paraId="52AE7059"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0918DF6D" w14:textId="77777777" w:rsidR="00376D0F" w:rsidRPr="0004725B" w:rsidRDefault="00376D0F" w:rsidP="00BB5052">
            <w:pPr>
              <w:pStyle w:val="08-Tabelageral"/>
              <w:spacing w:before="0" w:after="0"/>
              <w:rPr>
                <w:rFonts w:cs="Arial"/>
                <w:b/>
                <w:bCs/>
                <w:szCs w:val="14"/>
              </w:rPr>
            </w:pPr>
          </w:p>
        </w:tc>
        <w:tc>
          <w:tcPr>
            <w:tcW w:w="1412" w:type="dxa"/>
            <w:tcBorders>
              <w:top w:val="nil"/>
              <w:bottom w:val="nil"/>
            </w:tcBorders>
            <w:shd w:val="clear" w:color="auto" w:fill="auto"/>
            <w:vAlign w:val="center"/>
          </w:tcPr>
          <w:p w14:paraId="1A400AF4" w14:textId="77777777" w:rsidR="00376D0F" w:rsidRPr="0004725B" w:rsidRDefault="00376D0F" w:rsidP="00BB5052">
            <w:pPr>
              <w:pStyle w:val="08-Tabelageral"/>
              <w:spacing w:before="0" w:after="0"/>
              <w:rPr>
                <w:rFonts w:cs="Arial"/>
                <w:b/>
                <w:bCs/>
                <w:szCs w:val="14"/>
              </w:rPr>
            </w:pPr>
            <w:r>
              <w:rPr>
                <w:rFonts w:cs="Arial"/>
                <w:b/>
                <w:bCs/>
                <w:szCs w:val="14"/>
              </w:rPr>
              <w:t>230</w:t>
            </w:r>
          </w:p>
        </w:tc>
        <w:tc>
          <w:tcPr>
            <w:tcW w:w="283" w:type="dxa"/>
            <w:tcBorders>
              <w:top w:val="nil"/>
              <w:bottom w:val="nil"/>
            </w:tcBorders>
            <w:shd w:val="clear" w:color="auto" w:fill="auto"/>
            <w:vAlign w:val="center"/>
          </w:tcPr>
          <w:p w14:paraId="25F0E884"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2614DA6F"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090C9CEF" w14:textId="77777777" w:rsidR="00376D0F" w:rsidRPr="0004725B" w:rsidRDefault="00376D0F" w:rsidP="00BB5052">
            <w:pPr>
              <w:pStyle w:val="08-Tabelageral"/>
              <w:spacing w:before="0" w:after="0"/>
              <w:rPr>
                <w:rFonts w:cs="Arial"/>
                <w:b/>
                <w:bCs/>
                <w:szCs w:val="14"/>
              </w:rPr>
            </w:pPr>
            <w:r w:rsidRPr="0004725B">
              <w:rPr>
                <w:rFonts w:cs="Arial"/>
                <w:b/>
                <w:bCs/>
                <w:szCs w:val="14"/>
              </w:rPr>
              <w:t>103</w:t>
            </w:r>
          </w:p>
        </w:tc>
      </w:tr>
      <w:tr w:rsidR="00376D0F" w:rsidRPr="0004725B" w14:paraId="79464738" w14:textId="77777777" w:rsidTr="007438BB">
        <w:trPr>
          <w:trHeight w:val="238"/>
          <w:jc w:val="center"/>
        </w:trPr>
        <w:tc>
          <w:tcPr>
            <w:tcW w:w="3094" w:type="dxa"/>
            <w:tcBorders>
              <w:top w:val="nil"/>
              <w:bottom w:val="nil"/>
            </w:tcBorders>
            <w:shd w:val="clear" w:color="auto" w:fill="auto"/>
            <w:vAlign w:val="center"/>
          </w:tcPr>
          <w:p w14:paraId="7D712AFF"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Constituição / Atualização</w:t>
            </w:r>
          </w:p>
        </w:tc>
        <w:tc>
          <w:tcPr>
            <w:tcW w:w="604" w:type="dxa"/>
            <w:tcBorders>
              <w:top w:val="nil"/>
              <w:bottom w:val="nil"/>
            </w:tcBorders>
            <w:shd w:val="clear" w:color="auto" w:fill="auto"/>
            <w:vAlign w:val="center"/>
          </w:tcPr>
          <w:p w14:paraId="798B63C8"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737FE644" w14:textId="77777777" w:rsidR="00376D0F" w:rsidRPr="0004725B" w:rsidRDefault="00376D0F" w:rsidP="00BB5052">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0CB1AD3A" w14:textId="77777777" w:rsidR="00376D0F" w:rsidRPr="0004725B" w:rsidRDefault="00376D0F" w:rsidP="00BB5052">
            <w:pPr>
              <w:pStyle w:val="08-Tabelageral"/>
              <w:spacing w:afterLines="40" w:after="96"/>
              <w:ind w:left="113"/>
              <w:rPr>
                <w:rFonts w:cs="Arial"/>
                <w:szCs w:val="14"/>
              </w:rPr>
            </w:pPr>
            <w:r>
              <w:rPr>
                <w:rFonts w:cs="Arial"/>
                <w:szCs w:val="14"/>
              </w:rPr>
              <w:t>--</w:t>
            </w:r>
          </w:p>
        </w:tc>
        <w:tc>
          <w:tcPr>
            <w:tcW w:w="283" w:type="dxa"/>
            <w:tcBorders>
              <w:top w:val="nil"/>
              <w:bottom w:val="nil"/>
            </w:tcBorders>
            <w:shd w:val="clear" w:color="auto" w:fill="auto"/>
            <w:vAlign w:val="center"/>
          </w:tcPr>
          <w:p w14:paraId="174F3A8D"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5585FAB4"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0FEFB02C" w14:textId="77777777" w:rsidR="00376D0F" w:rsidRPr="0004725B" w:rsidRDefault="00376D0F" w:rsidP="00BB5052">
            <w:pPr>
              <w:pStyle w:val="08-Tabelageral"/>
              <w:spacing w:afterLines="40" w:after="96"/>
              <w:ind w:left="113"/>
              <w:rPr>
                <w:rFonts w:cs="Arial"/>
                <w:szCs w:val="14"/>
              </w:rPr>
            </w:pPr>
            <w:r w:rsidRPr="0004725B">
              <w:rPr>
                <w:rFonts w:cs="Arial"/>
                <w:szCs w:val="14"/>
              </w:rPr>
              <w:t>127</w:t>
            </w:r>
          </w:p>
        </w:tc>
      </w:tr>
      <w:tr w:rsidR="00376D0F" w:rsidRPr="0004725B" w14:paraId="5775738C" w14:textId="77777777" w:rsidTr="007438BB">
        <w:trPr>
          <w:trHeight w:val="238"/>
          <w:jc w:val="center"/>
        </w:trPr>
        <w:tc>
          <w:tcPr>
            <w:tcW w:w="3094" w:type="dxa"/>
            <w:tcBorders>
              <w:top w:val="nil"/>
              <w:bottom w:val="nil"/>
            </w:tcBorders>
            <w:shd w:val="clear" w:color="auto" w:fill="auto"/>
            <w:vAlign w:val="center"/>
          </w:tcPr>
          <w:p w14:paraId="18273B3D"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Reversão de provisão</w:t>
            </w:r>
          </w:p>
        </w:tc>
        <w:tc>
          <w:tcPr>
            <w:tcW w:w="604" w:type="dxa"/>
            <w:tcBorders>
              <w:top w:val="nil"/>
              <w:bottom w:val="nil"/>
            </w:tcBorders>
            <w:shd w:val="clear" w:color="auto" w:fill="auto"/>
            <w:vAlign w:val="center"/>
          </w:tcPr>
          <w:p w14:paraId="34184B6F"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2312A49D" w14:textId="77777777" w:rsidR="00376D0F" w:rsidRPr="0004725B" w:rsidRDefault="00376D0F" w:rsidP="00BB5052">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1D41D2DC" w14:textId="77777777" w:rsidR="00376D0F" w:rsidRPr="0004725B" w:rsidRDefault="00376D0F" w:rsidP="00BB5052">
            <w:pPr>
              <w:pStyle w:val="08-Tabelageral"/>
              <w:spacing w:afterLines="40" w:after="96"/>
              <w:ind w:left="113"/>
              <w:rPr>
                <w:rFonts w:cs="Arial"/>
                <w:szCs w:val="14"/>
              </w:rPr>
            </w:pPr>
            <w:r>
              <w:rPr>
                <w:rFonts w:cs="Arial"/>
                <w:szCs w:val="14"/>
              </w:rPr>
              <w:t>--</w:t>
            </w:r>
          </w:p>
        </w:tc>
        <w:tc>
          <w:tcPr>
            <w:tcW w:w="283" w:type="dxa"/>
            <w:tcBorders>
              <w:top w:val="nil"/>
              <w:bottom w:val="nil"/>
            </w:tcBorders>
            <w:shd w:val="clear" w:color="auto" w:fill="auto"/>
            <w:vAlign w:val="center"/>
          </w:tcPr>
          <w:p w14:paraId="014301C4"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02A76664"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6B0FC7EB" w14:textId="77777777" w:rsidR="00376D0F" w:rsidRPr="0004725B" w:rsidRDefault="00376D0F" w:rsidP="00BB5052">
            <w:pPr>
              <w:pStyle w:val="08-Tabelageral"/>
              <w:spacing w:afterLines="40" w:after="96"/>
              <w:ind w:left="113"/>
              <w:rPr>
                <w:rFonts w:cs="Arial"/>
                <w:szCs w:val="14"/>
              </w:rPr>
            </w:pPr>
            <w:r w:rsidRPr="0004725B">
              <w:rPr>
                <w:rFonts w:cs="Arial"/>
                <w:szCs w:val="14"/>
              </w:rPr>
              <w:t>--</w:t>
            </w:r>
          </w:p>
        </w:tc>
      </w:tr>
      <w:tr w:rsidR="00376D0F" w:rsidRPr="0004725B" w14:paraId="7A41AF93" w14:textId="77777777" w:rsidTr="007438BB">
        <w:trPr>
          <w:trHeight w:val="238"/>
          <w:jc w:val="center"/>
        </w:trPr>
        <w:tc>
          <w:tcPr>
            <w:tcW w:w="3094" w:type="dxa"/>
            <w:tcBorders>
              <w:top w:val="nil"/>
              <w:bottom w:val="nil"/>
            </w:tcBorders>
            <w:shd w:val="clear" w:color="auto" w:fill="auto"/>
            <w:vAlign w:val="center"/>
          </w:tcPr>
          <w:p w14:paraId="4FDEA60A" w14:textId="77777777" w:rsidR="00376D0F" w:rsidRPr="0004725B" w:rsidRDefault="00376D0F" w:rsidP="00BB5052">
            <w:pPr>
              <w:pStyle w:val="08-Tabelageral"/>
              <w:spacing w:afterLines="40" w:after="96"/>
              <w:ind w:left="113"/>
              <w:jc w:val="left"/>
              <w:rPr>
                <w:rFonts w:cs="Arial"/>
                <w:bCs/>
                <w:szCs w:val="14"/>
              </w:rPr>
            </w:pPr>
            <w:r w:rsidRPr="0004725B">
              <w:rPr>
                <w:rFonts w:cs="Arial"/>
                <w:szCs w:val="14"/>
              </w:rPr>
              <w:t>Baixa por pagamentos</w:t>
            </w:r>
          </w:p>
        </w:tc>
        <w:tc>
          <w:tcPr>
            <w:tcW w:w="604" w:type="dxa"/>
            <w:tcBorders>
              <w:top w:val="nil"/>
              <w:bottom w:val="nil"/>
            </w:tcBorders>
            <w:shd w:val="clear" w:color="auto" w:fill="auto"/>
            <w:vAlign w:val="center"/>
          </w:tcPr>
          <w:p w14:paraId="2B94A1DB" w14:textId="77777777" w:rsidR="00376D0F" w:rsidRPr="0004725B" w:rsidRDefault="00376D0F" w:rsidP="00BB5052">
            <w:pPr>
              <w:pStyle w:val="08-Tabelageral"/>
              <w:spacing w:afterLines="40" w:after="96"/>
              <w:ind w:left="113"/>
              <w:rPr>
                <w:rFonts w:cs="Arial"/>
                <w:szCs w:val="14"/>
              </w:rPr>
            </w:pPr>
          </w:p>
        </w:tc>
        <w:tc>
          <w:tcPr>
            <w:tcW w:w="1411" w:type="dxa"/>
            <w:tcBorders>
              <w:top w:val="nil"/>
              <w:bottom w:val="nil"/>
            </w:tcBorders>
            <w:shd w:val="clear" w:color="auto" w:fill="auto"/>
            <w:vAlign w:val="center"/>
          </w:tcPr>
          <w:p w14:paraId="00120855" w14:textId="77777777" w:rsidR="00376D0F" w:rsidRPr="0004725B" w:rsidRDefault="00376D0F" w:rsidP="00935E00">
            <w:pPr>
              <w:pStyle w:val="08-Tabelageral"/>
              <w:spacing w:afterLines="40" w:after="96"/>
              <w:ind w:left="113"/>
              <w:rPr>
                <w:rFonts w:cs="Arial"/>
                <w:szCs w:val="14"/>
              </w:rPr>
            </w:pPr>
          </w:p>
        </w:tc>
        <w:tc>
          <w:tcPr>
            <w:tcW w:w="1412" w:type="dxa"/>
            <w:tcBorders>
              <w:top w:val="nil"/>
              <w:bottom w:val="nil"/>
            </w:tcBorders>
            <w:shd w:val="clear" w:color="auto" w:fill="auto"/>
            <w:vAlign w:val="center"/>
          </w:tcPr>
          <w:p w14:paraId="4ED65A14" w14:textId="77777777" w:rsidR="00376D0F" w:rsidRPr="0004725B" w:rsidRDefault="00376D0F" w:rsidP="00BB5052">
            <w:pPr>
              <w:pStyle w:val="08-Tabelageral"/>
              <w:spacing w:afterLines="40" w:after="96"/>
              <w:ind w:left="113"/>
              <w:rPr>
                <w:rFonts w:cs="Arial"/>
                <w:szCs w:val="14"/>
              </w:rPr>
            </w:pPr>
            <w:r>
              <w:rPr>
                <w:rFonts w:cs="Arial"/>
                <w:szCs w:val="14"/>
              </w:rPr>
              <w:t>(202)</w:t>
            </w:r>
          </w:p>
        </w:tc>
        <w:tc>
          <w:tcPr>
            <w:tcW w:w="283" w:type="dxa"/>
            <w:tcBorders>
              <w:top w:val="nil"/>
              <w:bottom w:val="nil"/>
            </w:tcBorders>
            <w:shd w:val="clear" w:color="auto" w:fill="auto"/>
            <w:vAlign w:val="center"/>
          </w:tcPr>
          <w:p w14:paraId="104A89C3" w14:textId="77777777" w:rsidR="00376D0F" w:rsidRPr="0004725B" w:rsidRDefault="00376D0F" w:rsidP="00BB5052">
            <w:pPr>
              <w:pStyle w:val="08-Tabelageral"/>
              <w:spacing w:afterLines="40" w:after="96"/>
              <w:ind w:left="113"/>
              <w:rPr>
                <w:rFonts w:cs="Arial"/>
                <w:szCs w:val="14"/>
              </w:rPr>
            </w:pPr>
          </w:p>
        </w:tc>
        <w:tc>
          <w:tcPr>
            <w:tcW w:w="1417" w:type="dxa"/>
            <w:tcBorders>
              <w:top w:val="nil"/>
              <w:bottom w:val="nil"/>
            </w:tcBorders>
            <w:shd w:val="clear" w:color="auto" w:fill="auto"/>
            <w:vAlign w:val="center"/>
          </w:tcPr>
          <w:p w14:paraId="1693AC73" w14:textId="77777777" w:rsidR="00376D0F" w:rsidRPr="0004725B" w:rsidRDefault="00376D0F" w:rsidP="00BB5052">
            <w:pPr>
              <w:pStyle w:val="08-Tabelageral"/>
              <w:spacing w:afterLines="40" w:after="96"/>
              <w:ind w:left="113"/>
              <w:rPr>
                <w:rFonts w:cs="Arial"/>
                <w:szCs w:val="14"/>
              </w:rPr>
            </w:pPr>
          </w:p>
        </w:tc>
        <w:tc>
          <w:tcPr>
            <w:tcW w:w="1418" w:type="dxa"/>
            <w:tcBorders>
              <w:top w:val="nil"/>
              <w:bottom w:val="nil"/>
            </w:tcBorders>
            <w:shd w:val="clear" w:color="auto" w:fill="auto"/>
            <w:vAlign w:val="center"/>
          </w:tcPr>
          <w:p w14:paraId="3A4B6A81" w14:textId="77777777" w:rsidR="00376D0F" w:rsidRPr="0004725B" w:rsidRDefault="00376D0F" w:rsidP="00BB5052">
            <w:pPr>
              <w:pStyle w:val="08-Tabelageral"/>
              <w:spacing w:afterLines="40" w:after="96"/>
              <w:ind w:left="113"/>
              <w:rPr>
                <w:rFonts w:cs="Arial"/>
                <w:szCs w:val="14"/>
              </w:rPr>
            </w:pPr>
            <w:r w:rsidRPr="0004725B">
              <w:rPr>
                <w:rFonts w:cs="Arial"/>
                <w:szCs w:val="14"/>
              </w:rPr>
              <w:t>--</w:t>
            </w:r>
          </w:p>
        </w:tc>
      </w:tr>
      <w:tr w:rsidR="00376D0F" w:rsidRPr="0004725B" w14:paraId="09F65F05" w14:textId="77777777" w:rsidTr="007438BB">
        <w:trPr>
          <w:trHeight w:val="238"/>
          <w:jc w:val="center"/>
        </w:trPr>
        <w:tc>
          <w:tcPr>
            <w:tcW w:w="3094" w:type="dxa"/>
            <w:tcBorders>
              <w:top w:val="nil"/>
              <w:bottom w:val="nil"/>
            </w:tcBorders>
            <w:shd w:val="clear" w:color="auto" w:fill="auto"/>
            <w:vAlign w:val="center"/>
          </w:tcPr>
          <w:p w14:paraId="44F99D01" w14:textId="77777777" w:rsidR="00376D0F" w:rsidRPr="0004725B" w:rsidRDefault="00376D0F" w:rsidP="00BB5052">
            <w:pPr>
              <w:pStyle w:val="08-Tabelageral"/>
              <w:spacing w:afterLines="40" w:after="96"/>
              <w:jc w:val="left"/>
              <w:rPr>
                <w:rFonts w:cs="Arial"/>
                <w:b/>
                <w:szCs w:val="14"/>
              </w:rPr>
            </w:pPr>
            <w:r w:rsidRPr="0004725B">
              <w:rPr>
                <w:rFonts w:cs="Arial"/>
                <w:b/>
                <w:szCs w:val="14"/>
              </w:rPr>
              <w:t>Saldo Final</w:t>
            </w:r>
          </w:p>
        </w:tc>
        <w:tc>
          <w:tcPr>
            <w:tcW w:w="604" w:type="dxa"/>
            <w:tcBorders>
              <w:top w:val="nil"/>
              <w:bottom w:val="nil"/>
            </w:tcBorders>
            <w:shd w:val="clear" w:color="auto" w:fill="auto"/>
            <w:vAlign w:val="center"/>
          </w:tcPr>
          <w:p w14:paraId="3708F9EB" w14:textId="77777777" w:rsidR="00376D0F" w:rsidRPr="0004725B" w:rsidRDefault="00376D0F" w:rsidP="00BB5052">
            <w:pPr>
              <w:pStyle w:val="08-Tabelageral"/>
              <w:spacing w:before="0" w:after="0"/>
              <w:rPr>
                <w:rFonts w:cs="Arial"/>
                <w:b/>
                <w:bCs/>
                <w:szCs w:val="14"/>
              </w:rPr>
            </w:pPr>
          </w:p>
        </w:tc>
        <w:tc>
          <w:tcPr>
            <w:tcW w:w="1411" w:type="dxa"/>
            <w:tcBorders>
              <w:top w:val="nil"/>
              <w:bottom w:val="nil"/>
            </w:tcBorders>
            <w:shd w:val="clear" w:color="auto" w:fill="auto"/>
            <w:vAlign w:val="center"/>
          </w:tcPr>
          <w:p w14:paraId="6E687BF1" w14:textId="77777777" w:rsidR="00376D0F" w:rsidRPr="0004725B" w:rsidRDefault="00376D0F" w:rsidP="004F6552">
            <w:pPr>
              <w:pStyle w:val="08-Tabelageral"/>
              <w:spacing w:before="0" w:after="0"/>
              <w:rPr>
                <w:rFonts w:cs="Arial"/>
                <w:b/>
                <w:bCs/>
                <w:szCs w:val="14"/>
              </w:rPr>
            </w:pPr>
          </w:p>
        </w:tc>
        <w:tc>
          <w:tcPr>
            <w:tcW w:w="1412" w:type="dxa"/>
            <w:tcBorders>
              <w:top w:val="nil"/>
              <w:bottom w:val="nil"/>
            </w:tcBorders>
            <w:shd w:val="clear" w:color="auto" w:fill="auto"/>
            <w:vAlign w:val="center"/>
          </w:tcPr>
          <w:p w14:paraId="3967C902" w14:textId="77777777" w:rsidR="00376D0F" w:rsidRPr="0004725B" w:rsidRDefault="00376D0F" w:rsidP="00BB5052">
            <w:pPr>
              <w:pStyle w:val="08-Tabelageral"/>
              <w:spacing w:before="0" w:after="0"/>
              <w:rPr>
                <w:rFonts w:cs="Arial"/>
                <w:b/>
                <w:bCs/>
                <w:szCs w:val="14"/>
              </w:rPr>
            </w:pPr>
            <w:r>
              <w:rPr>
                <w:rFonts w:cs="Arial"/>
                <w:b/>
                <w:bCs/>
                <w:szCs w:val="14"/>
              </w:rPr>
              <w:t>28</w:t>
            </w:r>
          </w:p>
        </w:tc>
        <w:tc>
          <w:tcPr>
            <w:tcW w:w="283" w:type="dxa"/>
            <w:tcBorders>
              <w:top w:val="nil"/>
              <w:bottom w:val="nil"/>
            </w:tcBorders>
            <w:shd w:val="clear" w:color="auto" w:fill="auto"/>
            <w:vAlign w:val="center"/>
          </w:tcPr>
          <w:p w14:paraId="5D972053" w14:textId="77777777" w:rsidR="00376D0F" w:rsidRPr="0004725B" w:rsidRDefault="00376D0F" w:rsidP="00BB5052">
            <w:pPr>
              <w:pStyle w:val="08-Tabelageral"/>
              <w:spacing w:before="0" w:after="0"/>
              <w:rPr>
                <w:rFonts w:cs="Arial"/>
                <w:b/>
                <w:bCs/>
                <w:szCs w:val="14"/>
              </w:rPr>
            </w:pPr>
          </w:p>
        </w:tc>
        <w:tc>
          <w:tcPr>
            <w:tcW w:w="1417" w:type="dxa"/>
            <w:tcBorders>
              <w:top w:val="nil"/>
              <w:bottom w:val="nil"/>
            </w:tcBorders>
            <w:shd w:val="clear" w:color="auto" w:fill="auto"/>
            <w:vAlign w:val="center"/>
          </w:tcPr>
          <w:p w14:paraId="09BFFEC0" w14:textId="77777777" w:rsidR="00376D0F" w:rsidRPr="0004725B" w:rsidRDefault="00376D0F" w:rsidP="00BB5052">
            <w:pPr>
              <w:pStyle w:val="08-Tabelageral"/>
              <w:spacing w:before="0" w:after="0"/>
              <w:rPr>
                <w:rFonts w:cs="Arial"/>
                <w:b/>
                <w:bCs/>
                <w:szCs w:val="14"/>
              </w:rPr>
            </w:pPr>
          </w:p>
        </w:tc>
        <w:tc>
          <w:tcPr>
            <w:tcW w:w="1418" w:type="dxa"/>
            <w:tcBorders>
              <w:top w:val="nil"/>
              <w:bottom w:val="nil"/>
            </w:tcBorders>
            <w:shd w:val="clear" w:color="auto" w:fill="auto"/>
            <w:vAlign w:val="center"/>
          </w:tcPr>
          <w:p w14:paraId="259CC320" w14:textId="77777777" w:rsidR="00376D0F" w:rsidRPr="0004725B" w:rsidRDefault="00376D0F" w:rsidP="00BB5052">
            <w:pPr>
              <w:pStyle w:val="08-Tabelageral"/>
              <w:spacing w:before="0" w:after="0"/>
              <w:rPr>
                <w:rFonts w:cs="Arial"/>
                <w:b/>
                <w:bCs/>
                <w:szCs w:val="14"/>
              </w:rPr>
            </w:pPr>
            <w:r w:rsidRPr="0004725B">
              <w:rPr>
                <w:rFonts w:cs="Arial"/>
                <w:b/>
                <w:bCs/>
                <w:szCs w:val="14"/>
              </w:rPr>
              <w:t>230</w:t>
            </w:r>
          </w:p>
        </w:tc>
      </w:tr>
      <w:tr w:rsidR="00376D0F" w:rsidRPr="00795E28" w14:paraId="72D5ACCA" w14:textId="77777777" w:rsidTr="007438BB">
        <w:trPr>
          <w:trHeight w:val="238"/>
          <w:jc w:val="center"/>
        </w:trPr>
        <w:tc>
          <w:tcPr>
            <w:tcW w:w="3094" w:type="dxa"/>
            <w:tcBorders>
              <w:top w:val="nil"/>
            </w:tcBorders>
            <w:shd w:val="clear" w:color="auto" w:fill="auto"/>
            <w:vAlign w:val="center"/>
          </w:tcPr>
          <w:p w14:paraId="4BA805BA" w14:textId="77777777" w:rsidR="00376D0F" w:rsidRPr="0004725B" w:rsidRDefault="00376D0F" w:rsidP="00BB5052">
            <w:pPr>
              <w:pStyle w:val="08-Tabelageral"/>
              <w:spacing w:afterLines="40" w:after="96"/>
              <w:jc w:val="left"/>
              <w:rPr>
                <w:rFonts w:cs="Arial"/>
                <w:b/>
                <w:szCs w:val="14"/>
              </w:rPr>
            </w:pPr>
            <w:r w:rsidRPr="0004725B">
              <w:rPr>
                <w:rFonts w:cs="Arial"/>
                <w:b/>
                <w:szCs w:val="14"/>
              </w:rPr>
              <w:t>Total</w:t>
            </w:r>
          </w:p>
        </w:tc>
        <w:tc>
          <w:tcPr>
            <w:tcW w:w="604" w:type="dxa"/>
            <w:tcBorders>
              <w:top w:val="nil"/>
            </w:tcBorders>
            <w:shd w:val="clear" w:color="auto" w:fill="auto"/>
            <w:vAlign w:val="center"/>
          </w:tcPr>
          <w:p w14:paraId="07F09248" w14:textId="77777777" w:rsidR="00376D0F" w:rsidRPr="0004725B" w:rsidRDefault="00376D0F" w:rsidP="00BB5052">
            <w:pPr>
              <w:pStyle w:val="08-Tabelageral"/>
              <w:spacing w:before="0" w:after="0"/>
              <w:rPr>
                <w:rFonts w:cs="Arial"/>
                <w:b/>
                <w:bCs/>
                <w:szCs w:val="14"/>
              </w:rPr>
            </w:pPr>
          </w:p>
        </w:tc>
        <w:tc>
          <w:tcPr>
            <w:tcW w:w="1411" w:type="dxa"/>
            <w:tcBorders>
              <w:top w:val="nil"/>
            </w:tcBorders>
            <w:shd w:val="clear" w:color="auto" w:fill="auto"/>
            <w:vAlign w:val="center"/>
          </w:tcPr>
          <w:p w14:paraId="3328823D" w14:textId="77777777" w:rsidR="00376D0F" w:rsidRPr="0004725B" w:rsidRDefault="00376D0F" w:rsidP="004F6552">
            <w:pPr>
              <w:pStyle w:val="08-Tabelageral"/>
              <w:spacing w:before="0" w:after="0"/>
              <w:rPr>
                <w:rFonts w:cs="Arial"/>
                <w:b/>
                <w:bCs/>
                <w:szCs w:val="14"/>
              </w:rPr>
            </w:pPr>
          </w:p>
        </w:tc>
        <w:tc>
          <w:tcPr>
            <w:tcW w:w="1412" w:type="dxa"/>
            <w:tcBorders>
              <w:top w:val="nil"/>
            </w:tcBorders>
            <w:shd w:val="clear" w:color="auto" w:fill="auto"/>
            <w:vAlign w:val="center"/>
          </w:tcPr>
          <w:p w14:paraId="34192CD6" w14:textId="77777777" w:rsidR="00376D0F" w:rsidRPr="0004725B" w:rsidRDefault="00376D0F" w:rsidP="00BB5052">
            <w:pPr>
              <w:pStyle w:val="08-Tabelageral"/>
              <w:spacing w:before="0" w:after="0"/>
              <w:rPr>
                <w:rFonts w:cs="Arial"/>
                <w:b/>
                <w:bCs/>
                <w:szCs w:val="14"/>
              </w:rPr>
            </w:pPr>
            <w:r>
              <w:rPr>
                <w:rFonts w:cs="Arial"/>
                <w:b/>
                <w:bCs/>
                <w:szCs w:val="14"/>
              </w:rPr>
              <w:t>15.415</w:t>
            </w:r>
          </w:p>
        </w:tc>
        <w:tc>
          <w:tcPr>
            <w:tcW w:w="283" w:type="dxa"/>
            <w:tcBorders>
              <w:top w:val="nil"/>
            </w:tcBorders>
            <w:shd w:val="clear" w:color="auto" w:fill="auto"/>
            <w:vAlign w:val="center"/>
          </w:tcPr>
          <w:p w14:paraId="44D9DCF1" w14:textId="77777777" w:rsidR="00376D0F" w:rsidRPr="0004725B" w:rsidRDefault="00376D0F" w:rsidP="00BB5052">
            <w:pPr>
              <w:pStyle w:val="08-Tabelageral"/>
              <w:spacing w:before="0" w:after="0"/>
              <w:rPr>
                <w:rFonts w:cs="Arial"/>
                <w:b/>
                <w:bCs/>
                <w:szCs w:val="14"/>
              </w:rPr>
            </w:pPr>
          </w:p>
        </w:tc>
        <w:tc>
          <w:tcPr>
            <w:tcW w:w="1417" w:type="dxa"/>
            <w:tcBorders>
              <w:top w:val="nil"/>
            </w:tcBorders>
            <w:shd w:val="clear" w:color="auto" w:fill="auto"/>
            <w:vAlign w:val="center"/>
          </w:tcPr>
          <w:p w14:paraId="74FDE32A" w14:textId="77777777" w:rsidR="00376D0F" w:rsidRPr="0004725B" w:rsidRDefault="00376D0F" w:rsidP="00BB5052">
            <w:pPr>
              <w:pStyle w:val="08-Tabelageral"/>
              <w:spacing w:before="0" w:after="0"/>
              <w:rPr>
                <w:rFonts w:cs="Arial"/>
                <w:b/>
                <w:bCs/>
                <w:szCs w:val="14"/>
              </w:rPr>
            </w:pPr>
          </w:p>
        </w:tc>
        <w:tc>
          <w:tcPr>
            <w:tcW w:w="1418" w:type="dxa"/>
            <w:tcBorders>
              <w:top w:val="nil"/>
            </w:tcBorders>
            <w:shd w:val="clear" w:color="auto" w:fill="auto"/>
            <w:vAlign w:val="center"/>
          </w:tcPr>
          <w:p w14:paraId="4B00A563" w14:textId="77777777" w:rsidR="00376D0F" w:rsidRPr="00795E28" w:rsidRDefault="00376D0F" w:rsidP="00D472D3">
            <w:pPr>
              <w:pStyle w:val="08-Tabelageral"/>
              <w:spacing w:before="0" w:after="0"/>
              <w:rPr>
                <w:rFonts w:cs="Arial"/>
                <w:b/>
                <w:bCs/>
                <w:szCs w:val="14"/>
              </w:rPr>
            </w:pPr>
            <w:r w:rsidRPr="0004725B">
              <w:rPr>
                <w:rFonts w:cs="Arial"/>
                <w:b/>
                <w:bCs/>
                <w:szCs w:val="14"/>
              </w:rPr>
              <w:t>1</w:t>
            </w:r>
            <w:r>
              <w:rPr>
                <w:rFonts w:cs="Arial"/>
                <w:b/>
                <w:bCs/>
                <w:szCs w:val="14"/>
              </w:rPr>
              <w:t>7</w:t>
            </w:r>
            <w:r w:rsidRPr="0004725B">
              <w:rPr>
                <w:rFonts w:cs="Arial"/>
                <w:b/>
                <w:bCs/>
                <w:szCs w:val="14"/>
              </w:rPr>
              <w:t>.</w:t>
            </w:r>
            <w:r>
              <w:rPr>
                <w:rFonts w:cs="Arial"/>
                <w:b/>
                <w:bCs/>
                <w:szCs w:val="14"/>
              </w:rPr>
              <w:t>9</w:t>
            </w:r>
            <w:r w:rsidRPr="0004725B">
              <w:rPr>
                <w:rFonts w:cs="Arial"/>
                <w:b/>
                <w:bCs/>
                <w:szCs w:val="14"/>
              </w:rPr>
              <w:t>8</w:t>
            </w:r>
            <w:r>
              <w:rPr>
                <w:rFonts w:cs="Arial"/>
                <w:b/>
                <w:bCs/>
                <w:szCs w:val="14"/>
              </w:rPr>
              <w:t>4</w:t>
            </w:r>
          </w:p>
        </w:tc>
      </w:tr>
    </w:tbl>
    <w:p w14:paraId="0A52BBD2" w14:textId="77777777" w:rsidR="00376D0F" w:rsidRPr="009056D6" w:rsidRDefault="00376D0F" w:rsidP="00744FE7">
      <w:pPr>
        <w:pStyle w:val="07-Legenda"/>
        <w:numPr>
          <w:ilvl w:val="0"/>
          <w:numId w:val="5"/>
        </w:numPr>
        <w:ind w:left="284" w:hanging="284"/>
        <w:rPr>
          <w:rFonts w:cs="Arial"/>
          <w:szCs w:val="14"/>
        </w:rPr>
      </w:pPr>
      <w:r w:rsidRPr="009056D6">
        <w:rPr>
          <w:rFonts w:cs="Arial"/>
          <w:szCs w:val="14"/>
        </w:rPr>
        <w:t>Em 31.12.2021 foi incluído no montante o valor de R$ 48 mil referente a atualização monetária do exercício.</w:t>
      </w:r>
    </w:p>
    <w:p w14:paraId="22FC1346" w14:textId="77777777" w:rsidR="00376D0F" w:rsidRPr="009056D6" w:rsidRDefault="00376D0F" w:rsidP="00744FE7">
      <w:pPr>
        <w:pStyle w:val="07-Legenda"/>
        <w:numPr>
          <w:ilvl w:val="0"/>
          <w:numId w:val="5"/>
        </w:numPr>
        <w:ind w:left="284" w:hanging="284"/>
        <w:rPr>
          <w:rFonts w:cs="Arial"/>
          <w:szCs w:val="14"/>
        </w:rPr>
      </w:pPr>
      <w:r w:rsidRPr="009056D6">
        <w:rPr>
          <w:rFonts w:cs="Arial"/>
          <w:szCs w:val="14"/>
        </w:rPr>
        <w:t xml:space="preserve">Em 31.12.2021 foi incluído no montante o valor de R$ </w:t>
      </w:r>
      <w:r>
        <w:rPr>
          <w:rFonts w:cs="Arial"/>
          <w:szCs w:val="14"/>
        </w:rPr>
        <w:t>802</w:t>
      </w:r>
      <w:r w:rsidRPr="009056D6">
        <w:rPr>
          <w:rFonts w:cs="Arial"/>
          <w:szCs w:val="14"/>
        </w:rPr>
        <w:t xml:space="preserve"> mil referente a atualização monetária do exercício.</w:t>
      </w:r>
    </w:p>
    <w:p w14:paraId="3B7C2FCF" w14:textId="77777777" w:rsidR="00376D0F" w:rsidRDefault="00376D0F" w:rsidP="003252E6">
      <w:pPr>
        <w:pStyle w:val="01-Textonormal"/>
      </w:pPr>
    </w:p>
    <w:p w14:paraId="2642E7B3" w14:textId="77777777" w:rsidR="00376D0F" w:rsidRPr="00D70ADC" w:rsidRDefault="00376D0F" w:rsidP="003252E6">
      <w:pPr>
        <w:pStyle w:val="01-Textonormal"/>
      </w:pPr>
      <w:r w:rsidRPr="003C63A3">
        <w:t>Em 3</w:t>
      </w:r>
      <w:r>
        <w:t>1</w:t>
      </w:r>
      <w:r w:rsidRPr="003C63A3">
        <w:t>.</w:t>
      </w:r>
      <w:r>
        <w:t>12</w:t>
      </w:r>
      <w:r w:rsidRPr="003C63A3">
        <w:t>.2021 foi provisionado no controlador o valor de R$ 28 mil relativo a demandas trabalhistas. Para as demais</w:t>
      </w:r>
      <w:r w:rsidRPr="001B47A8">
        <w:t xml:space="preserve"> demandas não existem saldos de provisão no controlador.</w:t>
      </w:r>
    </w:p>
    <w:p w14:paraId="6FBF8D26" w14:textId="77777777" w:rsidR="00376D0F" w:rsidRPr="00086CD9" w:rsidRDefault="00376D0F" w:rsidP="00086CD9">
      <w:pPr>
        <w:pStyle w:val="04-TtuloNegrito"/>
        <w:keepNext/>
        <w:rPr>
          <w:rFonts w:cs="Arial"/>
          <w:color w:val="1F4E79" w:themeColor="accent1" w:themeShade="80"/>
          <w:sz w:val="18"/>
          <w:szCs w:val="18"/>
        </w:rPr>
      </w:pPr>
      <w:r w:rsidRPr="00086CD9">
        <w:rPr>
          <w:rFonts w:cs="Arial"/>
          <w:color w:val="1F4E79" w:themeColor="accent1" w:themeShade="80"/>
          <w:sz w:val="18"/>
          <w:szCs w:val="18"/>
        </w:rPr>
        <w:t>Fluxos estimados de saída de benefícios econômicos</w:t>
      </w:r>
    </w:p>
    <w:p w14:paraId="2296E3D1" w14:textId="77777777" w:rsidR="00376D0F" w:rsidRPr="004C6ED9" w:rsidRDefault="00376D0F" w:rsidP="00CC187A">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46"/>
        <w:gridCol w:w="596"/>
        <w:gridCol w:w="1403"/>
        <w:gridCol w:w="1397"/>
        <w:gridCol w:w="282"/>
        <w:gridCol w:w="1073"/>
        <w:gridCol w:w="1842"/>
      </w:tblGrid>
      <w:tr w:rsidR="00376D0F" w:rsidRPr="00225994" w14:paraId="25CA9862" w14:textId="77777777" w:rsidTr="007438BB">
        <w:trPr>
          <w:trHeight w:hRule="exact" w:val="238"/>
          <w:jc w:val="center"/>
        </w:trPr>
        <w:tc>
          <w:tcPr>
            <w:tcW w:w="3046" w:type="dxa"/>
            <w:tcBorders>
              <w:bottom w:val="single" w:sz="2" w:space="0" w:color="1F4E79" w:themeColor="accent1" w:themeShade="80"/>
            </w:tcBorders>
            <w:shd w:val="clear" w:color="auto" w:fill="auto"/>
          </w:tcPr>
          <w:p w14:paraId="11AE89E4" w14:textId="77777777" w:rsidR="00376D0F" w:rsidRPr="00225994" w:rsidRDefault="00376D0F" w:rsidP="006A1514">
            <w:pPr>
              <w:keepNext/>
              <w:keepLines/>
              <w:spacing w:before="40" w:after="40"/>
              <w:rPr>
                <w:rFonts w:cs="Arial"/>
                <w:b/>
                <w:spacing w:val="-2"/>
                <w:sz w:val="14"/>
                <w:szCs w:val="14"/>
              </w:rPr>
            </w:pPr>
          </w:p>
        </w:tc>
        <w:tc>
          <w:tcPr>
            <w:tcW w:w="596" w:type="dxa"/>
            <w:tcBorders>
              <w:bottom w:val="single" w:sz="2" w:space="0" w:color="1F4E79" w:themeColor="accent1" w:themeShade="80"/>
            </w:tcBorders>
            <w:shd w:val="clear" w:color="auto" w:fill="auto"/>
          </w:tcPr>
          <w:p w14:paraId="6FECB5CF" w14:textId="77777777" w:rsidR="00376D0F" w:rsidRPr="00225994" w:rsidRDefault="00376D0F" w:rsidP="006A1514">
            <w:pPr>
              <w:keepNext/>
              <w:keepLines/>
              <w:spacing w:before="40" w:after="40"/>
              <w:rPr>
                <w:rFonts w:cs="Arial"/>
                <w:b/>
                <w:spacing w:val="-2"/>
                <w:sz w:val="14"/>
                <w:szCs w:val="14"/>
              </w:rPr>
            </w:pPr>
          </w:p>
        </w:tc>
        <w:tc>
          <w:tcPr>
            <w:tcW w:w="1403" w:type="dxa"/>
            <w:tcBorders>
              <w:bottom w:val="single" w:sz="2" w:space="0" w:color="1F4E79" w:themeColor="accent1" w:themeShade="80"/>
            </w:tcBorders>
            <w:shd w:val="clear" w:color="auto" w:fill="auto"/>
          </w:tcPr>
          <w:p w14:paraId="6707B910" w14:textId="77777777" w:rsidR="00376D0F" w:rsidRPr="00225994" w:rsidRDefault="00376D0F" w:rsidP="006A1514">
            <w:pPr>
              <w:keepNext/>
              <w:keepLines/>
              <w:spacing w:before="40" w:after="40"/>
              <w:jc w:val="right"/>
              <w:rPr>
                <w:rFonts w:cs="Arial"/>
                <w:b/>
                <w:spacing w:val="-2"/>
                <w:sz w:val="14"/>
                <w:szCs w:val="14"/>
              </w:rPr>
            </w:pPr>
            <w:r w:rsidRPr="00225994">
              <w:rPr>
                <w:rFonts w:cs="Arial"/>
                <w:b/>
                <w:spacing w:val="-2"/>
                <w:sz w:val="14"/>
                <w:szCs w:val="14"/>
              </w:rPr>
              <w:t>Trabalhistas</w:t>
            </w:r>
          </w:p>
        </w:tc>
        <w:tc>
          <w:tcPr>
            <w:tcW w:w="1397" w:type="dxa"/>
            <w:tcBorders>
              <w:bottom w:val="single" w:sz="2" w:space="0" w:color="1F4E79" w:themeColor="accent1" w:themeShade="80"/>
            </w:tcBorders>
            <w:shd w:val="clear" w:color="auto" w:fill="auto"/>
          </w:tcPr>
          <w:p w14:paraId="2E538630" w14:textId="77777777" w:rsidR="00376D0F" w:rsidRPr="00225994" w:rsidRDefault="00376D0F" w:rsidP="006A1514">
            <w:pPr>
              <w:keepNext/>
              <w:keepLines/>
              <w:spacing w:before="40" w:after="40"/>
              <w:jc w:val="right"/>
              <w:rPr>
                <w:rFonts w:cs="Arial"/>
                <w:b/>
                <w:spacing w:val="-2"/>
                <w:sz w:val="14"/>
                <w:szCs w:val="14"/>
              </w:rPr>
            </w:pPr>
            <w:r w:rsidRPr="00225994">
              <w:rPr>
                <w:rFonts w:cs="Arial"/>
                <w:b/>
                <w:spacing w:val="-2"/>
                <w:sz w:val="14"/>
                <w:szCs w:val="14"/>
              </w:rPr>
              <w:t>Fiscais</w:t>
            </w:r>
          </w:p>
        </w:tc>
        <w:tc>
          <w:tcPr>
            <w:tcW w:w="282" w:type="dxa"/>
            <w:tcBorders>
              <w:bottom w:val="single" w:sz="2" w:space="0" w:color="1F4E79" w:themeColor="accent1" w:themeShade="80"/>
            </w:tcBorders>
            <w:shd w:val="clear" w:color="auto" w:fill="auto"/>
          </w:tcPr>
          <w:p w14:paraId="554F9E14" w14:textId="77777777" w:rsidR="00376D0F" w:rsidRPr="00225994" w:rsidRDefault="00376D0F" w:rsidP="006A1514">
            <w:pPr>
              <w:keepNext/>
              <w:keepLines/>
              <w:spacing w:before="40" w:after="40"/>
              <w:jc w:val="right"/>
              <w:rPr>
                <w:rFonts w:cs="Arial"/>
                <w:b/>
                <w:spacing w:val="-2"/>
                <w:sz w:val="14"/>
                <w:szCs w:val="14"/>
              </w:rPr>
            </w:pPr>
          </w:p>
        </w:tc>
        <w:tc>
          <w:tcPr>
            <w:tcW w:w="1073" w:type="dxa"/>
            <w:tcBorders>
              <w:bottom w:val="single" w:sz="2" w:space="0" w:color="1F4E79" w:themeColor="accent1" w:themeShade="80"/>
            </w:tcBorders>
            <w:shd w:val="clear" w:color="auto" w:fill="auto"/>
          </w:tcPr>
          <w:p w14:paraId="6A703968" w14:textId="77777777" w:rsidR="00376D0F" w:rsidRPr="00225994" w:rsidRDefault="00376D0F" w:rsidP="006A1514">
            <w:pPr>
              <w:keepNext/>
              <w:keepLines/>
              <w:spacing w:before="40" w:after="40"/>
              <w:jc w:val="right"/>
              <w:rPr>
                <w:rFonts w:cs="Arial"/>
                <w:b/>
                <w:spacing w:val="-2"/>
                <w:sz w:val="14"/>
                <w:szCs w:val="14"/>
              </w:rPr>
            </w:pPr>
            <w:r w:rsidRPr="00225994">
              <w:rPr>
                <w:rFonts w:cs="Arial"/>
                <w:b/>
                <w:spacing w:val="-2"/>
                <w:sz w:val="14"/>
                <w:szCs w:val="14"/>
              </w:rPr>
              <w:t>Cíveis</w:t>
            </w:r>
          </w:p>
        </w:tc>
        <w:tc>
          <w:tcPr>
            <w:tcW w:w="1842" w:type="dxa"/>
            <w:tcBorders>
              <w:bottom w:val="single" w:sz="2" w:space="0" w:color="1F4E79" w:themeColor="accent1" w:themeShade="80"/>
            </w:tcBorders>
            <w:shd w:val="clear" w:color="auto" w:fill="auto"/>
          </w:tcPr>
          <w:p w14:paraId="6E574A4F" w14:textId="77777777" w:rsidR="00376D0F" w:rsidRPr="00225994" w:rsidRDefault="00376D0F" w:rsidP="006A1514">
            <w:pPr>
              <w:keepNext/>
              <w:keepLines/>
              <w:spacing w:before="40" w:after="40"/>
              <w:jc w:val="right"/>
              <w:rPr>
                <w:rFonts w:cs="Arial"/>
                <w:b/>
                <w:spacing w:val="-2"/>
                <w:sz w:val="14"/>
                <w:szCs w:val="14"/>
              </w:rPr>
            </w:pPr>
            <w:r w:rsidRPr="00225994">
              <w:rPr>
                <w:rFonts w:cs="Arial"/>
                <w:b/>
                <w:spacing w:val="-2"/>
                <w:sz w:val="14"/>
                <w:szCs w:val="14"/>
              </w:rPr>
              <w:t>Total</w:t>
            </w:r>
          </w:p>
        </w:tc>
      </w:tr>
      <w:tr w:rsidR="00376D0F" w:rsidRPr="00C63CE5" w14:paraId="7D6D0E5D" w14:textId="77777777" w:rsidTr="007438BB">
        <w:trPr>
          <w:trHeight w:hRule="exact" w:val="238"/>
          <w:jc w:val="center"/>
        </w:trPr>
        <w:tc>
          <w:tcPr>
            <w:tcW w:w="3046" w:type="dxa"/>
            <w:tcBorders>
              <w:bottom w:val="nil"/>
            </w:tcBorders>
            <w:shd w:val="clear" w:color="auto" w:fill="auto"/>
          </w:tcPr>
          <w:p w14:paraId="6844BFCA" w14:textId="77777777" w:rsidR="00376D0F" w:rsidRPr="00C63CE5" w:rsidRDefault="00376D0F" w:rsidP="00AB3A0A">
            <w:pPr>
              <w:pStyle w:val="08-Tabelageral"/>
              <w:ind w:left="113"/>
              <w:jc w:val="left"/>
              <w:rPr>
                <w:rFonts w:cs="Arial"/>
                <w:b/>
                <w:szCs w:val="14"/>
              </w:rPr>
            </w:pPr>
            <w:r w:rsidRPr="00C63CE5">
              <w:rPr>
                <w:rFonts w:cs="Arial"/>
                <w:szCs w:val="14"/>
              </w:rPr>
              <w:t>Até 5 anos</w:t>
            </w:r>
          </w:p>
        </w:tc>
        <w:tc>
          <w:tcPr>
            <w:tcW w:w="596" w:type="dxa"/>
            <w:tcBorders>
              <w:bottom w:val="nil"/>
            </w:tcBorders>
            <w:shd w:val="clear" w:color="auto" w:fill="auto"/>
          </w:tcPr>
          <w:p w14:paraId="307EA092" w14:textId="77777777" w:rsidR="00376D0F" w:rsidRPr="00C63CE5" w:rsidRDefault="00376D0F" w:rsidP="006A1514">
            <w:pPr>
              <w:pStyle w:val="08-Tabelageral"/>
              <w:rPr>
                <w:rFonts w:cs="Arial"/>
                <w:szCs w:val="14"/>
              </w:rPr>
            </w:pPr>
          </w:p>
        </w:tc>
        <w:tc>
          <w:tcPr>
            <w:tcW w:w="1403" w:type="dxa"/>
            <w:tcBorders>
              <w:bottom w:val="nil"/>
            </w:tcBorders>
            <w:shd w:val="clear" w:color="auto" w:fill="auto"/>
          </w:tcPr>
          <w:p w14:paraId="04E2C201" w14:textId="77777777" w:rsidR="00376D0F" w:rsidRPr="00C63CE5" w:rsidRDefault="00376D0F" w:rsidP="002A2718">
            <w:pPr>
              <w:pStyle w:val="08-Tabelageral"/>
              <w:rPr>
                <w:rFonts w:cs="Arial"/>
                <w:szCs w:val="14"/>
              </w:rPr>
            </w:pPr>
            <w:r>
              <w:rPr>
                <w:rFonts w:cs="Arial"/>
                <w:szCs w:val="14"/>
              </w:rPr>
              <w:t>28</w:t>
            </w:r>
          </w:p>
        </w:tc>
        <w:tc>
          <w:tcPr>
            <w:tcW w:w="1397" w:type="dxa"/>
            <w:tcBorders>
              <w:bottom w:val="nil"/>
            </w:tcBorders>
            <w:shd w:val="clear" w:color="auto" w:fill="auto"/>
          </w:tcPr>
          <w:p w14:paraId="0A39665A" w14:textId="77777777" w:rsidR="00376D0F" w:rsidRPr="00C63CE5" w:rsidRDefault="00376D0F" w:rsidP="00ED3095">
            <w:pPr>
              <w:pStyle w:val="08-Tabelageral"/>
              <w:rPr>
                <w:rFonts w:cs="Arial"/>
                <w:szCs w:val="14"/>
              </w:rPr>
            </w:pPr>
            <w:r>
              <w:rPr>
                <w:rFonts w:cs="Arial"/>
                <w:szCs w:val="14"/>
              </w:rPr>
              <w:t>656</w:t>
            </w:r>
          </w:p>
        </w:tc>
        <w:tc>
          <w:tcPr>
            <w:tcW w:w="282" w:type="dxa"/>
            <w:tcBorders>
              <w:bottom w:val="nil"/>
            </w:tcBorders>
            <w:shd w:val="clear" w:color="auto" w:fill="auto"/>
          </w:tcPr>
          <w:p w14:paraId="571830D5" w14:textId="77777777" w:rsidR="00376D0F" w:rsidRPr="00C63CE5" w:rsidRDefault="00376D0F" w:rsidP="006A1514">
            <w:pPr>
              <w:pStyle w:val="08-Tabelageral"/>
              <w:rPr>
                <w:rFonts w:cs="Arial"/>
                <w:szCs w:val="14"/>
              </w:rPr>
            </w:pPr>
          </w:p>
        </w:tc>
        <w:tc>
          <w:tcPr>
            <w:tcW w:w="1073" w:type="dxa"/>
            <w:tcBorders>
              <w:bottom w:val="nil"/>
            </w:tcBorders>
            <w:shd w:val="clear" w:color="auto" w:fill="auto"/>
          </w:tcPr>
          <w:p w14:paraId="561646AD" w14:textId="77777777" w:rsidR="00376D0F" w:rsidRPr="00C63CE5" w:rsidRDefault="00376D0F" w:rsidP="00110EFF">
            <w:pPr>
              <w:pStyle w:val="08-Tabelageral"/>
              <w:rPr>
                <w:rFonts w:cs="Arial"/>
                <w:szCs w:val="14"/>
              </w:rPr>
            </w:pPr>
            <w:r>
              <w:rPr>
                <w:rFonts w:cs="Arial"/>
                <w:szCs w:val="14"/>
              </w:rPr>
              <w:t>12.414</w:t>
            </w:r>
          </w:p>
        </w:tc>
        <w:tc>
          <w:tcPr>
            <w:tcW w:w="1842" w:type="dxa"/>
            <w:tcBorders>
              <w:bottom w:val="nil"/>
            </w:tcBorders>
            <w:shd w:val="clear" w:color="auto" w:fill="auto"/>
            <w:vAlign w:val="center"/>
          </w:tcPr>
          <w:p w14:paraId="2FA238E2" w14:textId="77777777" w:rsidR="00376D0F" w:rsidRPr="00C63CE5" w:rsidRDefault="00376D0F" w:rsidP="00C5331A">
            <w:pPr>
              <w:pStyle w:val="08-Tabelageral"/>
              <w:rPr>
                <w:rFonts w:cs="Arial"/>
                <w:b/>
                <w:szCs w:val="14"/>
              </w:rPr>
            </w:pPr>
            <w:r>
              <w:rPr>
                <w:rFonts w:cs="Arial"/>
                <w:b/>
                <w:szCs w:val="14"/>
              </w:rPr>
              <w:t>13.098</w:t>
            </w:r>
          </w:p>
        </w:tc>
      </w:tr>
      <w:tr w:rsidR="00376D0F" w:rsidRPr="00C63CE5" w14:paraId="0A540965" w14:textId="77777777" w:rsidTr="007438BB">
        <w:trPr>
          <w:trHeight w:hRule="exact" w:val="238"/>
          <w:jc w:val="center"/>
        </w:trPr>
        <w:tc>
          <w:tcPr>
            <w:tcW w:w="3046" w:type="dxa"/>
            <w:tcBorders>
              <w:top w:val="nil"/>
              <w:bottom w:val="nil"/>
            </w:tcBorders>
            <w:shd w:val="clear" w:color="auto" w:fill="auto"/>
          </w:tcPr>
          <w:p w14:paraId="5BCD04F0" w14:textId="77777777" w:rsidR="00376D0F" w:rsidRPr="00C63CE5" w:rsidRDefault="00376D0F" w:rsidP="00AB3A0A">
            <w:pPr>
              <w:pStyle w:val="08-Tabelageral"/>
              <w:ind w:left="113"/>
              <w:jc w:val="left"/>
              <w:rPr>
                <w:rFonts w:cs="Arial"/>
                <w:b/>
                <w:szCs w:val="14"/>
                <w:vertAlign w:val="superscript"/>
              </w:rPr>
            </w:pPr>
            <w:r w:rsidRPr="00C63CE5">
              <w:rPr>
                <w:rFonts w:cs="Arial"/>
                <w:szCs w:val="14"/>
              </w:rPr>
              <w:t>De 5 a 10 anos</w:t>
            </w:r>
          </w:p>
        </w:tc>
        <w:tc>
          <w:tcPr>
            <w:tcW w:w="596" w:type="dxa"/>
            <w:tcBorders>
              <w:top w:val="nil"/>
              <w:bottom w:val="nil"/>
            </w:tcBorders>
            <w:shd w:val="clear" w:color="auto" w:fill="auto"/>
          </w:tcPr>
          <w:p w14:paraId="63434E77" w14:textId="77777777" w:rsidR="00376D0F" w:rsidRPr="00C63CE5" w:rsidRDefault="00376D0F" w:rsidP="006A1514">
            <w:pPr>
              <w:pStyle w:val="08-Tabelageral"/>
              <w:rPr>
                <w:rFonts w:cs="Arial"/>
                <w:szCs w:val="14"/>
              </w:rPr>
            </w:pPr>
          </w:p>
        </w:tc>
        <w:tc>
          <w:tcPr>
            <w:tcW w:w="1403" w:type="dxa"/>
            <w:tcBorders>
              <w:top w:val="nil"/>
              <w:bottom w:val="nil"/>
            </w:tcBorders>
            <w:shd w:val="clear" w:color="auto" w:fill="auto"/>
          </w:tcPr>
          <w:p w14:paraId="28261EEC" w14:textId="77777777" w:rsidR="00376D0F" w:rsidRPr="00C63CE5" w:rsidRDefault="00376D0F" w:rsidP="006A1514">
            <w:pPr>
              <w:pStyle w:val="08-Tabelageral"/>
              <w:rPr>
                <w:rFonts w:cs="Arial"/>
                <w:szCs w:val="14"/>
              </w:rPr>
            </w:pPr>
            <w:r>
              <w:rPr>
                <w:rFonts w:cs="Arial"/>
                <w:szCs w:val="14"/>
              </w:rPr>
              <w:t>--</w:t>
            </w:r>
          </w:p>
        </w:tc>
        <w:tc>
          <w:tcPr>
            <w:tcW w:w="1397" w:type="dxa"/>
            <w:tcBorders>
              <w:top w:val="nil"/>
              <w:bottom w:val="nil"/>
            </w:tcBorders>
            <w:shd w:val="clear" w:color="auto" w:fill="auto"/>
          </w:tcPr>
          <w:p w14:paraId="597D0898" w14:textId="77777777" w:rsidR="00376D0F" w:rsidRPr="00C63CE5" w:rsidRDefault="00376D0F" w:rsidP="006A1514">
            <w:pPr>
              <w:pStyle w:val="08-Tabelageral"/>
              <w:rPr>
                <w:rFonts w:cs="Arial"/>
                <w:szCs w:val="14"/>
              </w:rPr>
            </w:pPr>
            <w:r>
              <w:rPr>
                <w:rFonts w:cs="Arial"/>
                <w:szCs w:val="14"/>
              </w:rPr>
              <w:t>274</w:t>
            </w:r>
          </w:p>
        </w:tc>
        <w:tc>
          <w:tcPr>
            <w:tcW w:w="282" w:type="dxa"/>
            <w:tcBorders>
              <w:top w:val="nil"/>
              <w:bottom w:val="nil"/>
            </w:tcBorders>
            <w:shd w:val="clear" w:color="auto" w:fill="auto"/>
          </w:tcPr>
          <w:p w14:paraId="2CBF8649" w14:textId="77777777" w:rsidR="00376D0F" w:rsidRPr="00C63CE5" w:rsidRDefault="00376D0F" w:rsidP="006A1514">
            <w:pPr>
              <w:pStyle w:val="08-Tabelageral"/>
              <w:rPr>
                <w:rFonts w:cs="Arial"/>
                <w:szCs w:val="14"/>
              </w:rPr>
            </w:pPr>
          </w:p>
        </w:tc>
        <w:tc>
          <w:tcPr>
            <w:tcW w:w="1073" w:type="dxa"/>
            <w:tcBorders>
              <w:top w:val="nil"/>
              <w:bottom w:val="nil"/>
            </w:tcBorders>
            <w:shd w:val="clear" w:color="auto" w:fill="auto"/>
          </w:tcPr>
          <w:p w14:paraId="4A8F7AE8" w14:textId="77777777" w:rsidR="00376D0F" w:rsidRPr="00C63CE5" w:rsidRDefault="00376D0F" w:rsidP="00AF14C1">
            <w:pPr>
              <w:pStyle w:val="08-Tabelageral"/>
              <w:rPr>
                <w:rFonts w:cs="Arial"/>
                <w:szCs w:val="14"/>
              </w:rPr>
            </w:pPr>
            <w:r>
              <w:rPr>
                <w:rFonts w:cs="Arial"/>
                <w:szCs w:val="14"/>
              </w:rPr>
              <w:t>1.604</w:t>
            </w:r>
          </w:p>
        </w:tc>
        <w:tc>
          <w:tcPr>
            <w:tcW w:w="1842" w:type="dxa"/>
            <w:tcBorders>
              <w:top w:val="nil"/>
              <w:bottom w:val="nil"/>
            </w:tcBorders>
            <w:shd w:val="clear" w:color="auto" w:fill="auto"/>
            <w:vAlign w:val="center"/>
          </w:tcPr>
          <w:p w14:paraId="7D6AEEB1" w14:textId="77777777" w:rsidR="00376D0F" w:rsidRPr="00C63CE5" w:rsidRDefault="00376D0F" w:rsidP="00C5331A">
            <w:pPr>
              <w:pStyle w:val="08-Tabelageral"/>
              <w:rPr>
                <w:rFonts w:cs="Arial"/>
                <w:b/>
                <w:szCs w:val="14"/>
              </w:rPr>
            </w:pPr>
            <w:r>
              <w:rPr>
                <w:rFonts w:cs="Arial"/>
                <w:b/>
                <w:szCs w:val="14"/>
              </w:rPr>
              <w:t>1.878</w:t>
            </w:r>
          </w:p>
        </w:tc>
      </w:tr>
      <w:tr w:rsidR="00376D0F" w:rsidRPr="00C63CE5" w14:paraId="6529A346" w14:textId="77777777" w:rsidTr="007438BB">
        <w:trPr>
          <w:trHeight w:hRule="exact" w:val="238"/>
          <w:jc w:val="center"/>
        </w:trPr>
        <w:tc>
          <w:tcPr>
            <w:tcW w:w="3046" w:type="dxa"/>
            <w:tcBorders>
              <w:top w:val="nil"/>
              <w:bottom w:val="nil"/>
            </w:tcBorders>
            <w:shd w:val="clear" w:color="auto" w:fill="auto"/>
          </w:tcPr>
          <w:p w14:paraId="54F91C5D" w14:textId="77777777" w:rsidR="00376D0F" w:rsidRPr="00C63CE5" w:rsidRDefault="00376D0F" w:rsidP="00AB3A0A">
            <w:pPr>
              <w:pStyle w:val="08-Tabelageral"/>
              <w:ind w:left="113"/>
              <w:jc w:val="left"/>
              <w:rPr>
                <w:rFonts w:cs="Arial"/>
                <w:b/>
                <w:szCs w:val="14"/>
              </w:rPr>
            </w:pPr>
            <w:r w:rsidRPr="00C63CE5">
              <w:rPr>
                <w:rFonts w:cs="Arial"/>
                <w:szCs w:val="14"/>
              </w:rPr>
              <w:t>Acima de 10 anos</w:t>
            </w:r>
          </w:p>
        </w:tc>
        <w:tc>
          <w:tcPr>
            <w:tcW w:w="596" w:type="dxa"/>
            <w:tcBorders>
              <w:top w:val="nil"/>
              <w:bottom w:val="nil"/>
            </w:tcBorders>
            <w:shd w:val="clear" w:color="auto" w:fill="auto"/>
          </w:tcPr>
          <w:p w14:paraId="73C21039" w14:textId="77777777" w:rsidR="00376D0F" w:rsidRPr="00C63CE5" w:rsidRDefault="00376D0F" w:rsidP="006A1514">
            <w:pPr>
              <w:pStyle w:val="08-Tabelageral"/>
              <w:rPr>
                <w:rFonts w:cs="Arial"/>
                <w:szCs w:val="14"/>
              </w:rPr>
            </w:pPr>
          </w:p>
        </w:tc>
        <w:tc>
          <w:tcPr>
            <w:tcW w:w="1403" w:type="dxa"/>
            <w:tcBorders>
              <w:top w:val="nil"/>
              <w:bottom w:val="nil"/>
            </w:tcBorders>
            <w:shd w:val="clear" w:color="auto" w:fill="auto"/>
          </w:tcPr>
          <w:p w14:paraId="76F53EE2" w14:textId="77777777" w:rsidR="00376D0F" w:rsidRPr="00C63CE5" w:rsidRDefault="00376D0F" w:rsidP="006A1514">
            <w:pPr>
              <w:pStyle w:val="08-Tabelageral"/>
              <w:rPr>
                <w:rFonts w:cs="Arial"/>
                <w:szCs w:val="14"/>
              </w:rPr>
            </w:pPr>
            <w:r>
              <w:rPr>
                <w:rFonts w:cs="Arial"/>
                <w:szCs w:val="14"/>
              </w:rPr>
              <w:t>--</w:t>
            </w:r>
          </w:p>
        </w:tc>
        <w:tc>
          <w:tcPr>
            <w:tcW w:w="1397" w:type="dxa"/>
            <w:tcBorders>
              <w:top w:val="nil"/>
              <w:bottom w:val="nil"/>
            </w:tcBorders>
            <w:shd w:val="clear" w:color="auto" w:fill="auto"/>
          </w:tcPr>
          <w:p w14:paraId="397A5EC3" w14:textId="77777777" w:rsidR="00376D0F" w:rsidRPr="00C63CE5" w:rsidRDefault="00376D0F" w:rsidP="006A1514">
            <w:pPr>
              <w:pStyle w:val="08-Tabelageral"/>
              <w:rPr>
                <w:rFonts w:cs="Arial"/>
                <w:szCs w:val="14"/>
              </w:rPr>
            </w:pPr>
            <w:r>
              <w:rPr>
                <w:rFonts w:cs="Arial"/>
                <w:szCs w:val="14"/>
              </w:rPr>
              <w:t>200</w:t>
            </w:r>
          </w:p>
        </w:tc>
        <w:tc>
          <w:tcPr>
            <w:tcW w:w="282" w:type="dxa"/>
            <w:tcBorders>
              <w:top w:val="nil"/>
              <w:bottom w:val="nil"/>
            </w:tcBorders>
            <w:shd w:val="clear" w:color="auto" w:fill="auto"/>
          </w:tcPr>
          <w:p w14:paraId="26921FA8" w14:textId="77777777" w:rsidR="00376D0F" w:rsidRPr="00C63CE5" w:rsidRDefault="00376D0F" w:rsidP="006A1514">
            <w:pPr>
              <w:pStyle w:val="08-Tabelageral"/>
              <w:rPr>
                <w:rFonts w:cs="Arial"/>
                <w:szCs w:val="14"/>
              </w:rPr>
            </w:pPr>
          </w:p>
        </w:tc>
        <w:tc>
          <w:tcPr>
            <w:tcW w:w="1073" w:type="dxa"/>
            <w:tcBorders>
              <w:top w:val="nil"/>
              <w:bottom w:val="nil"/>
            </w:tcBorders>
            <w:shd w:val="clear" w:color="auto" w:fill="auto"/>
          </w:tcPr>
          <w:p w14:paraId="4ED52814" w14:textId="77777777" w:rsidR="00376D0F" w:rsidRPr="00C63CE5" w:rsidRDefault="00376D0F" w:rsidP="00110EFF">
            <w:pPr>
              <w:pStyle w:val="08-Tabelageral"/>
              <w:rPr>
                <w:rFonts w:cs="Arial"/>
                <w:szCs w:val="14"/>
              </w:rPr>
            </w:pPr>
            <w:r>
              <w:rPr>
                <w:rFonts w:cs="Arial"/>
                <w:szCs w:val="14"/>
              </w:rPr>
              <w:t>239</w:t>
            </w:r>
          </w:p>
        </w:tc>
        <w:tc>
          <w:tcPr>
            <w:tcW w:w="1842" w:type="dxa"/>
            <w:tcBorders>
              <w:top w:val="nil"/>
              <w:bottom w:val="nil"/>
            </w:tcBorders>
            <w:shd w:val="clear" w:color="auto" w:fill="auto"/>
            <w:vAlign w:val="center"/>
          </w:tcPr>
          <w:p w14:paraId="626F5C02" w14:textId="77777777" w:rsidR="00376D0F" w:rsidRPr="00C63CE5" w:rsidRDefault="00376D0F" w:rsidP="00C5331A">
            <w:pPr>
              <w:pStyle w:val="08-Tabelageral"/>
              <w:rPr>
                <w:rFonts w:cs="Arial"/>
                <w:b/>
                <w:szCs w:val="14"/>
              </w:rPr>
            </w:pPr>
            <w:r>
              <w:rPr>
                <w:rFonts w:cs="Arial"/>
                <w:b/>
                <w:szCs w:val="14"/>
              </w:rPr>
              <w:t>439</w:t>
            </w:r>
          </w:p>
        </w:tc>
      </w:tr>
      <w:tr w:rsidR="00376D0F" w:rsidRPr="00225994" w14:paraId="5D2F7688" w14:textId="77777777" w:rsidTr="007438BB">
        <w:trPr>
          <w:trHeight w:hRule="exact" w:val="238"/>
          <w:jc w:val="center"/>
        </w:trPr>
        <w:tc>
          <w:tcPr>
            <w:tcW w:w="3046" w:type="dxa"/>
            <w:tcBorders>
              <w:top w:val="nil"/>
              <w:bottom w:val="single" w:sz="4" w:space="0" w:color="auto"/>
            </w:tcBorders>
            <w:shd w:val="clear" w:color="auto" w:fill="auto"/>
          </w:tcPr>
          <w:p w14:paraId="09699983" w14:textId="77777777" w:rsidR="00376D0F" w:rsidRPr="00C63CE5" w:rsidRDefault="00376D0F" w:rsidP="006A1514">
            <w:pPr>
              <w:keepNext/>
              <w:keepLines/>
              <w:spacing w:before="40" w:after="40"/>
              <w:rPr>
                <w:rFonts w:cs="Arial"/>
                <w:b/>
                <w:bCs/>
                <w:spacing w:val="-2"/>
                <w:sz w:val="14"/>
                <w:szCs w:val="14"/>
              </w:rPr>
            </w:pPr>
            <w:r w:rsidRPr="00C63CE5">
              <w:rPr>
                <w:rFonts w:cs="Arial"/>
                <w:b/>
                <w:spacing w:val="-2"/>
                <w:sz w:val="14"/>
                <w:szCs w:val="14"/>
              </w:rPr>
              <w:t>Total</w:t>
            </w:r>
          </w:p>
        </w:tc>
        <w:tc>
          <w:tcPr>
            <w:tcW w:w="596" w:type="dxa"/>
            <w:tcBorders>
              <w:top w:val="nil"/>
              <w:bottom w:val="single" w:sz="4" w:space="0" w:color="auto"/>
            </w:tcBorders>
            <w:shd w:val="clear" w:color="auto" w:fill="auto"/>
          </w:tcPr>
          <w:p w14:paraId="3332EB57" w14:textId="77777777" w:rsidR="00376D0F" w:rsidRPr="00C63CE5" w:rsidRDefault="00376D0F" w:rsidP="006A1514">
            <w:pPr>
              <w:pStyle w:val="08-Tabelageral"/>
              <w:rPr>
                <w:rFonts w:cs="Arial"/>
                <w:b/>
                <w:szCs w:val="14"/>
              </w:rPr>
            </w:pPr>
          </w:p>
        </w:tc>
        <w:tc>
          <w:tcPr>
            <w:tcW w:w="1403" w:type="dxa"/>
            <w:tcBorders>
              <w:top w:val="nil"/>
              <w:bottom w:val="single" w:sz="4" w:space="0" w:color="auto"/>
            </w:tcBorders>
            <w:shd w:val="clear" w:color="auto" w:fill="auto"/>
          </w:tcPr>
          <w:p w14:paraId="437B3DA6" w14:textId="77777777" w:rsidR="00376D0F" w:rsidRPr="00C63CE5" w:rsidRDefault="00376D0F" w:rsidP="002A2718">
            <w:pPr>
              <w:pStyle w:val="08-Tabelageral"/>
              <w:rPr>
                <w:rFonts w:cs="Arial"/>
                <w:b/>
                <w:szCs w:val="14"/>
              </w:rPr>
            </w:pPr>
            <w:r>
              <w:rPr>
                <w:rFonts w:cs="Arial"/>
                <w:b/>
                <w:szCs w:val="14"/>
              </w:rPr>
              <w:t>28</w:t>
            </w:r>
          </w:p>
        </w:tc>
        <w:tc>
          <w:tcPr>
            <w:tcW w:w="1397" w:type="dxa"/>
            <w:tcBorders>
              <w:top w:val="nil"/>
              <w:bottom w:val="single" w:sz="4" w:space="0" w:color="auto"/>
            </w:tcBorders>
            <w:shd w:val="clear" w:color="auto" w:fill="auto"/>
          </w:tcPr>
          <w:p w14:paraId="69F8E95C" w14:textId="77777777" w:rsidR="00376D0F" w:rsidRPr="00C63CE5" w:rsidRDefault="00376D0F" w:rsidP="00ED3095">
            <w:pPr>
              <w:pStyle w:val="08-Tabelageral"/>
              <w:rPr>
                <w:rFonts w:cs="Arial"/>
                <w:b/>
                <w:szCs w:val="14"/>
              </w:rPr>
            </w:pPr>
            <w:r>
              <w:rPr>
                <w:rFonts w:cs="Arial"/>
                <w:b/>
                <w:szCs w:val="14"/>
              </w:rPr>
              <w:t>1.130</w:t>
            </w:r>
          </w:p>
        </w:tc>
        <w:tc>
          <w:tcPr>
            <w:tcW w:w="282" w:type="dxa"/>
            <w:tcBorders>
              <w:top w:val="nil"/>
              <w:bottom w:val="single" w:sz="4" w:space="0" w:color="auto"/>
            </w:tcBorders>
            <w:shd w:val="clear" w:color="auto" w:fill="auto"/>
          </w:tcPr>
          <w:p w14:paraId="0D1D6962" w14:textId="77777777" w:rsidR="00376D0F" w:rsidRPr="00C63CE5" w:rsidRDefault="00376D0F" w:rsidP="006A1514">
            <w:pPr>
              <w:pStyle w:val="08-Tabelageral"/>
              <w:rPr>
                <w:rFonts w:cs="Arial"/>
                <w:b/>
                <w:szCs w:val="14"/>
              </w:rPr>
            </w:pPr>
          </w:p>
        </w:tc>
        <w:tc>
          <w:tcPr>
            <w:tcW w:w="1073" w:type="dxa"/>
            <w:tcBorders>
              <w:top w:val="nil"/>
              <w:bottom w:val="single" w:sz="4" w:space="0" w:color="auto"/>
            </w:tcBorders>
            <w:shd w:val="clear" w:color="auto" w:fill="auto"/>
          </w:tcPr>
          <w:p w14:paraId="3C608ADA" w14:textId="77777777" w:rsidR="00376D0F" w:rsidRPr="00C63CE5" w:rsidRDefault="00376D0F" w:rsidP="00110EFF">
            <w:pPr>
              <w:pStyle w:val="08-Tabelageral"/>
              <w:rPr>
                <w:rFonts w:cs="Arial"/>
                <w:b/>
                <w:szCs w:val="14"/>
              </w:rPr>
            </w:pPr>
            <w:r>
              <w:rPr>
                <w:rFonts w:cs="Arial"/>
                <w:b/>
                <w:szCs w:val="14"/>
              </w:rPr>
              <w:t>14.257</w:t>
            </w:r>
          </w:p>
        </w:tc>
        <w:tc>
          <w:tcPr>
            <w:tcW w:w="1842" w:type="dxa"/>
            <w:tcBorders>
              <w:top w:val="nil"/>
              <w:bottom w:val="single" w:sz="4" w:space="0" w:color="auto"/>
            </w:tcBorders>
            <w:shd w:val="clear" w:color="auto" w:fill="auto"/>
            <w:vAlign w:val="center"/>
          </w:tcPr>
          <w:p w14:paraId="5EBB9427" w14:textId="77777777" w:rsidR="00376D0F" w:rsidRPr="00225994" w:rsidRDefault="00376D0F" w:rsidP="00C5331A">
            <w:pPr>
              <w:pStyle w:val="08-Tabelageral"/>
              <w:rPr>
                <w:rFonts w:cs="Arial"/>
                <w:b/>
                <w:szCs w:val="14"/>
              </w:rPr>
            </w:pPr>
            <w:r>
              <w:rPr>
                <w:rFonts w:cs="Arial"/>
                <w:b/>
                <w:szCs w:val="14"/>
              </w:rPr>
              <w:t>15.415</w:t>
            </w:r>
          </w:p>
        </w:tc>
      </w:tr>
    </w:tbl>
    <w:p w14:paraId="00E31B7F" w14:textId="77777777" w:rsidR="00376D0F" w:rsidRDefault="00376D0F" w:rsidP="00E250A2">
      <w:pPr>
        <w:pStyle w:val="01-Textonormal"/>
      </w:pPr>
      <w:r>
        <w:t>Dado o cenário de incertezas no que diz respeito à duração dos processos, bem como a possibilidade de alterações na jurisprudência dos tribunais, os fluxos de saída de benefícios econômicos têm sido estimados com base nas melhores informações disponíveis.</w:t>
      </w:r>
    </w:p>
    <w:p w14:paraId="23A293AE" w14:textId="77777777" w:rsidR="00376D0F" w:rsidRPr="00086CD9" w:rsidRDefault="00376D0F" w:rsidP="00086CD9">
      <w:pPr>
        <w:pStyle w:val="04-TtuloNegrito"/>
        <w:keepNext/>
        <w:rPr>
          <w:rFonts w:cs="Arial"/>
          <w:color w:val="1F4E79" w:themeColor="accent1" w:themeShade="80"/>
          <w:sz w:val="18"/>
          <w:szCs w:val="18"/>
        </w:rPr>
      </w:pPr>
      <w:r w:rsidRPr="00086CD9">
        <w:rPr>
          <w:rFonts w:cs="Arial"/>
          <w:color w:val="1F4E79" w:themeColor="accent1" w:themeShade="80"/>
          <w:sz w:val="18"/>
          <w:szCs w:val="18"/>
        </w:rPr>
        <w:t>P</w:t>
      </w:r>
      <w:r>
        <w:rPr>
          <w:rFonts w:cs="Arial"/>
          <w:color w:val="1F4E79" w:themeColor="accent1" w:themeShade="80"/>
          <w:sz w:val="18"/>
          <w:szCs w:val="18"/>
        </w:rPr>
        <w:t>ASSIVOS CONTINGENTES - POSSÍVEIS</w:t>
      </w:r>
    </w:p>
    <w:p w14:paraId="2F084B10" w14:textId="77777777" w:rsidR="00376D0F" w:rsidRPr="001B5B75" w:rsidRDefault="00376D0F" w:rsidP="004C5D56">
      <w:pPr>
        <w:pStyle w:val="04-TtuloNegrito"/>
        <w:keepNext/>
        <w:rPr>
          <w:rFonts w:cs="Arial"/>
          <w:color w:val="1F4E79" w:themeColor="accent1" w:themeShade="80"/>
          <w:sz w:val="18"/>
          <w:szCs w:val="18"/>
        </w:rPr>
      </w:pPr>
      <w:r w:rsidRPr="001B5B75">
        <w:rPr>
          <w:rFonts w:cs="Arial"/>
          <w:color w:val="1F4E79" w:themeColor="accent1" w:themeShade="80"/>
          <w:sz w:val="18"/>
          <w:szCs w:val="18"/>
        </w:rPr>
        <w:t>a) Ações Fiscais</w:t>
      </w:r>
    </w:p>
    <w:p w14:paraId="6C34636A" w14:textId="77777777" w:rsidR="00376D0F" w:rsidRPr="00E2415B" w:rsidRDefault="00376D0F" w:rsidP="00740783">
      <w:pPr>
        <w:pStyle w:val="05-Textonormal"/>
        <w:rPr>
          <w:rFonts w:cs="Arial"/>
        </w:rPr>
      </w:pPr>
      <w:r w:rsidRPr="00E2415B">
        <w:rPr>
          <w:rFonts w:cs="Arial"/>
        </w:rPr>
        <w:t>Nas ações de natureza fiscal, classificadas como possíveis, temos as que se referem à BB Corretora que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A possibilidade de perda da demanda está classificada como possível, não sendo, portanto, constituída provisão.</w:t>
      </w:r>
    </w:p>
    <w:p w14:paraId="30D6BD5A" w14:textId="77777777" w:rsidR="00376D0F" w:rsidRPr="0042107F" w:rsidRDefault="00376D0F" w:rsidP="00376D0F">
      <w:pPr>
        <w:pStyle w:val="05-Textonormal"/>
        <w:keepNext/>
        <w:keepLines/>
        <w:pageBreakBefore/>
        <w:rPr>
          <w:rFonts w:cs="Arial"/>
        </w:rPr>
      </w:pPr>
      <w:r w:rsidRPr="00E2415B">
        <w:rPr>
          <w:rFonts w:cs="Arial"/>
        </w:rPr>
        <w:lastRenderedPageBreak/>
        <w:t xml:space="preserve">Na forma da legislação aplicável, notadamente, o </w:t>
      </w:r>
      <w:r>
        <w:rPr>
          <w:rFonts w:cs="Arial"/>
        </w:rPr>
        <w:t>CPC 25 [IAS 37]</w:t>
      </w:r>
      <w:r w:rsidRPr="00E2415B">
        <w:rPr>
          <w:rFonts w:cs="Arial"/>
        </w:rPr>
        <w:t>; as ações com classificação de risco remota ou possível estão dispensadas de constituição de provisão. Todavia, consignamos a seguir breve síntese do principal processo judicializado em face da Companhia:</w:t>
      </w:r>
    </w:p>
    <w:p w14:paraId="392AEDDA" w14:textId="77777777" w:rsidR="00376D0F" w:rsidRPr="00E2415B" w:rsidRDefault="00376D0F" w:rsidP="00376D0F">
      <w:pPr>
        <w:pStyle w:val="05-Textonormal"/>
        <w:numPr>
          <w:ilvl w:val="0"/>
          <w:numId w:val="16"/>
        </w:numPr>
        <w:ind w:left="709"/>
        <w:rPr>
          <w:rFonts w:cs="Arial"/>
        </w:rPr>
      </w:pPr>
      <w:r w:rsidRPr="00E2415B">
        <w:rPr>
          <w:rFonts w:cs="Arial"/>
        </w:rPr>
        <w:t>A BB Corretora possui disputa judicial relacionada a “DCOMP Saldo Negativo 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 aproximadamente R$ 158,6 milhões (data base: 31/12/2021) depositado em conta judicial na Caixa Econômica Federal.</w:t>
      </w:r>
    </w:p>
    <w:p w14:paraId="3EF39AF6" w14:textId="77777777" w:rsidR="00376D0F" w:rsidRPr="00086CD9" w:rsidRDefault="00376D0F" w:rsidP="00740783">
      <w:pPr>
        <w:pStyle w:val="04-TtuloNegrito"/>
        <w:keepNext/>
        <w:keepLines/>
        <w:rPr>
          <w:rFonts w:cs="Arial"/>
          <w:b w:val="0"/>
          <w:sz w:val="18"/>
          <w:szCs w:val="18"/>
        </w:rPr>
      </w:pPr>
      <w:r w:rsidRPr="00E2415B">
        <w:rPr>
          <w:rFonts w:cs="Arial"/>
          <w:b w:val="0"/>
          <w:sz w:val="18"/>
          <w:szCs w:val="18"/>
        </w:rPr>
        <w:t>Quanto à BB Seguridade e à BB Seguros, não possuem ações fiscais com valores significativos.</w:t>
      </w:r>
    </w:p>
    <w:p w14:paraId="228CB63F" w14:textId="77777777" w:rsidR="00376D0F" w:rsidRPr="00086CD9" w:rsidRDefault="00376D0F" w:rsidP="004C5D56">
      <w:pPr>
        <w:pStyle w:val="04-TtuloNegrito"/>
        <w:keepNext/>
        <w:rPr>
          <w:rFonts w:cs="Arial"/>
          <w:color w:val="1F4E79" w:themeColor="accent1" w:themeShade="80"/>
          <w:sz w:val="18"/>
          <w:szCs w:val="18"/>
        </w:rPr>
      </w:pPr>
      <w:r w:rsidRPr="00086CD9">
        <w:rPr>
          <w:rFonts w:cs="Arial"/>
          <w:color w:val="1F4E79" w:themeColor="accent1" w:themeShade="80"/>
          <w:sz w:val="18"/>
          <w:szCs w:val="18"/>
        </w:rPr>
        <w:t>Saldos dos passivos contingentes classificados como possíveis</w:t>
      </w:r>
    </w:p>
    <w:p w14:paraId="0B38516D" w14:textId="77777777" w:rsidR="00376D0F" w:rsidRDefault="00376D0F" w:rsidP="00E250A2">
      <w:pPr>
        <w:pStyle w:val="05-Textonormal"/>
        <w:rPr>
          <w:rFonts w:cs="Arial"/>
        </w:rPr>
      </w:pPr>
      <w:r w:rsidRPr="00DA4AB5">
        <w:rPr>
          <w:rFonts w:cs="Arial"/>
        </w:rPr>
        <w:t>As demandas fiscais e cíveis classificadas com risco “possível” são dispensadas de constituição de provisão</w:t>
      </w:r>
      <w:r>
        <w:rPr>
          <w:rFonts w:cs="Arial"/>
        </w:rPr>
        <w:t xml:space="preserve">, em </w:t>
      </w:r>
      <w:r w:rsidRPr="00E817E2">
        <w:rPr>
          <w:rFonts w:cs="Arial"/>
        </w:rPr>
        <w:t xml:space="preserve">conformidade com o </w:t>
      </w:r>
      <w:r>
        <w:rPr>
          <w:rFonts w:cs="Arial"/>
        </w:rPr>
        <w:t>CPC 25 [IAS 37]</w:t>
      </w:r>
      <w:r w:rsidRPr="00E817E2">
        <w:rPr>
          <w:rFonts w:cs="Arial"/>
        </w:rPr>
        <w:t>.</w:t>
      </w:r>
    </w:p>
    <w:p w14:paraId="0A988177" w14:textId="77777777" w:rsidR="00376D0F" w:rsidRPr="004C6ED9" w:rsidRDefault="00376D0F" w:rsidP="00CC187A">
      <w:pPr>
        <w:pStyle w:val="01-TtulodeNota"/>
        <w:spacing w:before="0" w:after="0"/>
        <w:jc w:val="right"/>
        <w:rPr>
          <w:sz w:val="14"/>
          <w:szCs w:val="14"/>
        </w:rPr>
      </w:pPr>
      <w:r w:rsidRPr="004C6ED9">
        <w:rPr>
          <w:sz w:val="14"/>
          <w:szCs w:val="14"/>
        </w:rPr>
        <w:t>R$ mil</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376D0F" w:rsidRPr="00C72808" w14:paraId="6AB06646" w14:textId="77777777" w:rsidTr="00436867">
        <w:trPr>
          <w:trHeight w:hRule="exact" w:val="238"/>
          <w:jc w:val="center"/>
        </w:trPr>
        <w:tc>
          <w:tcPr>
            <w:tcW w:w="850" w:type="dxa"/>
            <w:shd w:val="clear" w:color="auto" w:fill="auto"/>
          </w:tcPr>
          <w:p w14:paraId="17AB74EB" w14:textId="77777777" w:rsidR="00376D0F" w:rsidRPr="00C72808" w:rsidRDefault="00376D0F" w:rsidP="006A1514">
            <w:pPr>
              <w:keepNext/>
              <w:keepLines/>
              <w:spacing w:before="40" w:after="40"/>
              <w:jc w:val="center"/>
              <w:rPr>
                <w:rFonts w:cs="Arial"/>
                <w:bCs/>
                <w:spacing w:val="-2"/>
                <w:sz w:val="14"/>
                <w:szCs w:val="14"/>
              </w:rPr>
            </w:pPr>
          </w:p>
        </w:tc>
        <w:tc>
          <w:tcPr>
            <w:tcW w:w="2552" w:type="dxa"/>
            <w:gridSpan w:val="2"/>
            <w:shd w:val="clear" w:color="auto" w:fill="auto"/>
          </w:tcPr>
          <w:p w14:paraId="27B1282D" w14:textId="77777777" w:rsidR="00376D0F" w:rsidRPr="00C72808" w:rsidRDefault="00376D0F" w:rsidP="006A1514">
            <w:pPr>
              <w:keepNext/>
              <w:keepLines/>
              <w:spacing w:before="40" w:after="40"/>
              <w:jc w:val="center"/>
              <w:rPr>
                <w:rFonts w:cs="Arial"/>
                <w:b/>
                <w:spacing w:val="-2"/>
                <w:sz w:val="14"/>
                <w:szCs w:val="14"/>
              </w:rPr>
            </w:pPr>
          </w:p>
        </w:tc>
        <w:tc>
          <w:tcPr>
            <w:tcW w:w="2823" w:type="dxa"/>
            <w:gridSpan w:val="2"/>
            <w:shd w:val="clear" w:color="auto" w:fill="auto"/>
          </w:tcPr>
          <w:p w14:paraId="525F00CA" w14:textId="77777777" w:rsidR="00376D0F" w:rsidRPr="00C72808" w:rsidRDefault="00376D0F" w:rsidP="006A1514">
            <w:pPr>
              <w:keepNext/>
              <w:keepLines/>
              <w:spacing w:before="40" w:after="40"/>
              <w:jc w:val="center"/>
              <w:rPr>
                <w:rFonts w:cs="Arial"/>
                <w:b/>
                <w:spacing w:val="-2"/>
                <w:sz w:val="14"/>
                <w:szCs w:val="14"/>
                <w:vertAlign w:val="superscript"/>
              </w:rPr>
            </w:pPr>
            <w:r w:rsidRPr="00C72808">
              <w:rPr>
                <w:rFonts w:cs="Arial"/>
                <w:b/>
                <w:spacing w:val="-2"/>
                <w:sz w:val="14"/>
                <w:szCs w:val="14"/>
              </w:rPr>
              <w:t>Controlador</w:t>
            </w:r>
          </w:p>
        </w:tc>
        <w:tc>
          <w:tcPr>
            <w:tcW w:w="283" w:type="dxa"/>
            <w:shd w:val="clear" w:color="auto" w:fill="auto"/>
          </w:tcPr>
          <w:p w14:paraId="21AE394D" w14:textId="77777777" w:rsidR="00376D0F" w:rsidRPr="00C72808" w:rsidRDefault="00376D0F" w:rsidP="006A1514">
            <w:pPr>
              <w:keepNext/>
              <w:keepLines/>
              <w:spacing w:before="40" w:after="40"/>
              <w:jc w:val="center"/>
              <w:rPr>
                <w:rFonts w:cs="Arial"/>
                <w:b/>
                <w:bCs/>
                <w:spacing w:val="-2"/>
                <w:sz w:val="14"/>
                <w:szCs w:val="14"/>
              </w:rPr>
            </w:pPr>
          </w:p>
        </w:tc>
        <w:tc>
          <w:tcPr>
            <w:tcW w:w="284" w:type="dxa"/>
            <w:shd w:val="clear" w:color="auto" w:fill="auto"/>
          </w:tcPr>
          <w:p w14:paraId="33D8F260" w14:textId="77777777" w:rsidR="00376D0F" w:rsidRPr="00C72808" w:rsidRDefault="00376D0F" w:rsidP="006A1514">
            <w:pPr>
              <w:keepNext/>
              <w:keepLines/>
              <w:spacing w:before="40" w:after="40"/>
              <w:jc w:val="center"/>
              <w:rPr>
                <w:rFonts w:cs="Arial"/>
                <w:b/>
                <w:spacing w:val="-2"/>
                <w:sz w:val="14"/>
                <w:szCs w:val="14"/>
              </w:rPr>
            </w:pPr>
          </w:p>
        </w:tc>
        <w:tc>
          <w:tcPr>
            <w:tcW w:w="2835" w:type="dxa"/>
            <w:gridSpan w:val="2"/>
            <w:shd w:val="clear" w:color="auto" w:fill="auto"/>
          </w:tcPr>
          <w:p w14:paraId="24D71795" w14:textId="77777777" w:rsidR="00376D0F" w:rsidRPr="00C72808" w:rsidRDefault="00376D0F" w:rsidP="006A1514">
            <w:pPr>
              <w:keepNext/>
              <w:keepLines/>
              <w:spacing w:before="40" w:after="40"/>
              <w:jc w:val="center"/>
              <w:rPr>
                <w:rFonts w:cs="Arial"/>
                <w:b/>
                <w:spacing w:val="-2"/>
                <w:sz w:val="14"/>
                <w:szCs w:val="14"/>
                <w:vertAlign w:val="superscript"/>
              </w:rPr>
            </w:pPr>
            <w:r w:rsidRPr="00C72808">
              <w:rPr>
                <w:rFonts w:cs="Arial"/>
                <w:b/>
                <w:spacing w:val="-2"/>
                <w:sz w:val="14"/>
                <w:szCs w:val="14"/>
              </w:rPr>
              <w:t>Consolidado</w:t>
            </w:r>
          </w:p>
        </w:tc>
      </w:tr>
      <w:tr w:rsidR="00376D0F" w:rsidRPr="004C6ED9" w14:paraId="11C5A5A8" w14:textId="77777777" w:rsidTr="007438BB">
        <w:trPr>
          <w:trHeight w:hRule="exact" w:val="238"/>
          <w:jc w:val="center"/>
        </w:trPr>
        <w:tc>
          <w:tcPr>
            <w:tcW w:w="3094" w:type="dxa"/>
            <w:gridSpan w:val="2"/>
            <w:tcBorders>
              <w:bottom w:val="single" w:sz="2" w:space="0" w:color="1F4E79" w:themeColor="accent1" w:themeShade="80"/>
            </w:tcBorders>
            <w:shd w:val="clear" w:color="auto" w:fill="auto"/>
          </w:tcPr>
          <w:p w14:paraId="0C507FA6" w14:textId="77777777" w:rsidR="00376D0F" w:rsidRPr="004C6ED9" w:rsidRDefault="00376D0F" w:rsidP="006A1514">
            <w:pPr>
              <w:keepNext/>
              <w:keepLines/>
              <w:spacing w:before="40" w:after="40"/>
              <w:rPr>
                <w:rFonts w:cs="Arial"/>
                <w:spacing w:val="-2"/>
                <w:sz w:val="14"/>
                <w:szCs w:val="14"/>
              </w:rPr>
            </w:pPr>
          </w:p>
        </w:tc>
        <w:tc>
          <w:tcPr>
            <w:tcW w:w="308" w:type="dxa"/>
            <w:tcBorders>
              <w:bottom w:val="single" w:sz="2" w:space="0" w:color="1F4E79" w:themeColor="accent1" w:themeShade="80"/>
            </w:tcBorders>
            <w:shd w:val="clear" w:color="auto" w:fill="auto"/>
          </w:tcPr>
          <w:p w14:paraId="073DAC38" w14:textId="77777777" w:rsidR="00376D0F" w:rsidRPr="004C6ED9" w:rsidRDefault="00376D0F" w:rsidP="006A1514">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64049A90" w14:textId="77777777" w:rsidR="00376D0F" w:rsidRPr="004C6ED9" w:rsidRDefault="00376D0F" w:rsidP="00D472D3">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w:t>
            </w:r>
            <w:r w:rsidRPr="004C6ED9">
              <w:rPr>
                <w:rFonts w:cs="Arial"/>
                <w:b/>
                <w:spacing w:val="-2"/>
                <w:sz w:val="14"/>
                <w:szCs w:val="14"/>
              </w:rPr>
              <w:t>.20</w:t>
            </w:r>
            <w:r>
              <w:rPr>
                <w:rFonts w:cs="Arial"/>
                <w:b/>
                <w:spacing w:val="-2"/>
                <w:sz w:val="14"/>
                <w:szCs w:val="14"/>
              </w:rPr>
              <w:t>21</w:t>
            </w:r>
          </w:p>
        </w:tc>
        <w:tc>
          <w:tcPr>
            <w:tcW w:w="1412" w:type="dxa"/>
            <w:tcBorders>
              <w:bottom w:val="single" w:sz="2" w:space="0" w:color="1F4E79" w:themeColor="accent1" w:themeShade="80"/>
            </w:tcBorders>
            <w:shd w:val="clear" w:color="auto" w:fill="auto"/>
          </w:tcPr>
          <w:p w14:paraId="1FAA6553" w14:textId="77777777" w:rsidR="00376D0F" w:rsidRPr="004C6ED9" w:rsidRDefault="00376D0F" w:rsidP="00046393">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20</w:t>
            </w:r>
          </w:p>
        </w:tc>
        <w:tc>
          <w:tcPr>
            <w:tcW w:w="283" w:type="dxa"/>
            <w:tcBorders>
              <w:bottom w:val="single" w:sz="2" w:space="0" w:color="1F4E79" w:themeColor="accent1" w:themeShade="80"/>
            </w:tcBorders>
            <w:shd w:val="clear" w:color="auto" w:fill="auto"/>
          </w:tcPr>
          <w:p w14:paraId="66FDE0EA" w14:textId="77777777" w:rsidR="00376D0F" w:rsidRPr="004C6ED9" w:rsidRDefault="00376D0F" w:rsidP="006A1514">
            <w:pPr>
              <w:keepNext/>
              <w:keepLines/>
              <w:spacing w:before="40" w:after="40"/>
              <w:jc w:val="right"/>
              <w:rPr>
                <w:rFonts w:cs="Arial"/>
                <w:b/>
                <w:spacing w:val="-2"/>
                <w:sz w:val="14"/>
                <w:szCs w:val="14"/>
              </w:rPr>
            </w:pPr>
          </w:p>
        </w:tc>
        <w:tc>
          <w:tcPr>
            <w:tcW w:w="284" w:type="dxa"/>
            <w:tcBorders>
              <w:bottom w:val="single" w:sz="2" w:space="0" w:color="1F4E79" w:themeColor="accent1" w:themeShade="80"/>
            </w:tcBorders>
            <w:shd w:val="clear" w:color="auto" w:fill="auto"/>
          </w:tcPr>
          <w:p w14:paraId="34AA60F4" w14:textId="77777777" w:rsidR="00376D0F" w:rsidRPr="004C6ED9" w:rsidRDefault="00376D0F" w:rsidP="006A1514">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0756325B" w14:textId="77777777" w:rsidR="00376D0F" w:rsidRPr="004C6ED9" w:rsidRDefault="00376D0F" w:rsidP="00D472D3">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12.2021</w:t>
            </w:r>
          </w:p>
        </w:tc>
        <w:tc>
          <w:tcPr>
            <w:tcW w:w="1418" w:type="dxa"/>
            <w:tcBorders>
              <w:bottom w:val="single" w:sz="2" w:space="0" w:color="1F4E79" w:themeColor="accent1" w:themeShade="80"/>
            </w:tcBorders>
            <w:shd w:val="clear" w:color="auto" w:fill="auto"/>
          </w:tcPr>
          <w:p w14:paraId="10D68C00" w14:textId="77777777" w:rsidR="00376D0F" w:rsidRPr="004C6ED9" w:rsidRDefault="00376D0F" w:rsidP="00046393">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20</w:t>
            </w:r>
          </w:p>
        </w:tc>
      </w:tr>
      <w:tr w:rsidR="00376D0F" w:rsidRPr="004C6ED9" w14:paraId="0EA83FF9" w14:textId="77777777" w:rsidTr="007438BB">
        <w:trPr>
          <w:trHeight w:hRule="exact" w:val="238"/>
          <w:jc w:val="center"/>
        </w:trPr>
        <w:tc>
          <w:tcPr>
            <w:tcW w:w="3094" w:type="dxa"/>
            <w:gridSpan w:val="2"/>
            <w:tcBorders>
              <w:bottom w:val="nil"/>
            </w:tcBorders>
            <w:shd w:val="clear" w:color="auto" w:fill="auto"/>
            <w:vAlign w:val="center"/>
          </w:tcPr>
          <w:p w14:paraId="6670E6B6" w14:textId="77777777" w:rsidR="00376D0F" w:rsidRPr="00A50A7C" w:rsidRDefault="00376D0F" w:rsidP="00046393">
            <w:pPr>
              <w:pStyle w:val="08-Tabelageral"/>
              <w:ind w:left="113"/>
              <w:jc w:val="left"/>
              <w:rPr>
                <w:rFonts w:cs="Arial"/>
                <w:b/>
                <w:szCs w:val="14"/>
                <w:vertAlign w:val="superscript"/>
              </w:rPr>
            </w:pPr>
            <w:r>
              <w:rPr>
                <w:rFonts w:cs="Arial"/>
                <w:szCs w:val="14"/>
              </w:rPr>
              <w:t xml:space="preserve">Demandas fiscais </w:t>
            </w:r>
            <w:r>
              <w:rPr>
                <w:rFonts w:cs="Arial"/>
                <w:szCs w:val="14"/>
                <w:vertAlign w:val="superscript"/>
              </w:rPr>
              <w:t>(1)</w:t>
            </w:r>
          </w:p>
        </w:tc>
        <w:tc>
          <w:tcPr>
            <w:tcW w:w="308" w:type="dxa"/>
            <w:tcBorders>
              <w:bottom w:val="nil"/>
            </w:tcBorders>
            <w:shd w:val="clear" w:color="auto" w:fill="auto"/>
          </w:tcPr>
          <w:p w14:paraId="144FB54D" w14:textId="77777777" w:rsidR="00376D0F" w:rsidRPr="004C6ED9" w:rsidRDefault="00376D0F" w:rsidP="00046393">
            <w:pPr>
              <w:pStyle w:val="08-Tabelageral"/>
              <w:rPr>
                <w:rFonts w:cs="Arial"/>
                <w:szCs w:val="14"/>
              </w:rPr>
            </w:pPr>
          </w:p>
        </w:tc>
        <w:tc>
          <w:tcPr>
            <w:tcW w:w="1411" w:type="dxa"/>
            <w:tcBorders>
              <w:bottom w:val="nil"/>
            </w:tcBorders>
            <w:shd w:val="clear" w:color="auto" w:fill="auto"/>
            <w:vAlign w:val="center"/>
          </w:tcPr>
          <w:p w14:paraId="50EB1500" w14:textId="77777777" w:rsidR="00376D0F" w:rsidRPr="004C6ED9" w:rsidRDefault="00376D0F" w:rsidP="00046393">
            <w:pPr>
              <w:pStyle w:val="08-Tabelageral"/>
              <w:rPr>
                <w:rFonts w:cs="Arial"/>
                <w:szCs w:val="14"/>
              </w:rPr>
            </w:pPr>
            <w:r>
              <w:rPr>
                <w:rFonts w:cs="Arial"/>
                <w:szCs w:val="14"/>
              </w:rPr>
              <w:t>--</w:t>
            </w:r>
          </w:p>
        </w:tc>
        <w:tc>
          <w:tcPr>
            <w:tcW w:w="1412" w:type="dxa"/>
            <w:tcBorders>
              <w:bottom w:val="nil"/>
            </w:tcBorders>
            <w:shd w:val="clear" w:color="auto" w:fill="auto"/>
            <w:vAlign w:val="center"/>
          </w:tcPr>
          <w:p w14:paraId="65918C85" w14:textId="77777777" w:rsidR="00376D0F" w:rsidRPr="004C6ED9" w:rsidRDefault="00376D0F" w:rsidP="00046393">
            <w:pPr>
              <w:pStyle w:val="08-Tabelageral"/>
              <w:rPr>
                <w:rFonts w:cs="Arial"/>
                <w:szCs w:val="14"/>
              </w:rPr>
            </w:pPr>
            <w:r>
              <w:rPr>
                <w:rFonts w:cs="Arial"/>
                <w:szCs w:val="14"/>
              </w:rPr>
              <w:t>--</w:t>
            </w:r>
          </w:p>
        </w:tc>
        <w:tc>
          <w:tcPr>
            <w:tcW w:w="283" w:type="dxa"/>
            <w:tcBorders>
              <w:bottom w:val="nil"/>
            </w:tcBorders>
            <w:shd w:val="clear" w:color="auto" w:fill="auto"/>
            <w:vAlign w:val="center"/>
          </w:tcPr>
          <w:p w14:paraId="1BC8BD42" w14:textId="77777777" w:rsidR="00376D0F" w:rsidRPr="004C6ED9" w:rsidRDefault="00376D0F" w:rsidP="00046393">
            <w:pPr>
              <w:pStyle w:val="08-Tabelageral"/>
              <w:rPr>
                <w:rFonts w:cs="Arial"/>
                <w:szCs w:val="14"/>
              </w:rPr>
            </w:pPr>
          </w:p>
        </w:tc>
        <w:tc>
          <w:tcPr>
            <w:tcW w:w="284" w:type="dxa"/>
            <w:tcBorders>
              <w:bottom w:val="nil"/>
            </w:tcBorders>
            <w:shd w:val="clear" w:color="auto" w:fill="auto"/>
            <w:vAlign w:val="center"/>
          </w:tcPr>
          <w:p w14:paraId="7F1158E0" w14:textId="77777777" w:rsidR="00376D0F" w:rsidRDefault="00376D0F" w:rsidP="00046393">
            <w:pPr>
              <w:pStyle w:val="08-Tabelageral"/>
              <w:rPr>
                <w:rFonts w:cs="Arial"/>
                <w:szCs w:val="14"/>
              </w:rPr>
            </w:pPr>
          </w:p>
        </w:tc>
        <w:tc>
          <w:tcPr>
            <w:tcW w:w="1417" w:type="dxa"/>
            <w:tcBorders>
              <w:bottom w:val="nil"/>
            </w:tcBorders>
            <w:shd w:val="clear" w:color="auto" w:fill="auto"/>
            <w:vAlign w:val="center"/>
          </w:tcPr>
          <w:p w14:paraId="578B89A7" w14:textId="77777777" w:rsidR="00376D0F" w:rsidRPr="004C6ED9" w:rsidRDefault="00376D0F" w:rsidP="00046393">
            <w:pPr>
              <w:pStyle w:val="08-Tabelageral"/>
              <w:rPr>
                <w:rFonts w:cs="Arial"/>
                <w:szCs w:val="14"/>
              </w:rPr>
            </w:pPr>
            <w:r>
              <w:rPr>
                <w:rFonts w:cs="Arial"/>
                <w:szCs w:val="14"/>
              </w:rPr>
              <w:t>240.209</w:t>
            </w:r>
          </w:p>
        </w:tc>
        <w:tc>
          <w:tcPr>
            <w:tcW w:w="1418" w:type="dxa"/>
            <w:tcBorders>
              <w:bottom w:val="nil"/>
            </w:tcBorders>
            <w:shd w:val="clear" w:color="auto" w:fill="auto"/>
            <w:vAlign w:val="center"/>
          </w:tcPr>
          <w:p w14:paraId="1F2CA44F" w14:textId="77777777" w:rsidR="00376D0F" w:rsidRPr="004C6ED9" w:rsidRDefault="00376D0F" w:rsidP="00046393">
            <w:pPr>
              <w:pStyle w:val="08-Tabelageral"/>
              <w:rPr>
                <w:rFonts w:cs="Arial"/>
                <w:szCs w:val="14"/>
              </w:rPr>
            </w:pPr>
            <w:r>
              <w:rPr>
                <w:rFonts w:cs="Arial"/>
                <w:szCs w:val="14"/>
              </w:rPr>
              <w:t>230.189</w:t>
            </w:r>
          </w:p>
        </w:tc>
      </w:tr>
      <w:tr w:rsidR="00376D0F" w:rsidRPr="004C6ED9" w14:paraId="4A545356" w14:textId="77777777" w:rsidTr="007438BB">
        <w:trPr>
          <w:trHeight w:hRule="exact" w:val="238"/>
          <w:jc w:val="center"/>
        </w:trPr>
        <w:tc>
          <w:tcPr>
            <w:tcW w:w="3094" w:type="dxa"/>
            <w:gridSpan w:val="2"/>
            <w:tcBorders>
              <w:top w:val="nil"/>
              <w:bottom w:val="nil"/>
            </w:tcBorders>
            <w:shd w:val="clear" w:color="auto" w:fill="auto"/>
            <w:vAlign w:val="center"/>
          </w:tcPr>
          <w:p w14:paraId="67AADBB1" w14:textId="77777777" w:rsidR="00376D0F" w:rsidRDefault="00376D0F" w:rsidP="00046393">
            <w:pPr>
              <w:pStyle w:val="08-Tabelageral"/>
              <w:ind w:left="113"/>
              <w:jc w:val="left"/>
              <w:rPr>
                <w:rFonts w:cs="Arial"/>
                <w:b/>
                <w:szCs w:val="14"/>
              </w:rPr>
            </w:pPr>
            <w:r>
              <w:rPr>
                <w:rFonts w:cs="Arial"/>
                <w:szCs w:val="14"/>
              </w:rPr>
              <w:t>Demandas cíveis</w:t>
            </w:r>
          </w:p>
        </w:tc>
        <w:tc>
          <w:tcPr>
            <w:tcW w:w="308" w:type="dxa"/>
            <w:tcBorders>
              <w:top w:val="nil"/>
              <w:bottom w:val="nil"/>
            </w:tcBorders>
            <w:shd w:val="clear" w:color="auto" w:fill="auto"/>
          </w:tcPr>
          <w:p w14:paraId="20BB03E6" w14:textId="77777777" w:rsidR="00376D0F" w:rsidRPr="004C6ED9" w:rsidRDefault="00376D0F" w:rsidP="00046393">
            <w:pPr>
              <w:pStyle w:val="08-Tabelageral"/>
              <w:rPr>
                <w:rFonts w:cs="Arial"/>
                <w:szCs w:val="14"/>
              </w:rPr>
            </w:pPr>
          </w:p>
        </w:tc>
        <w:tc>
          <w:tcPr>
            <w:tcW w:w="1411" w:type="dxa"/>
            <w:tcBorders>
              <w:top w:val="nil"/>
              <w:bottom w:val="nil"/>
            </w:tcBorders>
            <w:shd w:val="clear" w:color="auto" w:fill="auto"/>
            <w:vAlign w:val="center"/>
          </w:tcPr>
          <w:p w14:paraId="419145ED" w14:textId="77777777" w:rsidR="00376D0F" w:rsidRPr="004C6ED9" w:rsidRDefault="00376D0F" w:rsidP="00046393">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7D3477DA" w14:textId="77777777" w:rsidR="00376D0F" w:rsidRPr="004C6ED9" w:rsidRDefault="00376D0F" w:rsidP="00046393">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60E6CF78" w14:textId="77777777" w:rsidR="00376D0F" w:rsidRPr="004C6ED9" w:rsidRDefault="00376D0F" w:rsidP="00046393">
            <w:pPr>
              <w:pStyle w:val="08-Tabelageral"/>
              <w:rPr>
                <w:rFonts w:cs="Arial"/>
                <w:szCs w:val="14"/>
              </w:rPr>
            </w:pPr>
          </w:p>
        </w:tc>
        <w:tc>
          <w:tcPr>
            <w:tcW w:w="284" w:type="dxa"/>
            <w:tcBorders>
              <w:top w:val="nil"/>
              <w:bottom w:val="nil"/>
            </w:tcBorders>
            <w:shd w:val="clear" w:color="auto" w:fill="auto"/>
            <w:vAlign w:val="center"/>
          </w:tcPr>
          <w:p w14:paraId="11B21061" w14:textId="77777777" w:rsidR="00376D0F" w:rsidRDefault="00376D0F" w:rsidP="00046393">
            <w:pPr>
              <w:pStyle w:val="08-Tabelageral"/>
              <w:rPr>
                <w:rFonts w:cs="Arial"/>
                <w:szCs w:val="14"/>
              </w:rPr>
            </w:pPr>
          </w:p>
        </w:tc>
        <w:tc>
          <w:tcPr>
            <w:tcW w:w="1417" w:type="dxa"/>
            <w:tcBorders>
              <w:top w:val="nil"/>
              <w:bottom w:val="nil"/>
            </w:tcBorders>
            <w:shd w:val="clear" w:color="auto" w:fill="auto"/>
            <w:vAlign w:val="center"/>
          </w:tcPr>
          <w:p w14:paraId="772B0E49" w14:textId="77777777" w:rsidR="00376D0F" w:rsidRPr="004C6ED9" w:rsidRDefault="00376D0F" w:rsidP="00436867">
            <w:pPr>
              <w:pStyle w:val="08-Tabelageral"/>
              <w:rPr>
                <w:rFonts w:cs="Arial"/>
                <w:szCs w:val="14"/>
              </w:rPr>
            </w:pPr>
            <w:r>
              <w:rPr>
                <w:rFonts w:cs="Arial"/>
                <w:szCs w:val="14"/>
              </w:rPr>
              <w:t>1.580</w:t>
            </w:r>
          </w:p>
        </w:tc>
        <w:tc>
          <w:tcPr>
            <w:tcW w:w="1418" w:type="dxa"/>
            <w:tcBorders>
              <w:top w:val="nil"/>
              <w:bottom w:val="nil"/>
            </w:tcBorders>
            <w:shd w:val="clear" w:color="auto" w:fill="auto"/>
            <w:vAlign w:val="center"/>
          </w:tcPr>
          <w:p w14:paraId="49CFF770" w14:textId="77777777" w:rsidR="00376D0F" w:rsidRPr="004C6ED9" w:rsidRDefault="00376D0F" w:rsidP="00046393">
            <w:pPr>
              <w:pStyle w:val="08-Tabelageral"/>
              <w:rPr>
                <w:rFonts w:cs="Arial"/>
                <w:szCs w:val="14"/>
              </w:rPr>
            </w:pPr>
            <w:r>
              <w:rPr>
                <w:rFonts w:cs="Arial"/>
                <w:szCs w:val="14"/>
              </w:rPr>
              <w:t>2.647</w:t>
            </w:r>
          </w:p>
        </w:tc>
      </w:tr>
      <w:tr w:rsidR="00376D0F" w:rsidRPr="00225994" w14:paraId="3D208703" w14:textId="77777777" w:rsidTr="007438BB">
        <w:trPr>
          <w:trHeight w:hRule="exact" w:val="238"/>
          <w:jc w:val="center"/>
        </w:trPr>
        <w:tc>
          <w:tcPr>
            <w:tcW w:w="3094" w:type="dxa"/>
            <w:gridSpan w:val="2"/>
            <w:tcBorders>
              <w:top w:val="nil"/>
            </w:tcBorders>
            <w:shd w:val="clear" w:color="auto" w:fill="auto"/>
            <w:vAlign w:val="center"/>
          </w:tcPr>
          <w:p w14:paraId="200DE74E" w14:textId="77777777" w:rsidR="00376D0F" w:rsidRPr="00C63CE5" w:rsidRDefault="00376D0F" w:rsidP="00046393">
            <w:pPr>
              <w:keepNext/>
              <w:keepLines/>
              <w:spacing w:before="40" w:after="40"/>
              <w:rPr>
                <w:rFonts w:cs="Arial"/>
                <w:b/>
                <w:bCs/>
                <w:spacing w:val="-2"/>
                <w:sz w:val="14"/>
                <w:szCs w:val="14"/>
              </w:rPr>
            </w:pPr>
            <w:r w:rsidRPr="00C63CE5">
              <w:rPr>
                <w:rFonts w:cs="Arial"/>
                <w:b/>
                <w:spacing w:val="-2"/>
                <w:sz w:val="14"/>
                <w:szCs w:val="14"/>
              </w:rPr>
              <w:t>Total</w:t>
            </w:r>
          </w:p>
        </w:tc>
        <w:tc>
          <w:tcPr>
            <w:tcW w:w="308" w:type="dxa"/>
            <w:tcBorders>
              <w:top w:val="nil"/>
            </w:tcBorders>
            <w:shd w:val="clear" w:color="auto" w:fill="auto"/>
          </w:tcPr>
          <w:p w14:paraId="506F65BD" w14:textId="77777777" w:rsidR="00376D0F" w:rsidRPr="00C63CE5" w:rsidRDefault="00376D0F" w:rsidP="00046393">
            <w:pPr>
              <w:pStyle w:val="08-Tabelageral"/>
              <w:rPr>
                <w:rFonts w:cs="Arial"/>
                <w:b/>
                <w:szCs w:val="14"/>
              </w:rPr>
            </w:pPr>
          </w:p>
        </w:tc>
        <w:tc>
          <w:tcPr>
            <w:tcW w:w="1411" w:type="dxa"/>
            <w:tcBorders>
              <w:top w:val="nil"/>
            </w:tcBorders>
            <w:shd w:val="clear" w:color="auto" w:fill="auto"/>
            <w:vAlign w:val="center"/>
          </w:tcPr>
          <w:p w14:paraId="5C9EEBA9" w14:textId="77777777" w:rsidR="00376D0F" w:rsidRPr="00C63CE5" w:rsidRDefault="00376D0F" w:rsidP="00046393">
            <w:pPr>
              <w:pStyle w:val="08-Tabelageral"/>
              <w:rPr>
                <w:rFonts w:cs="Arial"/>
                <w:b/>
                <w:szCs w:val="14"/>
              </w:rPr>
            </w:pPr>
            <w:r>
              <w:rPr>
                <w:rFonts w:cs="Arial"/>
                <w:b/>
                <w:szCs w:val="14"/>
              </w:rPr>
              <w:t>--</w:t>
            </w:r>
          </w:p>
        </w:tc>
        <w:tc>
          <w:tcPr>
            <w:tcW w:w="1412" w:type="dxa"/>
            <w:tcBorders>
              <w:top w:val="nil"/>
            </w:tcBorders>
            <w:shd w:val="clear" w:color="auto" w:fill="auto"/>
            <w:vAlign w:val="center"/>
          </w:tcPr>
          <w:p w14:paraId="57C390BA" w14:textId="77777777" w:rsidR="00376D0F" w:rsidRPr="00C63CE5" w:rsidRDefault="00376D0F" w:rsidP="00046393">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049423B7" w14:textId="77777777" w:rsidR="00376D0F" w:rsidRPr="00C63CE5" w:rsidRDefault="00376D0F" w:rsidP="00046393">
            <w:pPr>
              <w:pStyle w:val="08-Tabelageral"/>
              <w:rPr>
                <w:rFonts w:cs="Arial"/>
                <w:b/>
                <w:szCs w:val="14"/>
              </w:rPr>
            </w:pPr>
          </w:p>
        </w:tc>
        <w:tc>
          <w:tcPr>
            <w:tcW w:w="284" w:type="dxa"/>
            <w:tcBorders>
              <w:top w:val="nil"/>
            </w:tcBorders>
            <w:shd w:val="clear" w:color="auto" w:fill="auto"/>
            <w:vAlign w:val="center"/>
          </w:tcPr>
          <w:p w14:paraId="422AC56C" w14:textId="77777777" w:rsidR="00376D0F" w:rsidRPr="00C63CE5" w:rsidRDefault="00376D0F" w:rsidP="00046393">
            <w:pPr>
              <w:pStyle w:val="08-Tabelageral"/>
              <w:rPr>
                <w:rFonts w:cs="Arial"/>
                <w:b/>
                <w:szCs w:val="14"/>
              </w:rPr>
            </w:pPr>
          </w:p>
        </w:tc>
        <w:tc>
          <w:tcPr>
            <w:tcW w:w="1417" w:type="dxa"/>
            <w:tcBorders>
              <w:top w:val="nil"/>
            </w:tcBorders>
            <w:shd w:val="clear" w:color="auto" w:fill="auto"/>
            <w:vAlign w:val="center"/>
          </w:tcPr>
          <w:p w14:paraId="7DE4A4EF" w14:textId="77777777" w:rsidR="00376D0F" w:rsidRPr="00C63CE5" w:rsidRDefault="00376D0F" w:rsidP="00046393">
            <w:pPr>
              <w:pStyle w:val="08-Tabelageral"/>
              <w:rPr>
                <w:rFonts w:cs="Arial"/>
                <w:b/>
                <w:szCs w:val="14"/>
              </w:rPr>
            </w:pPr>
            <w:r>
              <w:rPr>
                <w:rFonts w:cs="Arial"/>
                <w:b/>
                <w:szCs w:val="14"/>
              </w:rPr>
              <w:t>241.789</w:t>
            </w:r>
          </w:p>
        </w:tc>
        <w:tc>
          <w:tcPr>
            <w:tcW w:w="1418" w:type="dxa"/>
            <w:tcBorders>
              <w:top w:val="nil"/>
            </w:tcBorders>
            <w:shd w:val="clear" w:color="auto" w:fill="auto"/>
            <w:vAlign w:val="center"/>
          </w:tcPr>
          <w:p w14:paraId="479869D2" w14:textId="77777777" w:rsidR="00376D0F" w:rsidRPr="00225994" w:rsidRDefault="00376D0F" w:rsidP="00046393">
            <w:pPr>
              <w:pStyle w:val="08-Tabelageral"/>
              <w:rPr>
                <w:rFonts w:cs="Arial"/>
                <w:b/>
                <w:szCs w:val="14"/>
              </w:rPr>
            </w:pPr>
            <w:r w:rsidRPr="00C63CE5">
              <w:rPr>
                <w:rFonts w:cs="Arial"/>
                <w:b/>
                <w:szCs w:val="14"/>
              </w:rPr>
              <w:t>232.836</w:t>
            </w:r>
          </w:p>
        </w:tc>
      </w:tr>
    </w:tbl>
    <w:p w14:paraId="23E8633F" w14:textId="77777777" w:rsidR="00376D0F" w:rsidRDefault="00376D0F" w:rsidP="00AB6E2F">
      <w:pPr>
        <w:pStyle w:val="07-Legenda"/>
        <w:rPr>
          <w:rFonts w:cs="Arial"/>
          <w:color w:val="00000A"/>
        </w:rPr>
      </w:pPr>
      <w:r w:rsidRPr="00DC29B0">
        <w:rPr>
          <w:rFonts w:cs="Arial"/>
        </w:rPr>
        <w:t>(1)</w:t>
      </w:r>
      <w:r w:rsidRPr="00DC29B0">
        <w:rPr>
          <w:rFonts w:cs="Arial"/>
        </w:rPr>
        <w:tab/>
        <w:t>Refere-se</w:t>
      </w:r>
      <w:r>
        <w:rPr>
          <w:rFonts w:cs="Arial"/>
        </w:rPr>
        <w:t xml:space="preserve">, principalmente, </w:t>
      </w:r>
      <w:r w:rsidRPr="00DC29B0">
        <w:rPr>
          <w:rFonts w:cs="Arial"/>
        </w:rPr>
        <w:t>à ação judicial de natureza fiscal</w:t>
      </w:r>
      <w:r>
        <w:rPr>
          <w:rFonts w:cs="Arial"/>
        </w:rPr>
        <w:t xml:space="preserve"> de autoria da BB Corretora</w:t>
      </w:r>
      <w:r w:rsidRPr="00DC29B0">
        <w:rPr>
          <w:rFonts w:cs="Arial"/>
        </w:rPr>
        <w:t xml:space="preserve"> com o objetivo de anular decisão administrativa que não homologou declarações de compensação de saldos negativos de IRPJ com diversos tributos próprios. </w:t>
      </w:r>
      <w:r>
        <w:rPr>
          <w:rFonts w:cs="Arial"/>
        </w:rPr>
        <w:t>Existe d</w:t>
      </w:r>
      <w:r w:rsidRPr="00DC29B0">
        <w:rPr>
          <w:rFonts w:cs="Arial"/>
          <w:color w:val="00000A"/>
        </w:rPr>
        <w:t xml:space="preserve">epósito </w:t>
      </w:r>
      <w:r>
        <w:rPr>
          <w:rFonts w:cs="Arial"/>
          <w:color w:val="00000A"/>
        </w:rPr>
        <w:t>em garantia para a ação mencionada conforme demonstrado no item que trata dos DEPÓSITOS EM GARANTIA DE RECURSOS.</w:t>
      </w:r>
    </w:p>
    <w:p w14:paraId="2534239B" w14:textId="77777777" w:rsidR="00376D0F" w:rsidRPr="0042107F" w:rsidRDefault="00376D0F" w:rsidP="00E250A2">
      <w:pPr>
        <w:pStyle w:val="05-Textonormal"/>
        <w:rPr>
          <w:rFonts w:cs="Arial"/>
          <w:b/>
          <w:color w:val="000000" w:themeColor="text1"/>
        </w:rPr>
      </w:pPr>
      <w:r w:rsidRPr="00FA3DAB">
        <w:rPr>
          <w:rFonts w:cs="Arial"/>
          <w:color w:val="000000" w:themeColor="text1"/>
        </w:rPr>
        <w:t>A BB Seguridade não possui passivos contingentes de suas investidas compartilhados com outros acionistas das investidas e não</w:t>
      </w:r>
      <w:r>
        <w:rPr>
          <w:rFonts w:cs="Arial"/>
          <w:color w:val="000000" w:themeColor="text1"/>
        </w:rPr>
        <w:t xml:space="preserve"> é responsável solidariamente</w:t>
      </w:r>
      <w:r w:rsidRPr="00FA3DAB">
        <w:rPr>
          <w:rFonts w:cs="Arial"/>
          <w:color w:val="000000" w:themeColor="text1"/>
        </w:rPr>
        <w:t xml:space="preserve"> por todos ou parte dos passivos de suas investidas.</w:t>
      </w:r>
    </w:p>
    <w:p w14:paraId="5C46C23B" w14:textId="77777777" w:rsidR="00376D0F" w:rsidRPr="00C72808" w:rsidRDefault="00376D0F" w:rsidP="00C72808">
      <w:pPr>
        <w:pStyle w:val="04-TtuloNegrito"/>
        <w:keepNext/>
        <w:rPr>
          <w:rFonts w:cs="Arial"/>
          <w:color w:val="1F4E79" w:themeColor="accent1" w:themeShade="80"/>
          <w:sz w:val="18"/>
          <w:szCs w:val="18"/>
        </w:rPr>
      </w:pPr>
      <w:r w:rsidRPr="00C72808">
        <w:rPr>
          <w:rFonts w:cs="Arial"/>
          <w:color w:val="1F4E79" w:themeColor="accent1" w:themeShade="80"/>
          <w:sz w:val="18"/>
          <w:szCs w:val="18"/>
        </w:rPr>
        <w:t>DEPÓSITOS EM GARANTIA DE RECURSOS</w:t>
      </w:r>
    </w:p>
    <w:p w14:paraId="219631DE" w14:textId="77777777" w:rsidR="00376D0F" w:rsidRDefault="00376D0F" w:rsidP="00E250A2">
      <w:pPr>
        <w:pStyle w:val="05-Textonormal"/>
      </w:pPr>
      <w: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1A03E2B9" w14:textId="77777777" w:rsidR="00376D0F" w:rsidRPr="00C72808" w:rsidRDefault="00376D0F" w:rsidP="00E250A2">
      <w:pPr>
        <w:pStyle w:val="04-TtuloNegrito"/>
        <w:keepNext/>
        <w:rPr>
          <w:rFonts w:cs="Arial"/>
          <w:color w:val="1F4E79" w:themeColor="accent1" w:themeShade="80"/>
          <w:sz w:val="18"/>
          <w:szCs w:val="18"/>
        </w:rPr>
      </w:pPr>
      <w:r w:rsidRPr="00C72808">
        <w:rPr>
          <w:rFonts w:cs="Arial"/>
          <w:color w:val="1F4E79" w:themeColor="accent1" w:themeShade="80"/>
          <w:sz w:val="18"/>
          <w:szCs w:val="18"/>
        </w:rPr>
        <w:t>Saldos dos depósitos em garantia constituídos para as provisões e passivos contingentes</w:t>
      </w:r>
    </w:p>
    <w:p w14:paraId="221D9B37" w14:textId="77777777" w:rsidR="00376D0F" w:rsidRPr="004C6ED9" w:rsidRDefault="00376D0F" w:rsidP="00A50A7C">
      <w:pPr>
        <w:pStyle w:val="01-TtulodeNota"/>
        <w:spacing w:before="0" w:after="0"/>
        <w:jc w:val="right"/>
        <w:rPr>
          <w:sz w:val="14"/>
          <w:szCs w:val="14"/>
        </w:rPr>
      </w:pPr>
      <w:r w:rsidRPr="004C6ED9">
        <w:rPr>
          <w:sz w:val="14"/>
          <w:szCs w:val="14"/>
        </w:rPr>
        <w:t>R$ mil</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76D0F" w:rsidRPr="00AA26A4" w14:paraId="274409A9" w14:textId="77777777" w:rsidTr="00FF2A4D">
        <w:trPr>
          <w:trHeight w:hRule="exact" w:val="238"/>
        </w:trPr>
        <w:tc>
          <w:tcPr>
            <w:tcW w:w="850" w:type="dxa"/>
            <w:tcBorders>
              <w:bottom w:val="nil"/>
            </w:tcBorders>
            <w:shd w:val="clear" w:color="auto" w:fill="auto"/>
          </w:tcPr>
          <w:p w14:paraId="64D855CF" w14:textId="77777777" w:rsidR="00376D0F" w:rsidRPr="00AA26A4" w:rsidRDefault="00376D0F" w:rsidP="006A1514">
            <w:pPr>
              <w:keepNext/>
              <w:keepLines/>
              <w:spacing w:before="40" w:after="40"/>
              <w:jc w:val="center"/>
              <w:rPr>
                <w:rFonts w:cs="Arial"/>
                <w:bCs/>
                <w:spacing w:val="-2"/>
                <w:sz w:val="14"/>
                <w:szCs w:val="14"/>
              </w:rPr>
            </w:pPr>
          </w:p>
        </w:tc>
        <w:tc>
          <w:tcPr>
            <w:tcW w:w="2848" w:type="dxa"/>
            <w:gridSpan w:val="2"/>
            <w:tcBorders>
              <w:bottom w:val="nil"/>
            </w:tcBorders>
            <w:shd w:val="clear" w:color="auto" w:fill="auto"/>
          </w:tcPr>
          <w:p w14:paraId="5A60D551" w14:textId="77777777" w:rsidR="00376D0F" w:rsidRPr="00AA26A4" w:rsidRDefault="00376D0F" w:rsidP="006A1514">
            <w:pPr>
              <w:keepNext/>
              <w:keepLines/>
              <w:spacing w:before="40" w:after="40"/>
              <w:jc w:val="center"/>
              <w:rPr>
                <w:rFonts w:cs="Arial"/>
                <w:b/>
                <w:spacing w:val="-2"/>
                <w:sz w:val="14"/>
                <w:szCs w:val="14"/>
              </w:rPr>
            </w:pPr>
          </w:p>
        </w:tc>
        <w:tc>
          <w:tcPr>
            <w:tcW w:w="2823" w:type="dxa"/>
            <w:gridSpan w:val="2"/>
            <w:shd w:val="clear" w:color="auto" w:fill="auto"/>
          </w:tcPr>
          <w:p w14:paraId="4FE46C93" w14:textId="77777777" w:rsidR="00376D0F" w:rsidRPr="00AA26A4" w:rsidRDefault="00376D0F" w:rsidP="006A1514">
            <w:pPr>
              <w:keepNext/>
              <w:keepLines/>
              <w:spacing w:before="40" w:after="40"/>
              <w:jc w:val="center"/>
              <w:rPr>
                <w:rFonts w:cs="Arial"/>
                <w:b/>
                <w:spacing w:val="-2"/>
                <w:sz w:val="14"/>
                <w:szCs w:val="14"/>
                <w:vertAlign w:val="superscript"/>
              </w:rPr>
            </w:pPr>
            <w:r w:rsidRPr="00AA26A4">
              <w:rPr>
                <w:rFonts w:cs="Arial"/>
                <w:b/>
                <w:spacing w:val="-2"/>
                <w:sz w:val="14"/>
                <w:szCs w:val="14"/>
              </w:rPr>
              <w:t>Controlador</w:t>
            </w:r>
          </w:p>
        </w:tc>
        <w:tc>
          <w:tcPr>
            <w:tcW w:w="283" w:type="dxa"/>
            <w:shd w:val="clear" w:color="auto" w:fill="auto"/>
          </w:tcPr>
          <w:p w14:paraId="09262FAD" w14:textId="77777777" w:rsidR="00376D0F" w:rsidRPr="00AA26A4" w:rsidRDefault="00376D0F" w:rsidP="006A1514">
            <w:pPr>
              <w:keepNext/>
              <w:keepLines/>
              <w:spacing w:before="40" w:after="40"/>
              <w:jc w:val="center"/>
              <w:rPr>
                <w:rFonts w:cs="Arial"/>
                <w:b/>
                <w:bCs/>
                <w:spacing w:val="-2"/>
                <w:sz w:val="14"/>
                <w:szCs w:val="14"/>
              </w:rPr>
            </w:pPr>
          </w:p>
        </w:tc>
        <w:tc>
          <w:tcPr>
            <w:tcW w:w="2835" w:type="dxa"/>
            <w:gridSpan w:val="2"/>
            <w:shd w:val="clear" w:color="auto" w:fill="auto"/>
          </w:tcPr>
          <w:p w14:paraId="18FFC562" w14:textId="77777777" w:rsidR="00376D0F" w:rsidRPr="00AA26A4" w:rsidRDefault="00376D0F" w:rsidP="006A1514">
            <w:pPr>
              <w:keepNext/>
              <w:keepLines/>
              <w:spacing w:before="40" w:after="40"/>
              <w:jc w:val="center"/>
              <w:rPr>
                <w:rFonts w:cs="Arial"/>
                <w:b/>
                <w:spacing w:val="-2"/>
                <w:sz w:val="14"/>
                <w:szCs w:val="14"/>
                <w:vertAlign w:val="superscript"/>
              </w:rPr>
            </w:pPr>
            <w:r w:rsidRPr="00AA26A4">
              <w:rPr>
                <w:rFonts w:cs="Arial"/>
                <w:b/>
                <w:spacing w:val="-2"/>
                <w:sz w:val="14"/>
                <w:szCs w:val="14"/>
              </w:rPr>
              <w:t>Consolidado</w:t>
            </w:r>
          </w:p>
        </w:tc>
      </w:tr>
      <w:tr w:rsidR="00376D0F" w:rsidRPr="004C6ED9" w14:paraId="6D9AAD7F" w14:textId="77777777" w:rsidTr="0042107F">
        <w:trPr>
          <w:trHeight w:hRule="exact" w:val="238"/>
        </w:trPr>
        <w:tc>
          <w:tcPr>
            <w:tcW w:w="3094" w:type="dxa"/>
            <w:gridSpan w:val="2"/>
            <w:tcBorders>
              <w:top w:val="nil"/>
              <w:bottom w:val="single" w:sz="2" w:space="0" w:color="1F4E79" w:themeColor="accent1" w:themeShade="80"/>
            </w:tcBorders>
            <w:shd w:val="clear" w:color="auto" w:fill="auto"/>
          </w:tcPr>
          <w:p w14:paraId="78334FB0" w14:textId="77777777" w:rsidR="00376D0F" w:rsidRPr="004C6ED9" w:rsidRDefault="00376D0F" w:rsidP="006A1514">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63851516" w14:textId="77777777" w:rsidR="00376D0F" w:rsidRPr="004C6ED9" w:rsidRDefault="00376D0F" w:rsidP="006A1514">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0386DA77" w14:textId="77777777" w:rsidR="00376D0F" w:rsidRPr="004C6ED9" w:rsidRDefault="00376D0F" w:rsidP="00D472D3">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w:t>
            </w:r>
            <w:r w:rsidRPr="004C6ED9">
              <w:rPr>
                <w:rFonts w:cs="Arial"/>
                <w:b/>
                <w:spacing w:val="-2"/>
                <w:sz w:val="14"/>
                <w:szCs w:val="14"/>
              </w:rPr>
              <w:t>.20</w:t>
            </w:r>
            <w:r>
              <w:rPr>
                <w:rFonts w:cs="Arial"/>
                <w:b/>
                <w:spacing w:val="-2"/>
                <w:sz w:val="14"/>
                <w:szCs w:val="14"/>
              </w:rPr>
              <w:t>21</w:t>
            </w:r>
          </w:p>
        </w:tc>
        <w:tc>
          <w:tcPr>
            <w:tcW w:w="1412" w:type="dxa"/>
            <w:tcBorders>
              <w:bottom w:val="single" w:sz="2" w:space="0" w:color="1F4E79" w:themeColor="accent1" w:themeShade="80"/>
            </w:tcBorders>
            <w:shd w:val="clear" w:color="auto" w:fill="auto"/>
          </w:tcPr>
          <w:p w14:paraId="6777C92A" w14:textId="77777777" w:rsidR="00376D0F" w:rsidRPr="004C6ED9" w:rsidRDefault="00376D0F" w:rsidP="00046393">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20</w:t>
            </w:r>
          </w:p>
        </w:tc>
        <w:tc>
          <w:tcPr>
            <w:tcW w:w="283" w:type="dxa"/>
            <w:tcBorders>
              <w:bottom w:val="single" w:sz="2" w:space="0" w:color="1F4E79" w:themeColor="accent1" w:themeShade="80"/>
            </w:tcBorders>
            <w:shd w:val="clear" w:color="auto" w:fill="auto"/>
          </w:tcPr>
          <w:p w14:paraId="796D4A76" w14:textId="77777777" w:rsidR="00376D0F" w:rsidRPr="004C6ED9" w:rsidRDefault="00376D0F" w:rsidP="006A1514">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70CE9AE2" w14:textId="77777777" w:rsidR="00376D0F" w:rsidRPr="004C6ED9" w:rsidRDefault="00376D0F" w:rsidP="00D472D3">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1</w:t>
            </w:r>
            <w:r w:rsidRPr="004C6ED9">
              <w:rPr>
                <w:rFonts w:cs="Arial"/>
                <w:b/>
                <w:spacing w:val="-2"/>
                <w:sz w:val="14"/>
                <w:szCs w:val="14"/>
              </w:rPr>
              <w:t>.</w:t>
            </w:r>
            <w:r>
              <w:rPr>
                <w:rFonts w:cs="Arial"/>
                <w:b/>
                <w:spacing w:val="-2"/>
                <w:sz w:val="14"/>
                <w:szCs w:val="14"/>
              </w:rPr>
              <w:t>12</w:t>
            </w:r>
            <w:r w:rsidRPr="004C6ED9">
              <w:rPr>
                <w:rFonts w:cs="Arial"/>
                <w:b/>
                <w:spacing w:val="-2"/>
                <w:sz w:val="14"/>
                <w:szCs w:val="14"/>
              </w:rPr>
              <w:t>.20</w:t>
            </w:r>
            <w:r>
              <w:rPr>
                <w:rFonts w:cs="Arial"/>
                <w:b/>
                <w:spacing w:val="-2"/>
                <w:sz w:val="14"/>
                <w:szCs w:val="14"/>
              </w:rPr>
              <w:t>21</w:t>
            </w:r>
          </w:p>
        </w:tc>
        <w:tc>
          <w:tcPr>
            <w:tcW w:w="1418" w:type="dxa"/>
            <w:tcBorders>
              <w:bottom w:val="single" w:sz="2" w:space="0" w:color="1F4E79" w:themeColor="accent1" w:themeShade="80"/>
            </w:tcBorders>
            <w:shd w:val="clear" w:color="auto" w:fill="auto"/>
          </w:tcPr>
          <w:p w14:paraId="4118C06B" w14:textId="77777777" w:rsidR="00376D0F" w:rsidRPr="004C6ED9" w:rsidRDefault="00376D0F" w:rsidP="00046393">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20</w:t>
            </w:r>
          </w:p>
        </w:tc>
      </w:tr>
      <w:tr w:rsidR="00376D0F" w:rsidRPr="004C6ED9" w14:paraId="1B484BF4" w14:textId="77777777" w:rsidTr="0042107F">
        <w:trPr>
          <w:trHeight w:hRule="exact" w:val="238"/>
        </w:trPr>
        <w:tc>
          <w:tcPr>
            <w:tcW w:w="3094" w:type="dxa"/>
            <w:gridSpan w:val="2"/>
            <w:tcBorders>
              <w:bottom w:val="nil"/>
            </w:tcBorders>
            <w:shd w:val="clear" w:color="auto" w:fill="auto"/>
          </w:tcPr>
          <w:p w14:paraId="61FEDF2A" w14:textId="77777777" w:rsidR="00376D0F" w:rsidRPr="004C6ED9" w:rsidRDefault="00376D0F" w:rsidP="0099535E">
            <w:pPr>
              <w:pStyle w:val="08-Tabelageral"/>
              <w:ind w:left="113"/>
              <w:jc w:val="left"/>
              <w:rPr>
                <w:rFonts w:cs="Arial"/>
                <w:b/>
                <w:szCs w:val="14"/>
              </w:rPr>
            </w:pPr>
            <w:r>
              <w:rPr>
                <w:rFonts w:cs="Arial"/>
                <w:szCs w:val="14"/>
              </w:rPr>
              <w:t>Demandas trabalhistas</w:t>
            </w:r>
          </w:p>
        </w:tc>
        <w:tc>
          <w:tcPr>
            <w:tcW w:w="604" w:type="dxa"/>
            <w:tcBorders>
              <w:bottom w:val="nil"/>
            </w:tcBorders>
            <w:shd w:val="clear" w:color="auto" w:fill="auto"/>
          </w:tcPr>
          <w:p w14:paraId="09C43C2E" w14:textId="77777777" w:rsidR="00376D0F" w:rsidRPr="004C6ED9" w:rsidRDefault="00376D0F" w:rsidP="0099535E">
            <w:pPr>
              <w:pStyle w:val="08-Tabelageral"/>
              <w:rPr>
                <w:rFonts w:cs="Arial"/>
                <w:szCs w:val="14"/>
              </w:rPr>
            </w:pPr>
          </w:p>
        </w:tc>
        <w:tc>
          <w:tcPr>
            <w:tcW w:w="1411" w:type="dxa"/>
            <w:tcBorders>
              <w:bottom w:val="nil"/>
            </w:tcBorders>
            <w:shd w:val="clear" w:color="auto" w:fill="auto"/>
          </w:tcPr>
          <w:p w14:paraId="48457618" w14:textId="77777777" w:rsidR="00376D0F" w:rsidRPr="004C6ED9" w:rsidRDefault="00376D0F" w:rsidP="0099535E">
            <w:pPr>
              <w:pStyle w:val="08-Tabelageral"/>
              <w:rPr>
                <w:rFonts w:cs="Arial"/>
                <w:szCs w:val="14"/>
              </w:rPr>
            </w:pPr>
            <w:r>
              <w:rPr>
                <w:rFonts w:cs="Arial"/>
                <w:szCs w:val="14"/>
              </w:rPr>
              <w:t>--</w:t>
            </w:r>
          </w:p>
        </w:tc>
        <w:tc>
          <w:tcPr>
            <w:tcW w:w="1412" w:type="dxa"/>
            <w:tcBorders>
              <w:bottom w:val="nil"/>
            </w:tcBorders>
            <w:shd w:val="clear" w:color="auto" w:fill="auto"/>
          </w:tcPr>
          <w:p w14:paraId="2BD05834" w14:textId="77777777" w:rsidR="00376D0F" w:rsidRPr="004C6ED9" w:rsidRDefault="00376D0F" w:rsidP="0099535E">
            <w:pPr>
              <w:pStyle w:val="08-Tabelageral"/>
              <w:rPr>
                <w:rFonts w:cs="Arial"/>
                <w:szCs w:val="14"/>
              </w:rPr>
            </w:pPr>
            <w:r>
              <w:rPr>
                <w:rFonts w:cs="Arial"/>
                <w:szCs w:val="14"/>
              </w:rPr>
              <w:t>--</w:t>
            </w:r>
          </w:p>
        </w:tc>
        <w:tc>
          <w:tcPr>
            <w:tcW w:w="283" w:type="dxa"/>
            <w:tcBorders>
              <w:bottom w:val="nil"/>
            </w:tcBorders>
            <w:shd w:val="clear" w:color="auto" w:fill="auto"/>
          </w:tcPr>
          <w:p w14:paraId="72D4826D" w14:textId="77777777" w:rsidR="00376D0F" w:rsidRPr="004C6ED9" w:rsidRDefault="00376D0F" w:rsidP="0099535E">
            <w:pPr>
              <w:pStyle w:val="08-Tabelageral"/>
              <w:rPr>
                <w:rFonts w:cs="Arial"/>
                <w:szCs w:val="14"/>
              </w:rPr>
            </w:pPr>
          </w:p>
        </w:tc>
        <w:tc>
          <w:tcPr>
            <w:tcW w:w="1417" w:type="dxa"/>
            <w:tcBorders>
              <w:bottom w:val="nil"/>
            </w:tcBorders>
            <w:shd w:val="clear" w:color="auto" w:fill="auto"/>
            <w:vAlign w:val="bottom"/>
          </w:tcPr>
          <w:p w14:paraId="5D9C90FF" w14:textId="77777777" w:rsidR="00376D0F" w:rsidRPr="004C6ED9" w:rsidRDefault="00376D0F" w:rsidP="0099535E">
            <w:pPr>
              <w:pStyle w:val="08-Tabelageral"/>
              <w:rPr>
                <w:rFonts w:cs="Arial"/>
                <w:szCs w:val="14"/>
              </w:rPr>
            </w:pPr>
            <w:r>
              <w:rPr>
                <w:rFonts w:cs="Arial"/>
                <w:szCs w:val="14"/>
              </w:rPr>
              <w:t>52</w:t>
            </w:r>
          </w:p>
        </w:tc>
        <w:tc>
          <w:tcPr>
            <w:tcW w:w="1418" w:type="dxa"/>
            <w:tcBorders>
              <w:bottom w:val="nil"/>
            </w:tcBorders>
            <w:shd w:val="clear" w:color="auto" w:fill="auto"/>
          </w:tcPr>
          <w:p w14:paraId="5A737B26" w14:textId="77777777" w:rsidR="00376D0F" w:rsidRPr="004C6ED9" w:rsidRDefault="00376D0F" w:rsidP="0099535E">
            <w:pPr>
              <w:pStyle w:val="08-Tabelageral"/>
              <w:rPr>
                <w:rFonts w:cs="Arial"/>
                <w:szCs w:val="14"/>
              </w:rPr>
            </w:pPr>
            <w:r>
              <w:rPr>
                <w:rFonts w:cs="Arial"/>
                <w:szCs w:val="14"/>
              </w:rPr>
              <w:t>50</w:t>
            </w:r>
          </w:p>
        </w:tc>
      </w:tr>
      <w:tr w:rsidR="00376D0F" w:rsidRPr="00C63CE5" w14:paraId="6223397E" w14:textId="77777777" w:rsidTr="0042107F">
        <w:trPr>
          <w:trHeight w:hRule="exact" w:val="238"/>
        </w:trPr>
        <w:tc>
          <w:tcPr>
            <w:tcW w:w="3094" w:type="dxa"/>
            <w:gridSpan w:val="2"/>
            <w:tcBorders>
              <w:top w:val="nil"/>
              <w:bottom w:val="nil"/>
            </w:tcBorders>
            <w:shd w:val="clear" w:color="auto" w:fill="auto"/>
          </w:tcPr>
          <w:p w14:paraId="3F969FBD" w14:textId="77777777" w:rsidR="00376D0F" w:rsidRPr="00C63CE5" w:rsidRDefault="00376D0F" w:rsidP="0099535E">
            <w:pPr>
              <w:pStyle w:val="08-Tabelageral"/>
              <w:ind w:left="113"/>
              <w:jc w:val="left"/>
              <w:rPr>
                <w:rFonts w:cs="Arial"/>
                <w:b/>
                <w:szCs w:val="14"/>
                <w:vertAlign w:val="superscript"/>
              </w:rPr>
            </w:pPr>
            <w:r w:rsidRPr="00C63CE5">
              <w:rPr>
                <w:rFonts w:cs="Arial"/>
                <w:szCs w:val="14"/>
              </w:rPr>
              <w:t xml:space="preserve">Demandas fiscais </w:t>
            </w:r>
            <w:r w:rsidRPr="00C63CE5">
              <w:rPr>
                <w:rFonts w:cs="Arial"/>
                <w:szCs w:val="14"/>
                <w:vertAlign w:val="superscript"/>
              </w:rPr>
              <w:t>(1)</w:t>
            </w:r>
          </w:p>
        </w:tc>
        <w:tc>
          <w:tcPr>
            <w:tcW w:w="604" w:type="dxa"/>
            <w:tcBorders>
              <w:top w:val="nil"/>
              <w:bottom w:val="nil"/>
            </w:tcBorders>
            <w:shd w:val="clear" w:color="auto" w:fill="auto"/>
          </w:tcPr>
          <w:p w14:paraId="107AF62C" w14:textId="77777777" w:rsidR="00376D0F" w:rsidRPr="00C63CE5" w:rsidRDefault="00376D0F" w:rsidP="0099535E">
            <w:pPr>
              <w:pStyle w:val="08-Tabelageral"/>
              <w:rPr>
                <w:rFonts w:cs="Arial"/>
                <w:szCs w:val="14"/>
              </w:rPr>
            </w:pPr>
          </w:p>
        </w:tc>
        <w:tc>
          <w:tcPr>
            <w:tcW w:w="1411" w:type="dxa"/>
            <w:tcBorders>
              <w:top w:val="nil"/>
              <w:bottom w:val="nil"/>
            </w:tcBorders>
            <w:shd w:val="clear" w:color="auto" w:fill="auto"/>
          </w:tcPr>
          <w:p w14:paraId="5842A7A9" w14:textId="77777777" w:rsidR="00376D0F" w:rsidRPr="00C63CE5" w:rsidRDefault="00376D0F" w:rsidP="0099535E">
            <w:pPr>
              <w:pStyle w:val="08-Tabelageral"/>
              <w:rPr>
                <w:rFonts w:cs="Arial"/>
                <w:szCs w:val="14"/>
              </w:rPr>
            </w:pPr>
            <w:r>
              <w:rPr>
                <w:rFonts w:cs="Arial"/>
                <w:szCs w:val="14"/>
              </w:rPr>
              <w:t>--</w:t>
            </w:r>
          </w:p>
        </w:tc>
        <w:tc>
          <w:tcPr>
            <w:tcW w:w="1412" w:type="dxa"/>
            <w:tcBorders>
              <w:top w:val="nil"/>
              <w:bottom w:val="nil"/>
            </w:tcBorders>
            <w:shd w:val="clear" w:color="auto" w:fill="auto"/>
          </w:tcPr>
          <w:p w14:paraId="1026E8A5" w14:textId="77777777" w:rsidR="00376D0F" w:rsidRPr="00C63CE5" w:rsidRDefault="00376D0F" w:rsidP="0099535E">
            <w:pPr>
              <w:pStyle w:val="08-Tabelageral"/>
              <w:rPr>
                <w:rFonts w:cs="Arial"/>
                <w:szCs w:val="14"/>
              </w:rPr>
            </w:pPr>
            <w:r w:rsidRPr="00C63CE5">
              <w:rPr>
                <w:rFonts w:cs="Arial"/>
                <w:szCs w:val="14"/>
              </w:rPr>
              <w:t>--</w:t>
            </w:r>
          </w:p>
        </w:tc>
        <w:tc>
          <w:tcPr>
            <w:tcW w:w="283" w:type="dxa"/>
            <w:tcBorders>
              <w:top w:val="nil"/>
              <w:bottom w:val="nil"/>
            </w:tcBorders>
            <w:shd w:val="clear" w:color="auto" w:fill="auto"/>
          </w:tcPr>
          <w:p w14:paraId="3FB7CB26" w14:textId="77777777" w:rsidR="00376D0F" w:rsidRPr="00C63CE5" w:rsidRDefault="00376D0F" w:rsidP="0099535E">
            <w:pPr>
              <w:pStyle w:val="08-Tabelageral"/>
              <w:rPr>
                <w:rFonts w:cs="Arial"/>
                <w:szCs w:val="14"/>
              </w:rPr>
            </w:pPr>
          </w:p>
        </w:tc>
        <w:tc>
          <w:tcPr>
            <w:tcW w:w="1417" w:type="dxa"/>
            <w:tcBorders>
              <w:top w:val="nil"/>
              <w:bottom w:val="nil"/>
            </w:tcBorders>
            <w:shd w:val="clear" w:color="auto" w:fill="auto"/>
            <w:vAlign w:val="bottom"/>
          </w:tcPr>
          <w:p w14:paraId="08F9360B" w14:textId="77777777" w:rsidR="00376D0F" w:rsidRPr="00C63CE5" w:rsidRDefault="00376D0F" w:rsidP="0099535E">
            <w:pPr>
              <w:pStyle w:val="08-Tabelageral"/>
              <w:rPr>
                <w:rFonts w:cs="Arial"/>
                <w:szCs w:val="14"/>
              </w:rPr>
            </w:pPr>
            <w:r>
              <w:rPr>
                <w:rFonts w:cs="Arial"/>
                <w:szCs w:val="14"/>
              </w:rPr>
              <w:t>211.621</w:t>
            </w:r>
          </w:p>
        </w:tc>
        <w:tc>
          <w:tcPr>
            <w:tcW w:w="1418" w:type="dxa"/>
            <w:tcBorders>
              <w:top w:val="nil"/>
              <w:bottom w:val="nil"/>
            </w:tcBorders>
            <w:shd w:val="clear" w:color="auto" w:fill="auto"/>
          </w:tcPr>
          <w:p w14:paraId="5B9AF12D" w14:textId="77777777" w:rsidR="00376D0F" w:rsidRPr="00C63CE5" w:rsidRDefault="00376D0F" w:rsidP="0099535E">
            <w:pPr>
              <w:pStyle w:val="08-Tabelageral"/>
              <w:rPr>
                <w:rFonts w:cs="Arial"/>
                <w:szCs w:val="14"/>
              </w:rPr>
            </w:pPr>
            <w:r w:rsidRPr="00C63CE5">
              <w:rPr>
                <w:rFonts w:cs="Arial"/>
                <w:szCs w:val="14"/>
              </w:rPr>
              <w:t>204.133</w:t>
            </w:r>
          </w:p>
        </w:tc>
      </w:tr>
      <w:tr w:rsidR="00376D0F" w:rsidRPr="00C63CE5" w14:paraId="558CEAD3" w14:textId="77777777" w:rsidTr="0042107F">
        <w:trPr>
          <w:trHeight w:hRule="exact" w:val="238"/>
        </w:trPr>
        <w:tc>
          <w:tcPr>
            <w:tcW w:w="3094" w:type="dxa"/>
            <w:gridSpan w:val="2"/>
            <w:tcBorders>
              <w:top w:val="nil"/>
              <w:bottom w:val="nil"/>
            </w:tcBorders>
            <w:shd w:val="clear" w:color="auto" w:fill="auto"/>
          </w:tcPr>
          <w:p w14:paraId="7C61710F" w14:textId="77777777" w:rsidR="00376D0F" w:rsidRPr="00C63CE5" w:rsidRDefault="00376D0F" w:rsidP="0099535E">
            <w:pPr>
              <w:pStyle w:val="08-Tabelageral"/>
              <w:ind w:left="113"/>
              <w:jc w:val="left"/>
              <w:rPr>
                <w:rFonts w:cs="Arial"/>
                <w:b/>
                <w:szCs w:val="14"/>
              </w:rPr>
            </w:pPr>
            <w:r w:rsidRPr="00C63CE5">
              <w:rPr>
                <w:rFonts w:cs="Arial"/>
                <w:szCs w:val="14"/>
              </w:rPr>
              <w:t>Demandas cíveis</w:t>
            </w:r>
          </w:p>
        </w:tc>
        <w:tc>
          <w:tcPr>
            <w:tcW w:w="604" w:type="dxa"/>
            <w:tcBorders>
              <w:top w:val="nil"/>
              <w:bottom w:val="nil"/>
            </w:tcBorders>
            <w:shd w:val="clear" w:color="auto" w:fill="auto"/>
          </w:tcPr>
          <w:p w14:paraId="413B47EE" w14:textId="77777777" w:rsidR="00376D0F" w:rsidRPr="00C63CE5" w:rsidRDefault="00376D0F" w:rsidP="0099535E">
            <w:pPr>
              <w:pStyle w:val="08-Tabelageral"/>
              <w:rPr>
                <w:rFonts w:cs="Arial"/>
                <w:szCs w:val="14"/>
              </w:rPr>
            </w:pPr>
          </w:p>
        </w:tc>
        <w:tc>
          <w:tcPr>
            <w:tcW w:w="1411" w:type="dxa"/>
            <w:tcBorders>
              <w:top w:val="nil"/>
              <w:bottom w:val="nil"/>
            </w:tcBorders>
            <w:shd w:val="clear" w:color="auto" w:fill="auto"/>
          </w:tcPr>
          <w:p w14:paraId="1A435C7D" w14:textId="77777777" w:rsidR="00376D0F" w:rsidRPr="00C63CE5" w:rsidRDefault="00376D0F" w:rsidP="0099535E">
            <w:pPr>
              <w:pStyle w:val="08-Tabelageral"/>
              <w:rPr>
                <w:rFonts w:cs="Arial"/>
                <w:szCs w:val="14"/>
              </w:rPr>
            </w:pPr>
            <w:r>
              <w:rPr>
                <w:rFonts w:cs="Arial"/>
                <w:szCs w:val="14"/>
              </w:rPr>
              <w:t>--</w:t>
            </w:r>
          </w:p>
        </w:tc>
        <w:tc>
          <w:tcPr>
            <w:tcW w:w="1412" w:type="dxa"/>
            <w:tcBorders>
              <w:top w:val="nil"/>
              <w:bottom w:val="nil"/>
            </w:tcBorders>
            <w:shd w:val="clear" w:color="auto" w:fill="auto"/>
          </w:tcPr>
          <w:p w14:paraId="253FF7E3" w14:textId="77777777" w:rsidR="00376D0F" w:rsidRPr="00C63CE5" w:rsidRDefault="00376D0F" w:rsidP="0099535E">
            <w:pPr>
              <w:pStyle w:val="08-Tabelageral"/>
              <w:rPr>
                <w:rFonts w:cs="Arial"/>
                <w:szCs w:val="14"/>
              </w:rPr>
            </w:pPr>
            <w:r w:rsidRPr="00C63CE5">
              <w:rPr>
                <w:rFonts w:cs="Arial"/>
                <w:szCs w:val="14"/>
              </w:rPr>
              <w:t>--</w:t>
            </w:r>
          </w:p>
        </w:tc>
        <w:tc>
          <w:tcPr>
            <w:tcW w:w="283" w:type="dxa"/>
            <w:tcBorders>
              <w:top w:val="nil"/>
              <w:bottom w:val="nil"/>
            </w:tcBorders>
            <w:shd w:val="clear" w:color="auto" w:fill="auto"/>
          </w:tcPr>
          <w:p w14:paraId="22157617" w14:textId="77777777" w:rsidR="00376D0F" w:rsidRPr="00C63CE5" w:rsidRDefault="00376D0F" w:rsidP="0099535E">
            <w:pPr>
              <w:pStyle w:val="08-Tabelageral"/>
              <w:rPr>
                <w:rFonts w:cs="Arial"/>
                <w:szCs w:val="14"/>
              </w:rPr>
            </w:pPr>
          </w:p>
        </w:tc>
        <w:tc>
          <w:tcPr>
            <w:tcW w:w="1417" w:type="dxa"/>
            <w:tcBorders>
              <w:top w:val="nil"/>
              <w:bottom w:val="nil"/>
            </w:tcBorders>
            <w:shd w:val="clear" w:color="auto" w:fill="auto"/>
            <w:vAlign w:val="bottom"/>
          </w:tcPr>
          <w:p w14:paraId="2C6013CB" w14:textId="77777777" w:rsidR="00376D0F" w:rsidRPr="00C63CE5" w:rsidRDefault="00376D0F" w:rsidP="0099535E">
            <w:pPr>
              <w:pStyle w:val="08-Tabelageral"/>
              <w:rPr>
                <w:rFonts w:cs="Arial"/>
                <w:szCs w:val="14"/>
              </w:rPr>
            </w:pPr>
            <w:r>
              <w:rPr>
                <w:rFonts w:cs="Arial"/>
                <w:szCs w:val="14"/>
              </w:rPr>
              <w:t>2.474</w:t>
            </w:r>
          </w:p>
        </w:tc>
        <w:tc>
          <w:tcPr>
            <w:tcW w:w="1418" w:type="dxa"/>
            <w:tcBorders>
              <w:top w:val="nil"/>
              <w:bottom w:val="nil"/>
            </w:tcBorders>
            <w:shd w:val="clear" w:color="auto" w:fill="auto"/>
          </w:tcPr>
          <w:p w14:paraId="7CE41880" w14:textId="77777777" w:rsidR="00376D0F" w:rsidRPr="00C63CE5" w:rsidRDefault="00376D0F" w:rsidP="0099535E">
            <w:pPr>
              <w:pStyle w:val="08-Tabelageral"/>
              <w:rPr>
                <w:rFonts w:cs="Arial"/>
                <w:szCs w:val="14"/>
              </w:rPr>
            </w:pPr>
            <w:r w:rsidRPr="00C63CE5">
              <w:rPr>
                <w:rFonts w:cs="Arial"/>
                <w:szCs w:val="14"/>
              </w:rPr>
              <w:t>2.418</w:t>
            </w:r>
          </w:p>
        </w:tc>
      </w:tr>
      <w:tr w:rsidR="00376D0F" w:rsidRPr="00FA7CC6" w14:paraId="70F8745A" w14:textId="77777777" w:rsidTr="0042107F">
        <w:trPr>
          <w:trHeight w:hRule="exact" w:val="238"/>
        </w:trPr>
        <w:tc>
          <w:tcPr>
            <w:tcW w:w="3094" w:type="dxa"/>
            <w:gridSpan w:val="2"/>
            <w:tcBorders>
              <w:top w:val="nil"/>
            </w:tcBorders>
            <w:shd w:val="clear" w:color="auto" w:fill="auto"/>
          </w:tcPr>
          <w:p w14:paraId="1A19721A" w14:textId="77777777" w:rsidR="00376D0F" w:rsidRPr="00C63CE5" w:rsidRDefault="00376D0F" w:rsidP="0099535E">
            <w:pPr>
              <w:keepNext/>
              <w:keepLines/>
              <w:spacing w:before="40" w:after="40"/>
              <w:rPr>
                <w:rFonts w:cs="Arial"/>
                <w:b/>
                <w:bCs/>
                <w:spacing w:val="-2"/>
                <w:sz w:val="14"/>
                <w:szCs w:val="14"/>
              </w:rPr>
            </w:pPr>
            <w:r w:rsidRPr="00C63CE5">
              <w:rPr>
                <w:rFonts w:cs="Arial"/>
                <w:b/>
                <w:spacing w:val="-2"/>
                <w:sz w:val="14"/>
                <w:szCs w:val="14"/>
              </w:rPr>
              <w:t>Total</w:t>
            </w:r>
          </w:p>
        </w:tc>
        <w:tc>
          <w:tcPr>
            <w:tcW w:w="604" w:type="dxa"/>
            <w:tcBorders>
              <w:top w:val="nil"/>
            </w:tcBorders>
            <w:shd w:val="clear" w:color="auto" w:fill="auto"/>
          </w:tcPr>
          <w:p w14:paraId="5D3B13EE" w14:textId="77777777" w:rsidR="00376D0F" w:rsidRPr="00C63CE5" w:rsidRDefault="00376D0F" w:rsidP="0099535E">
            <w:pPr>
              <w:pStyle w:val="08-Tabelageral"/>
              <w:rPr>
                <w:rFonts w:cs="Arial"/>
                <w:b/>
                <w:szCs w:val="14"/>
              </w:rPr>
            </w:pPr>
          </w:p>
        </w:tc>
        <w:tc>
          <w:tcPr>
            <w:tcW w:w="1411" w:type="dxa"/>
            <w:tcBorders>
              <w:top w:val="nil"/>
            </w:tcBorders>
            <w:shd w:val="clear" w:color="auto" w:fill="auto"/>
          </w:tcPr>
          <w:p w14:paraId="3E786C0D" w14:textId="77777777" w:rsidR="00376D0F" w:rsidRPr="00C63CE5" w:rsidRDefault="00376D0F" w:rsidP="0099535E">
            <w:pPr>
              <w:pStyle w:val="08-Tabelageral"/>
              <w:rPr>
                <w:rFonts w:cs="Arial"/>
                <w:b/>
                <w:szCs w:val="14"/>
              </w:rPr>
            </w:pPr>
            <w:r>
              <w:rPr>
                <w:rFonts w:cs="Arial"/>
                <w:b/>
                <w:szCs w:val="14"/>
              </w:rPr>
              <w:t>--</w:t>
            </w:r>
          </w:p>
        </w:tc>
        <w:tc>
          <w:tcPr>
            <w:tcW w:w="1412" w:type="dxa"/>
            <w:tcBorders>
              <w:top w:val="nil"/>
            </w:tcBorders>
            <w:shd w:val="clear" w:color="auto" w:fill="auto"/>
          </w:tcPr>
          <w:p w14:paraId="2CD5F95A" w14:textId="77777777" w:rsidR="00376D0F" w:rsidRPr="00C63CE5" w:rsidRDefault="00376D0F" w:rsidP="0099535E">
            <w:pPr>
              <w:pStyle w:val="08-Tabelageral"/>
              <w:rPr>
                <w:rFonts w:cs="Arial"/>
                <w:b/>
                <w:szCs w:val="14"/>
              </w:rPr>
            </w:pPr>
            <w:r w:rsidRPr="00C63CE5">
              <w:rPr>
                <w:rFonts w:cs="Arial"/>
                <w:b/>
                <w:szCs w:val="14"/>
              </w:rPr>
              <w:t>--</w:t>
            </w:r>
          </w:p>
        </w:tc>
        <w:tc>
          <w:tcPr>
            <w:tcW w:w="283" w:type="dxa"/>
            <w:tcBorders>
              <w:top w:val="nil"/>
            </w:tcBorders>
            <w:shd w:val="clear" w:color="auto" w:fill="auto"/>
          </w:tcPr>
          <w:p w14:paraId="27CBC83D" w14:textId="77777777" w:rsidR="00376D0F" w:rsidRPr="00C63CE5" w:rsidRDefault="00376D0F" w:rsidP="0099535E">
            <w:pPr>
              <w:pStyle w:val="08-Tabelageral"/>
              <w:rPr>
                <w:rFonts w:cs="Arial"/>
                <w:b/>
                <w:szCs w:val="14"/>
              </w:rPr>
            </w:pPr>
          </w:p>
        </w:tc>
        <w:tc>
          <w:tcPr>
            <w:tcW w:w="1417" w:type="dxa"/>
            <w:tcBorders>
              <w:top w:val="nil"/>
            </w:tcBorders>
            <w:shd w:val="clear" w:color="auto" w:fill="auto"/>
            <w:vAlign w:val="center"/>
          </w:tcPr>
          <w:p w14:paraId="4FCD9E22" w14:textId="77777777" w:rsidR="00376D0F" w:rsidRPr="00C63CE5" w:rsidRDefault="00376D0F" w:rsidP="0099535E">
            <w:pPr>
              <w:pStyle w:val="08-Tabelageral"/>
              <w:rPr>
                <w:rFonts w:cs="Arial"/>
                <w:b/>
                <w:szCs w:val="14"/>
              </w:rPr>
            </w:pPr>
            <w:r>
              <w:rPr>
                <w:rFonts w:cs="Arial"/>
                <w:b/>
                <w:szCs w:val="14"/>
              </w:rPr>
              <w:t>214.147</w:t>
            </w:r>
          </w:p>
        </w:tc>
        <w:tc>
          <w:tcPr>
            <w:tcW w:w="1418" w:type="dxa"/>
            <w:tcBorders>
              <w:top w:val="nil"/>
            </w:tcBorders>
            <w:shd w:val="clear" w:color="auto" w:fill="auto"/>
          </w:tcPr>
          <w:p w14:paraId="1E384D41" w14:textId="77777777" w:rsidR="00376D0F" w:rsidRPr="00FA7CC6" w:rsidRDefault="00376D0F" w:rsidP="0099535E">
            <w:pPr>
              <w:pStyle w:val="08-Tabelageral"/>
              <w:rPr>
                <w:rFonts w:cs="Arial"/>
                <w:b/>
                <w:szCs w:val="14"/>
              </w:rPr>
            </w:pPr>
            <w:r w:rsidRPr="00C63CE5">
              <w:rPr>
                <w:rFonts w:cs="Arial"/>
                <w:b/>
                <w:szCs w:val="14"/>
              </w:rPr>
              <w:t>206.601</w:t>
            </w:r>
          </w:p>
        </w:tc>
      </w:tr>
    </w:tbl>
    <w:p w14:paraId="06949450" w14:textId="77777777" w:rsidR="00376D0F" w:rsidRPr="00B7055E" w:rsidRDefault="00376D0F" w:rsidP="00B7055E">
      <w:pPr>
        <w:pStyle w:val="07-Legenda"/>
        <w:rPr>
          <w:rFonts w:cs="Arial"/>
        </w:rPr>
      </w:pPr>
      <w:r w:rsidRPr="0082555C">
        <w:rPr>
          <w:rFonts w:cs="Arial"/>
        </w:rPr>
        <w:t>(1)</w:t>
      </w:r>
      <w:r w:rsidRPr="0082555C">
        <w:rPr>
          <w:rFonts w:cs="Arial"/>
        </w:rPr>
        <w:tab/>
        <w:t xml:space="preserve">Refere-se, principalmente, à ação judicial de natureza fiscal com o objetivo de anular decisão administrativa que não homologou declarações de </w:t>
      </w:r>
      <w:r w:rsidRPr="0081103E">
        <w:rPr>
          <w:rFonts w:cs="Arial"/>
        </w:rPr>
        <w:t xml:space="preserve">compensação de saldos negativos de IRPJ com diversos tributos próprios. O valor atualizado do referido </w:t>
      </w:r>
      <w:r w:rsidRPr="0081103E">
        <w:rPr>
          <w:rFonts w:cs="Arial"/>
          <w:color w:val="00000A"/>
        </w:rPr>
        <w:t xml:space="preserve">depósito judicial é </w:t>
      </w:r>
      <w:r w:rsidRPr="0081103E">
        <w:rPr>
          <w:rFonts w:cs="Arial"/>
        </w:rPr>
        <w:t xml:space="preserve">de R$ </w:t>
      </w:r>
      <w:bookmarkStart w:id="103" w:name="_Hlk36802508"/>
      <w:r w:rsidRPr="0081103E">
        <w:rPr>
          <w:rFonts w:cs="Arial"/>
        </w:rPr>
        <w:t xml:space="preserve">154.570 </w:t>
      </w:r>
      <w:bookmarkEnd w:id="103"/>
      <w:r w:rsidRPr="0081103E">
        <w:rPr>
          <w:rFonts w:cs="Arial"/>
        </w:rPr>
        <w:t>mil (R$ 151.967 mil em 31.12.2020), referente à investida BB Corretora, sendo sua atualização pela taxa SELIC.</w:t>
      </w:r>
      <w:bookmarkEnd w:id="101"/>
    </w:p>
    <w:p w14:paraId="29ED5DA2" w14:textId="2EFDA1FB" w:rsidR="00AB523D" w:rsidRPr="00FC723F" w:rsidRDefault="00AB523D" w:rsidP="00C65C62">
      <w:pPr>
        <w:pStyle w:val="01-Textonormal"/>
        <w:rPr>
          <w:rFonts w:cs="Arial"/>
        </w:rPr>
      </w:pPr>
    </w:p>
    <w:p w14:paraId="36E5D03F" w14:textId="23AFEC01" w:rsidR="00375569" w:rsidRPr="00725333" w:rsidRDefault="00375569" w:rsidP="00725333">
      <w:pPr>
        <w:pStyle w:val="02-TtulodeNota"/>
        <w:rPr>
          <w:color w:val="1F4E79" w:themeColor="accent1" w:themeShade="80"/>
        </w:rPr>
      </w:pPr>
      <w:bookmarkStart w:id="104" w:name="_Toc94861081"/>
      <w:r w:rsidRPr="00725333">
        <w:rPr>
          <w:color w:val="1F4E79" w:themeColor="accent1" w:themeShade="80"/>
        </w:rPr>
        <w:t>23 – COMISSÕES A APROPRIAR</w:t>
      </w:r>
      <w:bookmarkEnd w:id="104"/>
    </w:p>
    <w:p w14:paraId="2972C0E1" w14:textId="77777777" w:rsidR="00375569" w:rsidRPr="0004323A" w:rsidRDefault="00375569" w:rsidP="0043555A">
      <w:pPr>
        <w:pStyle w:val="01-TtulodeNota"/>
        <w:spacing w:before="0" w:after="0"/>
        <w:jc w:val="right"/>
        <w:rPr>
          <w:sz w:val="12"/>
          <w:szCs w:val="12"/>
        </w:rPr>
      </w:pPr>
      <w:r w:rsidRPr="00C06423">
        <w:rPr>
          <w:sz w:val="14"/>
          <w:szCs w:val="12"/>
        </w:rPr>
        <w:t>R$ mil</w:t>
      </w:r>
    </w:p>
    <w:tbl>
      <w:tblPr>
        <w:tblW w:w="965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375569" w:rsidRPr="00725333" w14:paraId="6DC2BB47" w14:textId="77777777" w:rsidTr="00994B01">
        <w:trPr>
          <w:trHeight w:val="238"/>
        </w:trPr>
        <w:tc>
          <w:tcPr>
            <w:tcW w:w="5641" w:type="dxa"/>
            <w:gridSpan w:val="3"/>
            <w:vMerge w:val="restart"/>
            <w:tcBorders>
              <w:top w:val="single" w:sz="2" w:space="0" w:color="1F4E79" w:themeColor="accent1" w:themeShade="80"/>
              <w:bottom w:val="nil"/>
            </w:tcBorders>
            <w:shd w:val="clear" w:color="auto" w:fill="auto"/>
          </w:tcPr>
          <w:p w14:paraId="325E2FDC" w14:textId="77777777" w:rsidR="00375569" w:rsidRPr="00182370" w:rsidRDefault="00375569" w:rsidP="00922DF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625EE6A2" w14:textId="77777777" w:rsidR="00375569" w:rsidRPr="00182370" w:rsidRDefault="00375569" w:rsidP="005E36A8">
            <w:pPr>
              <w:pStyle w:val="08-Tabelageral"/>
              <w:jc w:val="center"/>
              <w:rPr>
                <w:b/>
              </w:rPr>
            </w:pPr>
            <w:r w:rsidRPr="00182370">
              <w:rPr>
                <w:b/>
              </w:rPr>
              <w:t>Consolidado</w:t>
            </w:r>
          </w:p>
        </w:tc>
      </w:tr>
      <w:tr w:rsidR="00375569" w:rsidRPr="00725333" w14:paraId="0D484DFA" w14:textId="77777777" w:rsidTr="00994B01">
        <w:trPr>
          <w:trHeight w:val="238"/>
        </w:trPr>
        <w:tc>
          <w:tcPr>
            <w:tcW w:w="5641" w:type="dxa"/>
            <w:gridSpan w:val="3"/>
            <w:vMerge/>
            <w:tcBorders>
              <w:top w:val="nil"/>
              <w:bottom w:val="single" w:sz="2" w:space="0" w:color="1F4E79" w:themeColor="accent1" w:themeShade="80"/>
            </w:tcBorders>
            <w:shd w:val="clear" w:color="auto" w:fill="auto"/>
          </w:tcPr>
          <w:p w14:paraId="6297783E" w14:textId="77777777" w:rsidR="00375569" w:rsidRPr="00182370" w:rsidRDefault="00375569" w:rsidP="00922DF8">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67ECE0A0" w14:textId="77777777" w:rsidR="00375569" w:rsidRPr="00182370" w:rsidRDefault="00375569" w:rsidP="00A4792C">
            <w:pPr>
              <w:pStyle w:val="08-Tabelageral"/>
              <w:rPr>
                <w:b/>
              </w:rPr>
            </w:pPr>
            <w:r w:rsidRPr="00182370">
              <w:rPr>
                <w:b/>
              </w:rPr>
              <w:t>31.12.2021</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05724EDE" w14:textId="77777777" w:rsidR="00375569" w:rsidRPr="00182370" w:rsidRDefault="00375569" w:rsidP="005E36A8">
            <w:pPr>
              <w:pStyle w:val="08-Tabelageral"/>
              <w:rPr>
                <w:b/>
              </w:rPr>
            </w:pPr>
            <w:r w:rsidRPr="00182370">
              <w:rPr>
                <w:b/>
              </w:rPr>
              <w:t>31.12.2020</w:t>
            </w:r>
          </w:p>
        </w:tc>
      </w:tr>
      <w:tr w:rsidR="00375569" w:rsidRPr="00725333" w14:paraId="57D608EE" w14:textId="77777777" w:rsidTr="00994B01">
        <w:trPr>
          <w:trHeight w:val="238"/>
        </w:trPr>
        <w:tc>
          <w:tcPr>
            <w:tcW w:w="4384" w:type="dxa"/>
            <w:tcBorders>
              <w:top w:val="single" w:sz="2" w:space="0" w:color="1F4E79" w:themeColor="accent1" w:themeShade="80"/>
              <w:bottom w:val="nil"/>
            </w:tcBorders>
            <w:shd w:val="clear" w:color="auto" w:fill="auto"/>
          </w:tcPr>
          <w:p w14:paraId="29E4338F" w14:textId="77777777" w:rsidR="00375569" w:rsidRPr="00182370" w:rsidRDefault="00375569" w:rsidP="00CE4414">
            <w:pPr>
              <w:pStyle w:val="08-Tabelageral"/>
              <w:jc w:val="left"/>
              <w:rPr>
                <w:rFonts w:cs="Arial"/>
                <w:b/>
                <w:lang w:val="en-US"/>
              </w:rPr>
            </w:pPr>
            <w:r w:rsidRPr="00182370">
              <w:rPr>
                <w:rFonts w:cs="Arial"/>
                <w:b/>
                <w:lang w:val="en-US"/>
              </w:rPr>
              <w:t>Passivo Circulante</w:t>
            </w:r>
          </w:p>
        </w:tc>
        <w:tc>
          <w:tcPr>
            <w:tcW w:w="856" w:type="dxa"/>
            <w:tcBorders>
              <w:top w:val="single" w:sz="2" w:space="0" w:color="1F4E79" w:themeColor="accent1" w:themeShade="80"/>
              <w:bottom w:val="nil"/>
            </w:tcBorders>
            <w:shd w:val="clear" w:color="auto" w:fill="auto"/>
          </w:tcPr>
          <w:p w14:paraId="329AB038" w14:textId="77777777" w:rsidR="00375569" w:rsidRPr="00182370" w:rsidRDefault="00375569" w:rsidP="00CE4414">
            <w:pPr>
              <w:pStyle w:val="08-Tabelageral"/>
              <w:rPr>
                <w:b/>
              </w:rPr>
            </w:pPr>
          </w:p>
        </w:tc>
        <w:tc>
          <w:tcPr>
            <w:tcW w:w="401" w:type="dxa"/>
            <w:tcBorders>
              <w:top w:val="single" w:sz="2" w:space="0" w:color="1F4E79" w:themeColor="accent1" w:themeShade="80"/>
              <w:bottom w:val="nil"/>
            </w:tcBorders>
            <w:shd w:val="clear" w:color="auto" w:fill="auto"/>
          </w:tcPr>
          <w:p w14:paraId="736721D1" w14:textId="77777777" w:rsidR="00375569" w:rsidRPr="00182370" w:rsidRDefault="00375569" w:rsidP="00CE4414">
            <w:pPr>
              <w:pStyle w:val="08-Tabelageral"/>
              <w:rPr>
                <w:b/>
              </w:rPr>
            </w:pPr>
          </w:p>
        </w:tc>
        <w:tc>
          <w:tcPr>
            <w:tcW w:w="2008" w:type="dxa"/>
            <w:tcBorders>
              <w:top w:val="single" w:sz="2" w:space="0" w:color="1F4E79" w:themeColor="accent1" w:themeShade="80"/>
            </w:tcBorders>
            <w:shd w:val="clear" w:color="auto" w:fill="auto"/>
          </w:tcPr>
          <w:p w14:paraId="56894815" w14:textId="77777777" w:rsidR="00375569" w:rsidRPr="00182370" w:rsidRDefault="00375569" w:rsidP="00CE4414">
            <w:pPr>
              <w:pStyle w:val="08-Tabelageral"/>
              <w:rPr>
                <w:b/>
                <w:bCs/>
              </w:rPr>
            </w:pPr>
            <w:r w:rsidRPr="00182370">
              <w:rPr>
                <w:b/>
                <w:bCs/>
              </w:rPr>
              <w:t>1.172.483</w:t>
            </w:r>
          </w:p>
        </w:tc>
        <w:tc>
          <w:tcPr>
            <w:tcW w:w="2009" w:type="dxa"/>
            <w:tcBorders>
              <w:top w:val="single" w:sz="2" w:space="0" w:color="1F4E79" w:themeColor="accent1" w:themeShade="80"/>
            </w:tcBorders>
            <w:shd w:val="clear" w:color="auto" w:fill="auto"/>
            <w:vAlign w:val="center"/>
          </w:tcPr>
          <w:p w14:paraId="6B9F42E4" w14:textId="77777777" w:rsidR="00375569" w:rsidRPr="00182370" w:rsidRDefault="00375569" w:rsidP="00CE4414">
            <w:pPr>
              <w:pStyle w:val="08-Tabelageral"/>
              <w:rPr>
                <w:b/>
              </w:rPr>
            </w:pPr>
            <w:r w:rsidRPr="00182370">
              <w:rPr>
                <w:b/>
              </w:rPr>
              <w:t>1.127.358</w:t>
            </w:r>
          </w:p>
        </w:tc>
      </w:tr>
      <w:tr w:rsidR="00375569" w:rsidRPr="00725333" w14:paraId="0F95AC1C" w14:textId="77777777" w:rsidTr="00994B01">
        <w:trPr>
          <w:trHeight w:val="238"/>
        </w:trPr>
        <w:tc>
          <w:tcPr>
            <w:tcW w:w="4384" w:type="dxa"/>
            <w:tcBorders>
              <w:top w:val="nil"/>
            </w:tcBorders>
            <w:shd w:val="clear" w:color="auto" w:fill="auto"/>
          </w:tcPr>
          <w:p w14:paraId="49218613" w14:textId="77777777" w:rsidR="00375569" w:rsidRPr="00182370" w:rsidRDefault="00375569" w:rsidP="00CE4414">
            <w:pPr>
              <w:pStyle w:val="08-Tabelageral"/>
              <w:ind w:left="113"/>
              <w:jc w:val="left"/>
              <w:rPr>
                <w:rFonts w:cs="Arial"/>
                <w:lang w:val="en-US"/>
              </w:rPr>
            </w:pPr>
            <w:r w:rsidRPr="00182370">
              <w:rPr>
                <w:rFonts w:cs="Arial"/>
                <w:lang w:val="en-US"/>
              </w:rPr>
              <w:t>BB Mapfre</w:t>
            </w:r>
          </w:p>
        </w:tc>
        <w:tc>
          <w:tcPr>
            <w:tcW w:w="856" w:type="dxa"/>
            <w:tcBorders>
              <w:top w:val="nil"/>
            </w:tcBorders>
            <w:shd w:val="clear" w:color="auto" w:fill="auto"/>
          </w:tcPr>
          <w:p w14:paraId="26216B29" w14:textId="77777777" w:rsidR="00375569" w:rsidRPr="00182370" w:rsidRDefault="00375569" w:rsidP="00CE4414">
            <w:pPr>
              <w:pStyle w:val="08-Tabelageral"/>
            </w:pPr>
          </w:p>
        </w:tc>
        <w:tc>
          <w:tcPr>
            <w:tcW w:w="401" w:type="dxa"/>
            <w:tcBorders>
              <w:top w:val="nil"/>
            </w:tcBorders>
            <w:shd w:val="clear" w:color="auto" w:fill="auto"/>
          </w:tcPr>
          <w:p w14:paraId="6B18B8B7" w14:textId="77777777" w:rsidR="00375569" w:rsidRPr="00182370" w:rsidRDefault="00375569" w:rsidP="00CE4414">
            <w:pPr>
              <w:pStyle w:val="08-Tabelageral"/>
            </w:pPr>
          </w:p>
        </w:tc>
        <w:tc>
          <w:tcPr>
            <w:tcW w:w="2008" w:type="dxa"/>
            <w:shd w:val="clear" w:color="auto" w:fill="auto"/>
          </w:tcPr>
          <w:p w14:paraId="2E7346DB" w14:textId="77777777" w:rsidR="00375569" w:rsidRPr="00182370" w:rsidRDefault="00375569" w:rsidP="00CE4414">
            <w:pPr>
              <w:pStyle w:val="08-Tabelageral"/>
            </w:pPr>
            <w:r w:rsidRPr="00182370">
              <w:t>1.120.148</w:t>
            </w:r>
          </w:p>
        </w:tc>
        <w:tc>
          <w:tcPr>
            <w:tcW w:w="2009" w:type="dxa"/>
            <w:shd w:val="clear" w:color="auto" w:fill="auto"/>
            <w:vAlign w:val="center"/>
          </w:tcPr>
          <w:p w14:paraId="17721B80" w14:textId="77777777" w:rsidR="00375569" w:rsidRPr="00182370" w:rsidRDefault="00375569" w:rsidP="00CE4414">
            <w:pPr>
              <w:pStyle w:val="08-Tabelageral"/>
            </w:pPr>
            <w:r w:rsidRPr="00182370">
              <w:t>1.049.015</w:t>
            </w:r>
          </w:p>
        </w:tc>
      </w:tr>
      <w:tr w:rsidR="00375569" w:rsidRPr="00725333" w14:paraId="3E4C1EEB" w14:textId="77777777" w:rsidTr="00994B01">
        <w:trPr>
          <w:trHeight w:val="238"/>
        </w:trPr>
        <w:tc>
          <w:tcPr>
            <w:tcW w:w="4384" w:type="dxa"/>
            <w:shd w:val="clear" w:color="auto" w:fill="auto"/>
          </w:tcPr>
          <w:p w14:paraId="7BF860E5" w14:textId="77777777" w:rsidR="00375569" w:rsidRPr="00182370" w:rsidRDefault="00375569" w:rsidP="00CE4414">
            <w:pPr>
              <w:pStyle w:val="08-Tabelageral"/>
              <w:ind w:left="113"/>
              <w:jc w:val="left"/>
              <w:rPr>
                <w:rFonts w:cs="Arial"/>
                <w:vertAlign w:val="superscript"/>
                <w:lang w:val="en-US"/>
              </w:rPr>
            </w:pPr>
            <w:r w:rsidRPr="00182370">
              <w:rPr>
                <w:rFonts w:cs="Arial"/>
                <w:lang w:val="en-US"/>
              </w:rPr>
              <w:t>Mapfre Seguros Gerais</w:t>
            </w:r>
            <w:r w:rsidRPr="00182370">
              <w:rPr>
                <w:rFonts w:cs="Arial"/>
                <w:vertAlign w:val="superscript"/>
                <w:lang w:val="en-US"/>
              </w:rPr>
              <w:t xml:space="preserve"> (1)</w:t>
            </w:r>
          </w:p>
        </w:tc>
        <w:tc>
          <w:tcPr>
            <w:tcW w:w="856" w:type="dxa"/>
            <w:shd w:val="clear" w:color="auto" w:fill="auto"/>
          </w:tcPr>
          <w:p w14:paraId="02AA3046" w14:textId="77777777" w:rsidR="00375569" w:rsidRPr="00182370" w:rsidRDefault="00375569" w:rsidP="00CE4414">
            <w:pPr>
              <w:pStyle w:val="08-Tabelageral"/>
            </w:pPr>
          </w:p>
        </w:tc>
        <w:tc>
          <w:tcPr>
            <w:tcW w:w="401" w:type="dxa"/>
            <w:shd w:val="clear" w:color="auto" w:fill="auto"/>
          </w:tcPr>
          <w:p w14:paraId="560AA34D" w14:textId="77777777" w:rsidR="00375569" w:rsidRPr="00182370" w:rsidRDefault="00375569" w:rsidP="00CE4414">
            <w:pPr>
              <w:pStyle w:val="08-Tabelageral"/>
            </w:pPr>
          </w:p>
        </w:tc>
        <w:tc>
          <w:tcPr>
            <w:tcW w:w="2008" w:type="dxa"/>
            <w:shd w:val="clear" w:color="auto" w:fill="auto"/>
          </w:tcPr>
          <w:p w14:paraId="7127B1D0" w14:textId="77777777" w:rsidR="00375569" w:rsidRPr="00182370" w:rsidRDefault="00375569" w:rsidP="00CE4414">
            <w:pPr>
              <w:pStyle w:val="08-Tabelageral"/>
            </w:pPr>
            <w:r w:rsidRPr="00182370">
              <w:t>51.939</w:t>
            </w:r>
          </w:p>
        </w:tc>
        <w:tc>
          <w:tcPr>
            <w:tcW w:w="2009" w:type="dxa"/>
            <w:shd w:val="clear" w:color="auto" w:fill="auto"/>
            <w:vAlign w:val="center"/>
          </w:tcPr>
          <w:p w14:paraId="1ADD7E89" w14:textId="77777777" w:rsidR="00375569" w:rsidRPr="00182370" w:rsidRDefault="00375569" w:rsidP="00CE4414">
            <w:pPr>
              <w:pStyle w:val="08-Tabelageral"/>
            </w:pPr>
            <w:r w:rsidRPr="00182370">
              <w:t>78.037</w:t>
            </w:r>
          </w:p>
        </w:tc>
      </w:tr>
      <w:tr w:rsidR="00375569" w:rsidRPr="00725333" w14:paraId="40169490" w14:textId="77777777" w:rsidTr="00994B01">
        <w:trPr>
          <w:trHeight w:val="238"/>
        </w:trPr>
        <w:tc>
          <w:tcPr>
            <w:tcW w:w="4384" w:type="dxa"/>
            <w:shd w:val="clear" w:color="auto" w:fill="auto"/>
          </w:tcPr>
          <w:p w14:paraId="094AEC59" w14:textId="77777777" w:rsidR="00375569" w:rsidRPr="00182370" w:rsidRDefault="00375569" w:rsidP="00CE4414">
            <w:pPr>
              <w:pStyle w:val="08-Tabelageral"/>
              <w:ind w:left="113"/>
              <w:jc w:val="left"/>
              <w:rPr>
                <w:rFonts w:cs="Arial"/>
                <w:szCs w:val="14"/>
                <w:lang w:val="en-US"/>
              </w:rPr>
            </w:pPr>
            <w:r w:rsidRPr="00182370">
              <w:rPr>
                <w:rFonts w:cs="Arial"/>
                <w:szCs w:val="14"/>
                <w:lang w:val="en-US"/>
              </w:rPr>
              <w:t>Outras</w:t>
            </w:r>
          </w:p>
        </w:tc>
        <w:tc>
          <w:tcPr>
            <w:tcW w:w="856" w:type="dxa"/>
            <w:shd w:val="clear" w:color="auto" w:fill="auto"/>
          </w:tcPr>
          <w:p w14:paraId="1A59D70B" w14:textId="77777777" w:rsidR="00375569" w:rsidRPr="00182370" w:rsidRDefault="00375569" w:rsidP="00CE4414">
            <w:pPr>
              <w:pStyle w:val="08-Tabelageral"/>
            </w:pPr>
          </w:p>
        </w:tc>
        <w:tc>
          <w:tcPr>
            <w:tcW w:w="401" w:type="dxa"/>
            <w:shd w:val="clear" w:color="auto" w:fill="auto"/>
          </w:tcPr>
          <w:p w14:paraId="039B8A21" w14:textId="77777777" w:rsidR="00375569" w:rsidRPr="00182370" w:rsidRDefault="00375569" w:rsidP="00CE4414">
            <w:pPr>
              <w:pStyle w:val="08-Tabelageral"/>
            </w:pPr>
          </w:p>
        </w:tc>
        <w:tc>
          <w:tcPr>
            <w:tcW w:w="2008" w:type="dxa"/>
            <w:shd w:val="clear" w:color="auto" w:fill="auto"/>
          </w:tcPr>
          <w:p w14:paraId="010ED242" w14:textId="77777777" w:rsidR="00375569" w:rsidRPr="00182370" w:rsidRDefault="00375569" w:rsidP="00CE4414">
            <w:pPr>
              <w:pStyle w:val="08-Tabelageral"/>
            </w:pPr>
            <w:r w:rsidRPr="00182370">
              <w:t>396</w:t>
            </w:r>
          </w:p>
        </w:tc>
        <w:tc>
          <w:tcPr>
            <w:tcW w:w="2009" w:type="dxa"/>
            <w:shd w:val="clear" w:color="auto" w:fill="auto"/>
            <w:vAlign w:val="center"/>
          </w:tcPr>
          <w:p w14:paraId="30A4DF48" w14:textId="77777777" w:rsidR="00375569" w:rsidRPr="00182370" w:rsidRDefault="00375569" w:rsidP="00CE4414">
            <w:pPr>
              <w:pStyle w:val="08-Tabelageral"/>
            </w:pPr>
            <w:r w:rsidRPr="00182370">
              <w:t>306</w:t>
            </w:r>
          </w:p>
        </w:tc>
      </w:tr>
      <w:tr w:rsidR="00375569" w:rsidRPr="00725333" w14:paraId="5A89FD7F" w14:textId="77777777" w:rsidTr="00994B01">
        <w:trPr>
          <w:trHeight w:val="238"/>
        </w:trPr>
        <w:tc>
          <w:tcPr>
            <w:tcW w:w="4384" w:type="dxa"/>
            <w:shd w:val="clear" w:color="auto" w:fill="auto"/>
          </w:tcPr>
          <w:p w14:paraId="3D4E41A0" w14:textId="77777777" w:rsidR="00375569" w:rsidRPr="00182370" w:rsidRDefault="00375569" w:rsidP="00CE4414">
            <w:pPr>
              <w:pStyle w:val="08-Tabelageral"/>
              <w:jc w:val="left"/>
              <w:rPr>
                <w:rFonts w:cs="Arial"/>
                <w:b/>
                <w:lang w:val="en-US"/>
              </w:rPr>
            </w:pPr>
            <w:r w:rsidRPr="00182370">
              <w:rPr>
                <w:rFonts w:cs="Arial"/>
                <w:b/>
                <w:lang w:val="en-US"/>
              </w:rPr>
              <w:t>Passivo Não Circulante</w:t>
            </w:r>
          </w:p>
        </w:tc>
        <w:tc>
          <w:tcPr>
            <w:tcW w:w="856" w:type="dxa"/>
            <w:shd w:val="clear" w:color="auto" w:fill="auto"/>
          </w:tcPr>
          <w:p w14:paraId="7E386918" w14:textId="77777777" w:rsidR="00375569" w:rsidRPr="00182370" w:rsidRDefault="00375569" w:rsidP="00CE4414">
            <w:pPr>
              <w:pStyle w:val="08-Tabelageral"/>
              <w:rPr>
                <w:b/>
              </w:rPr>
            </w:pPr>
          </w:p>
        </w:tc>
        <w:tc>
          <w:tcPr>
            <w:tcW w:w="401" w:type="dxa"/>
            <w:shd w:val="clear" w:color="auto" w:fill="auto"/>
          </w:tcPr>
          <w:p w14:paraId="5524B2FB" w14:textId="77777777" w:rsidR="00375569" w:rsidRPr="00182370" w:rsidRDefault="00375569" w:rsidP="00CE4414">
            <w:pPr>
              <w:pStyle w:val="08-Tabelageral"/>
              <w:rPr>
                <w:b/>
              </w:rPr>
            </w:pPr>
          </w:p>
        </w:tc>
        <w:tc>
          <w:tcPr>
            <w:tcW w:w="2008" w:type="dxa"/>
            <w:shd w:val="clear" w:color="auto" w:fill="auto"/>
          </w:tcPr>
          <w:p w14:paraId="7BF32B5C" w14:textId="77777777" w:rsidR="00375569" w:rsidRPr="00182370" w:rsidRDefault="00375569" w:rsidP="00CE4414">
            <w:pPr>
              <w:pStyle w:val="08-Tabelageral"/>
              <w:rPr>
                <w:b/>
                <w:bCs/>
              </w:rPr>
            </w:pPr>
            <w:r w:rsidRPr="00182370">
              <w:rPr>
                <w:b/>
                <w:bCs/>
              </w:rPr>
              <w:t>1.794.544</w:t>
            </w:r>
          </w:p>
        </w:tc>
        <w:tc>
          <w:tcPr>
            <w:tcW w:w="2009" w:type="dxa"/>
            <w:shd w:val="clear" w:color="auto" w:fill="auto"/>
            <w:vAlign w:val="center"/>
          </w:tcPr>
          <w:p w14:paraId="3AD36301" w14:textId="77777777" w:rsidR="00375569" w:rsidRPr="00182370" w:rsidRDefault="00375569" w:rsidP="00CE4414">
            <w:pPr>
              <w:pStyle w:val="08-Tabelageral"/>
              <w:rPr>
                <w:b/>
              </w:rPr>
            </w:pPr>
            <w:r w:rsidRPr="00182370">
              <w:rPr>
                <w:b/>
              </w:rPr>
              <w:t>1.417.250</w:t>
            </w:r>
          </w:p>
        </w:tc>
      </w:tr>
      <w:tr w:rsidR="00375569" w:rsidRPr="00725333" w14:paraId="6045C980" w14:textId="77777777" w:rsidTr="00994B01">
        <w:trPr>
          <w:trHeight w:val="238"/>
        </w:trPr>
        <w:tc>
          <w:tcPr>
            <w:tcW w:w="4384" w:type="dxa"/>
            <w:shd w:val="clear" w:color="auto" w:fill="auto"/>
          </w:tcPr>
          <w:p w14:paraId="7ACECCB2" w14:textId="77777777" w:rsidR="00375569" w:rsidRPr="00182370" w:rsidRDefault="00375569" w:rsidP="00CE4414">
            <w:pPr>
              <w:pStyle w:val="08-Tabelageral"/>
              <w:ind w:left="113"/>
              <w:jc w:val="left"/>
              <w:rPr>
                <w:rFonts w:cs="Arial"/>
                <w:lang w:val="en-US"/>
              </w:rPr>
            </w:pPr>
            <w:r w:rsidRPr="00182370">
              <w:rPr>
                <w:rFonts w:cs="Arial"/>
                <w:lang w:val="en-US"/>
              </w:rPr>
              <w:t>BB Mapfre</w:t>
            </w:r>
          </w:p>
        </w:tc>
        <w:tc>
          <w:tcPr>
            <w:tcW w:w="856" w:type="dxa"/>
            <w:shd w:val="clear" w:color="auto" w:fill="auto"/>
          </w:tcPr>
          <w:p w14:paraId="6A8FC784" w14:textId="77777777" w:rsidR="00375569" w:rsidRPr="00182370" w:rsidRDefault="00375569" w:rsidP="00CE4414">
            <w:pPr>
              <w:pStyle w:val="08-Tabelageral"/>
            </w:pPr>
          </w:p>
        </w:tc>
        <w:tc>
          <w:tcPr>
            <w:tcW w:w="401" w:type="dxa"/>
            <w:shd w:val="clear" w:color="auto" w:fill="auto"/>
          </w:tcPr>
          <w:p w14:paraId="28E600BA" w14:textId="77777777" w:rsidR="00375569" w:rsidRPr="00182370" w:rsidRDefault="00375569" w:rsidP="00CE4414">
            <w:pPr>
              <w:pStyle w:val="08-Tabelageral"/>
            </w:pPr>
          </w:p>
        </w:tc>
        <w:tc>
          <w:tcPr>
            <w:tcW w:w="2008" w:type="dxa"/>
            <w:shd w:val="clear" w:color="auto" w:fill="auto"/>
          </w:tcPr>
          <w:p w14:paraId="1AB69705" w14:textId="77777777" w:rsidR="00375569" w:rsidRPr="00182370" w:rsidRDefault="00375569" w:rsidP="00CE4414">
            <w:pPr>
              <w:pStyle w:val="08-Tabelageral"/>
            </w:pPr>
            <w:r w:rsidRPr="00182370">
              <w:t>1.735.439</w:t>
            </w:r>
          </w:p>
        </w:tc>
        <w:tc>
          <w:tcPr>
            <w:tcW w:w="2009" w:type="dxa"/>
            <w:shd w:val="clear" w:color="auto" w:fill="auto"/>
            <w:vAlign w:val="center"/>
          </w:tcPr>
          <w:p w14:paraId="69CC5E2D" w14:textId="77777777" w:rsidR="00375569" w:rsidRPr="00182370" w:rsidRDefault="00375569" w:rsidP="00CE4414">
            <w:pPr>
              <w:pStyle w:val="08-Tabelageral"/>
            </w:pPr>
            <w:r w:rsidRPr="00182370">
              <w:t>1.389.918</w:t>
            </w:r>
          </w:p>
        </w:tc>
      </w:tr>
      <w:tr w:rsidR="00375569" w:rsidRPr="00725333" w14:paraId="6556F241" w14:textId="77777777" w:rsidTr="00994B01">
        <w:trPr>
          <w:trHeight w:val="238"/>
        </w:trPr>
        <w:tc>
          <w:tcPr>
            <w:tcW w:w="4384" w:type="dxa"/>
            <w:shd w:val="clear" w:color="auto" w:fill="auto"/>
          </w:tcPr>
          <w:p w14:paraId="70501594" w14:textId="77777777" w:rsidR="00375569" w:rsidRPr="00182370" w:rsidRDefault="00375569" w:rsidP="00CE4414">
            <w:pPr>
              <w:pStyle w:val="08-Tabelageral"/>
              <w:ind w:left="113"/>
              <w:jc w:val="left"/>
              <w:rPr>
                <w:rFonts w:cs="Arial"/>
                <w:vertAlign w:val="superscript"/>
                <w:lang w:val="en-US"/>
              </w:rPr>
            </w:pPr>
            <w:r w:rsidRPr="00182370">
              <w:rPr>
                <w:rFonts w:cs="Arial"/>
                <w:lang w:val="en-US"/>
              </w:rPr>
              <w:t>Mapfre Seguros Gerais</w:t>
            </w:r>
            <w:r w:rsidRPr="00182370">
              <w:rPr>
                <w:rFonts w:cs="Arial"/>
                <w:vertAlign w:val="superscript"/>
                <w:lang w:val="en-US"/>
              </w:rPr>
              <w:t xml:space="preserve"> (1)</w:t>
            </w:r>
          </w:p>
        </w:tc>
        <w:tc>
          <w:tcPr>
            <w:tcW w:w="856" w:type="dxa"/>
            <w:shd w:val="clear" w:color="auto" w:fill="auto"/>
          </w:tcPr>
          <w:p w14:paraId="4B58C60D" w14:textId="77777777" w:rsidR="00375569" w:rsidRPr="00182370" w:rsidRDefault="00375569" w:rsidP="00CE4414">
            <w:pPr>
              <w:pStyle w:val="08-Tabelageral"/>
            </w:pPr>
          </w:p>
        </w:tc>
        <w:tc>
          <w:tcPr>
            <w:tcW w:w="401" w:type="dxa"/>
            <w:shd w:val="clear" w:color="auto" w:fill="auto"/>
          </w:tcPr>
          <w:p w14:paraId="27B2C128" w14:textId="77777777" w:rsidR="00375569" w:rsidRPr="00182370" w:rsidRDefault="00375569" w:rsidP="00CE4414">
            <w:pPr>
              <w:pStyle w:val="08-Tabelageral"/>
            </w:pPr>
          </w:p>
        </w:tc>
        <w:tc>
          <w:tcPr>
            <w:tcW w:w="2008" w:type="dxa"/>
            <w:shd w:val="clear" w:color="auto" w:fill="auto"/>
          </w:tcPr>
          <w:p w14:paraId="0FA8EC9B" w14:textId="77777777" w:rsidR="00375569" w:rsidRPr="00182370" w:rsidRDefault="00375569" w:rsidP="00CE4414">
            <w:pPr>
              <w:pStyle w:val="08-Tabelageral"/>
            </w:pPr>
            <w:r w:rsidRPr="00182370">
              <w:t>59.103</w:t>
            </w:r>
          </w:p>
        </w:tc>
        <w:tc>
          <w:tcPr>
            <w:tcW w:w="2009" w:type="dxa"/>
            <w:shd w:val="clear" w:color="auto" w:fill="auto"/>
            <w:vAlign w:val="center"/>
          </w:tcPr>
          <w:p w14:paraId="5E89BE50" w14:textId="77777777" w:rsidR="00375569" w:rsidRPr="00182370" w:rsidRDefault="00375569" w:rsidP="00CE4414">
            <w:pPr>
              <w:pStyle w:val="08-Tabelageral"/>
            </w:pPr>
            <w:r w:rsidRPr="00182370">
              <w:t>27.331</w:t>
            </w:r>
          </w:p>
        </w:tc>
      </w:tr>
      <w:tr w:rsidR="00375569" w:rsidRPr="00725333" w14:paraId="02E736D4" w14:textId="77777777" w:rsidTr="00994B01">
        <w:trPr>
          <w:trHeight w:val="238"/>
        </w:trPr>
        <w:tc>
          <w:tcPr>
            <w:tcW w:w="4384" w:type="dxa"/>
            <w:shd w:val="clear" w:color="auto" w:fill="auto"/>
          </w:tcPr>
          <w:p w14:paraId="539896BB" w14:textId="77777777" w:rsidR="00375569" w:rsidRPr="00182370" w:rsidRDefault="00375569" w:rsidP="00CE4414">
            <w:pPr>
              <w:pStyle w:val="08-Tabelageral"/>
              <w:ind w:left="113"/>
              <w:jc w:val="left"/>
              <w:rPr>
                <w:rFonts w:cs="Arial"/>
                <w:szCs w:val="14"/>
                <w:lang w:val="en-US"/>
              </w:rPr>
            </w:pPr>
            <w:r w:rsidRPr="00182370">
              <w:rPr>
                <w:rFonts w:cs="Arial"/>
                <w:szCs w:val="14"/>
                <w:lang w:val="en-US"/>
              </w:rPr>
              <w:t>Outras</w:t>
            </w:r>
          </w:p>
        </w:tc>
        <w:tc>
          <w:tcPr>
            <w:tcW w:w="856" w:type="dxa"/>
            <w:shd w:val="clear" w:color="auto" w:fill="auto"/>
          </w:tcPr>
          <w:p w14:paraId="1FDB6C16" w14:textId="77777777" w:rsidR="00375569" w:rsidRPr="00182370" w:rsidRDefault="00375569" w:rsidP="00CE4414">
            <w:pPr>
              <w:pStyle w:val="08-Tabelageral"/>
              <w:rPr>
                <w:szCs w:val="14"/>
              </w:rPr>
            </w:pPr>
          </w:p>
        </w:tc>
        <w:tc>
          <w:tcPr>
            <w:tcW w:w="401" w:type="dxa"/>
            <w:shd w:val="clear" w:color="auto" w:fill="auto"/>
          </w:tcPr>
          <w:p w14:paraId="3FCE4DE7" w14:textId="77777777" w:rsidR="00375569" w:rsidRPr="00182370" w:rsidRDefault="00375569" w:rsidP="00CE4414">
            <w:pPr>
              <w:pStyle w:val="08-Tabelageral"/>
              <w:rPr>
                <w:szCs w:val="14"/>
              </w:rPr>
            </w:pPr>
          </w:p>
        </w:tc>
        <w:tc>
          <w:tcPr>
            <w:tcW w:w="2008" w:type="dxa"/>
            <w:shd w:val="clear" w:color="auto" w:fill="auto"/>
          </w:tcPr>
          <w:p w14:paraId="688F5C73" w14:textId="77777777" w:rsidR="00375569" w:rsidRPr="00182370" w:rsidRDefault="00375569" w:rsidP="00CE4414">
            <w:pPr>
              <w:pStyle w:val="08-Tabelageral"/>
            </w:pPr>
            <w:r w:rsidRPr="00182370">
              <w:t>2</w:t>
            </w:r>
          </w:p>
        </w:tc>
        <w:tc>
          <w:tcPr>
            <w:tcW w:w="2009" w:type="dxa"/>
            <w:shd w:val="clear" w:color="auto" w:fill="auto"/>
            <w:vAlign w:val="center"/>
          </w:tcPr>
          <w:p w14:paraId="5EDA9732" w14:textId="77777777" w:rsidR="00375569" w:rsidRPr="00182370" w:rsidRDefault="00375569" w:rsidP="00CE4414">
            <w:pPr>
              <w:pStyle w:val="08-Tabelageral"/>
            </w:pPr>
            <w:r w:rsidRPr="00182370">
              <w:t>1</w:t>
            </w:r>
          </w:p>
        </w:tc>
      </w:tr>
      <w:tr w:rsidR="00375569" w:rsidRPr="00725333" w14:paraId="164F99AD" w14:textId="77777777" w:rsidTr="00994B01">
        <w:trPr>
          <w:trHeight w:val="238"/>
        </w:trPr>
        <w:tc>
          <w:tcPr>
            <w:tcW w:w="4384" w:type="dxa"/>
            <w:tcBorders>
              <w:bottom w:val="single" w:sz="2" w:space="0" w:color="1F4E79" w:themeColor="accent1" w:themeShade="80"/>
            </w:tcBorders>
            <w:shd w:val="clear" w:color="auto" w:fill="auto"/>
          </w:tcPr>
          <w:p w14:paraId="7B2F1870" w14:textId="77777777" w:rsidR="00375569" w:rsidRPr="00182370" w:rsidRDefault="00375569" w:rsidP="00CE4414">
            <w:pPr>
              <w:pStyle w:val="08-Tabelageral"/>
              <w:jc w:val="left"/>
              <w:rPr>
                <w:rFonts w:cs="Arial"/>
                <w:b/>
                <w:bCs/>
                <w:szCs w:val="14"/>
                <w:lang w:val="en-US"/>
              </w:rPr>
            </w:pPr>
            <w:r w:rsidRPr="00182370">
              <w:rPr>
                <w:rFonts w:cs="Arial"/>
                <w:b/>
                <w:lang w:val="en-US"/>
              </w:rPr>
              <w:t>Total</w:t>
            </w:r>
          </w:p>
        </w:tc>
        <w:tc>
          <w:tcPr>
            <w:tcW w:w="856" w:type="dxa"/>
            <w:tcBorders>
              <w:bottom w:val="single" w:sz="2" w:space="0" w:color="1F4E79" w:themeColor="accent1" w:themeShade="80"/>
            </w:tcBorders>
            <w:shd w:val="clear" w:color="auto" w:fill="auto"/>
          </w:tcPr>
          <w:p w14:paraId="58C96E15" w14:textId="77777777" w:rsidR="00375569" w:rsidRPr="00182370" w:rsidRDefault="00375569" w:rsidP="00CE4414">
            <w:pPr>
              <w:pStyle w:val="08-Tabelageral"/>
              <w:rPr>
                <w:b/>
                <w:szCs w:val="14"/>
              </w:rPr>
            </w:pPr>
          </w:p>
        </w:tc>
        <w:tc>
          <w:tcPr>
            <w:tcW w:w="401" w:type="dxa"/>
            <w:tcBorders>
              <w:bottom w:val="single" w:sz="2" w:space="0" w:color="1F4E79" w:themeColor="accent1" w:themeShade="80"/>
            </w:tcBorders>
            <w:shd w:val="clear" w:color="auto" w:fill="auto"/>
          </w:tcPr>
          <w:p w14:paraId="4291140A" w14:textId="77777777" w:rsidR="00375569" w:rsidRPr="00182370" w:rsidRDefault="00375569" w:rsidP="00CE4414">
            <w:pPr>
              <w:pStyle w:val="08-Tabelageral"/>
              <w:rPr>
                <w:b/>
                <w:szCs w:val="14"/>
              </w:rPr>
            </w:pPr>
          </w:p>
        </w:tc>
        <w:tc>
          <w:tcPr>
            <w:tcW w:w="2008" w:type="dxa"/>
            <w:tcBorders>
              <w:bottom w:val="single" w:sz="2" w:space="0" w:color="1F4E79" w:themeColor="accent1" w:themeShade="80"/>
            </w:tcBorders>
            <w:shd w:val="clear" w:color="auto" w:fill="auto"/>
          </w:tcPr>
          <w:p w14:paraId="52BA9980" w14:textId="77777777" w:rsidR="00375569" w:rsidRPr="00182370" w:rsidRDefault="00375569" w:rsidP="00CE4414">
            <w:pPr>
              <w:pStyle w:val="08-Tabelageral"/>
              <w:rPr>
                <w:b/>
                <w:bCs/>
              </w:rPr>
            </w:pPr>
            <w:r w:rsidRPr="00182370">
              <w:rPr>
                <w:b/>
                <w:bCs/>
              </w:rPr>
              <w:t>2.967.027</w:t>
            </w:r>
          </w:p>
        </w:tc>
        <w:tc>
          <w:tcPr>
            <w:tcW w:w="2009" w:type="dxa"/>
            <w:tcBorders>
              <w:bottom w:val="single" w:sz="2" w:space="0" w:color="1F4E79" w:themeColor="accent1" w:themeShade="80"/>
            </w:tcBorders>
            <w:shd w:val="clear" w:color="auto" w:fill="auto"/>
            <w:vAlign w:val="center"/>
          </w:tcPr>
          <w:p w14:paraId="5B9FA37B" w14:textId="77777777" w:rsidR="00375569" w:rsidRPr="00182370" w:rsidRDefault="00375569" w:rsidP="00CE4414">
            <w:pPr>
              <w:pStyle w:val="08-Tabelageral"/>
              <w:rPr>
                <w:b/>
              </w:rPr>
            </w:pPr>
            <w:r w:rsidRPr="00182370">
              <w:rPr>
                <w:b/>
              </w:rPr>
              <w:t>2.544.608</w:t>
            </w:r>
          </w:p>
        </w:tc>
      </w:tr>
    </w:tbl>
    <w:p w14:paraId="06C73C38" w14:textId="77777777" w:rsidR="00375569" w:rsidRPr="00182370" w:rsidRDefault="00375569" w:rsidP="00375569">
      <w:pPr>
        <w:pStyle w:val="PargrafodaLista"/>
        <w:keepLines/>
        <w:numPr>
          <w:ilvl w:val="0"/>
          <w:numId w:val="17"/>
        </w:numPr>
        <w:tabs>
          <w:tab w:val="left" w:pos="284"/>
        </w:tabs>
        <w:spacing w:before="40" w:after="0" w:line="240" w:lineRule="auto"/>
        <w:ind w:left="284" w:hanging="284"/>
        <w:jc w:val="both"/>
        <w:rPr>
          <w:rFonts w:ascii="Arial" w:eastAsia="Times New Roman" w:hAnsi="Arial" w:cs="Arial"/>
          <w:spacing w:val="-2"/>
          <w:sz w:val="14"/>
          <w:szCs w:val="14"/>
        </w:rPr>
      </w:pPr>
      <w:r w:rsidRPr="00182370">
        <w:rPr>
          <w:rFonts w:ascii="Arial" w:eastAsia="Times New Roman" w:hAnsi="Arial" w:cs="Arial"/>
          <w:spacing w:val="-2"/>
          <w:sz w:val="14"/>
          <w:szCs w:val="14"/>
          <w:lang w:eastAsia="pt-BR"/>
        </w:rPr>
        <w:t>Apesar da venda da participação, os produtos da Mapfre Seguros Gerais continuam sendo comercializados pela BB Corretora.</w:t>
      </w:r>
    </w:p>
    <w:p w14:paraId="245DF6EE" w14:textId="77777777" w:rsidR="00375569" w:rsidRPr="006E1D9B" w:rsidRDefault="00375569" w:rsidP="006E1D9B">
      <w:pPr>
        <w:keepLines/>
        <w:tabs>
          <w:tab w:val="left" w:pos="284"/>
        </w:tabs>
        <w:spacing w:before="40" w:after="0" w:line="240" w:lineRule="auto"/>
        <w:ind w:left="284" w:hanging="284"/>
        <w:jc w:val="both"/>
        <w:rPr>
          <w:rFonts w:eastAsia="Times New Roman" w:cs="Arial"/>
          <w:spacing w:val="-2"/>
          <w:sz w:val="14"/>
          <w:szCs w:val="14"/>
        </w:rPr>
      </w:pPr>
    </w:p>
    <w:p w14:paraId="43D6BFFC" w14:textId="0DE6FE6A" w:rsidR="00375569" w:rsidRDefault="00375569" w:rsidP="00504CB9">
      <w:pPr>
        <w:keepLines/>
        <w:tabs>
          <w:tab w:val="left" w:pos="284"/>
        </w:tabs>
        <w:spacing w:before="120" w:after="120"/>
        <w:jc w:val="both"/>
        <w:rPr>
          <w:rFonts w:eastAsia="Times New Roman" w:cs="Arial"/>
          <w:spacing w:val="-2"/>
          <w:szCs w:val="14"/>
        </w:rPr>
      </w:pPr>
      <w:r w:rsidRPr="006E1D9B">
        <w:rPr>
          <w:rFonts w:eastAsia="Times New Roman" w:cs="Arial"/>
          <w:spacing w:val="-2"/>
          <w:szCs w:val="14"/>
        </w:rPr>
        <w:t>Não há saldo de comissões a apropriar no controlador.</w:t>
      </w:r>
    </w:p>
    <w:p w14:paraId="71BADEE7" w14:textId="77777777" w:rsidR="00725333" w:rsidRPr="00FE097E" w:rsidRDefault="00725333" w:rsidP="00504CB9">
      <w:pPr>
        <w:keepLines/>
        <w:tabs>
          <w:tab w:val="left" w:pos="284"/>
        </w:tabs>
        <w:spacing w:before="120" w:after="120"/>
        <w:jc w:val="both"/>
        <w:rPr>
          <w:rFonts w:eastAsia="Times New Roman" w:cs="Arial"/>
          <w:spacing w:val="-2"/>
          <w:szCs w:val="14"/>
        </w:rPr>
      </w:pPr>
    </w:p>
    <w:p w14:paraId="081299D4" w14:textId="052CD339" w:rsidR="00375569" w:rsidRPr="00725333" w:rsidRDefault="00375569" w:rsidP="00725333">
      <w:pPr>
        <w:pStyle w:val="02-TtulodeNota"/>
        <w:rPr>
          <w:color w:val="1F4E79" w:themeColor="accent1" w:themeShade="80"/>
        </w:rPr>
      </w:pPr>
      <w:bookmarkStart w:id="105" w:name="OLE_LINK19"/>
      <w:bookmarkStart w:id="106" w:name="_Toc94861082"/>
      <w:r w:rsidRPr="00725333">
        <w:rPr>
          <w:color w:val="1F4E79" w:themeColor="accent1" w:themeShade="80"/>
        </w:rPr>
        <w:lastRenderedPageBreak/>
        <w:t>24 – OUTROS PASSIVOS</w:t>
      </w:r>
      <w:bookmarkEnd w:id="106"/>
    </w:p>
    <w:p w14:paraId="4CA409D2" w14:textId="77777777" w:rsidR="00375569" w:rsidRPr="00FF3D4B" w:rsidRDefault="00375569" w:rsidP="003527EA">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687"/>
        <w:gridCol w:w="283"/>
        <w:gridCol w:w="1560"/>
        <w:gridCol w:w="1134"/>
        <w:gridCol w:w="425"/>
        <w:gridCol w:w="1276"/>
        <w:gridCol w:w="1274"/>
      </w:tblGrid>
      <w:tr w:rsidR="00375569" w:rsidRPr="001A1E07" w14:paraId="4E4BF1FB" w14:textId="77777777" w:rsidTr="004C3C92">
        <w:trPr>
          <w:trHeight w:hRule="exact" w:val="283"/>
          <w:jc w:val="center"/>
        </w:trPr>
        <w:tc>
          <w:tcPr>
            <w:tcW w:w="3687" w:type="dxa"/>
            <w:tcBorders>
              <w:top w:val="single" w:sz="2" w:space="0" w:color="1F4E79" w:themeColor="accent1" w:themeShade="80"/>
              <w:bottom w:val="nil"/>
            </w:tcBorders>
            <w:shd w:val="clear" w:color="auto" w:fill="auto"/>
          </w:tcPr>
          <w:p w14:paraId="4C1992C8" w14:textId="77777777" w:rsidR="00375569" w:rsidRPr="001A1E07" w:rsidRDefault="00375569" w:rsidP="001D6BE8">
            <w:pPr>
              <w:spacing w:after="0"/>
              <w:jc w:val="center"/>
              <w:rPr>
                <w:rFonts w:cs="Arial"/>
                <w:b/>
                <w:szCs w:val="18"/>
              </w:rPr>
            </w:pPr>
          </w:p>
        </w:tc>
        <w:tc>
          <w:tcPr>
            <w:tcW w:w="283" w:type="dxa"/>
            <w:tcBorders>
              <w:top w:val="single" w:sz="2" w:space="0" w:color="1F4E79" w:themeColor="accent1" w:themeShade="80"/>
              <w:bottom w:val="nil"/>
            </w:tcBorders>
            <w:shd w:val="clear" w:color="auto" w:fill="auto"/>
          </w:tcPr>
          <w:p w14:paraId="0C20E62A" w14:textId="77777777" w:rsidR="00375569" w:rsidRPr="001A1E07" w:rsidRDefault="00375569" w:rsidP="001D6BE8">
            <w:pPr>
              <w:spacing w:after="0"/>
              <w:jc w:val="center"/>
              <w:rPr>
                <w:rFonts w:cs="Arial"/>
                <w:b/>
                <w:szCs w:val="18"/>
              </w:rPr>
            </w:pPr>
          </w:p>
        </w:tc>
        <w:tc>
          <w:tcPr>
            <w:tcW w:w="2694" w:type="dxa"/>
            <w:gridSpan w:val="2"/>
            <w:tcBorders>
              <w:top w:val="single" w:sz="2" w:space="0" w:color="1F4E79" w:themeColor="accent1" w:themeShade="80"/>
              <w:bottom w:val="single" w:sz="2" w:space="0" w:color="1F4E79" w:themeColor="accent1" w:themeShade="80"/>
            </w:tcBorders>
            <w:shd w:val="clear" w:color="auto" w:fill="auto"/>
            <w:vAlign w:val="center"/>
          </w:tcPr>
          <w:p w14:paraId="652A9520" w14:textId="77777777" w:rsidR="00375569" w:rsidRPr="001A1E07" w:rsidRDefault="00375569" w:rsidP="001A1E07">
            <w:pPr>
              <w:spacing w:after="0"/>
              <w:jc w:val="center"/>
              <w:rPr>
                <w:rFonts w:cs="Arial"/>
                <w:b/>
                <w:sz w:val="14"/>
                <w:szCs w:val="18"/>
              </w:rPr>
            </w:pPr>
            <w:r w:rsidRPr="001A1E07">
              <w:rPr>
                <w:rFonts w:cs="Arial"/>
                <w:b/>
                <w:sz w:val="14"/>
                <w:szCs w:val="18"/>
              </w:rPr>
              <w:t>Controlador</w:t>
            </w:r>
          </w:p>
        </w:tc>
        <w:tc>
          <w:tcPr>
            <w:tcW w:w="425" w:type="dxa"/>
            <w:tcBorders>
              <w:top w:val="single" w:sz="2" w:space="0" w:color="1F4E79" w:themeColor="accent1" w:themeShade="80"/>
              <w:bottom w:val="nil"/>
            </w:tcBorders>
            <w:shd w:val="clear" w:color="auto" w:fill="auto"/>
            <w:vAlign w:val="center"/>
          </w:tcPr>
          <w:p w14:paraId="2DA7CB7C" w14:textId="77777777" w:rsidR="00375569" w:rsidRPr="001A1E07" w:rsidRDefault="00375569" w:rsidP="001A1E07">
            <w:pPr>
              <w:spacing w:after="0"/>
              <w:jc w:val="center"/>
              <w:rPr>
                <w:rFonts w:cs="Arial"/>
                <w:b/>
                <w:szCs w:val="18"/>
              </w:rPr>
            </w:pPr>
          </w:p>
        </w:tc>
        <w:tc>
          <w:tcPr>
            <w:tcW w:w="2550" w:type="dxa"/>
            <w:gridSpan w:val="2"/>
            <w:tcBorders>
              <w:top w:val="single" w:sz="2" w:space="0" w:color="1F4E79" w:themeColor="accent1" w:themeShade="80"/>
              <w:bottom w:val="single" w:sz="2" w:space="0" w:color="1F4E79" w:themeColor="accent1" w:themeShade="80"/>
            </w:tcBorders>
            <w:shd w:val="clear" w:color="auto" w:fill="auto"/>
            <w:vAlign w:val="center"/>
          </w:tcPr>
          <w:p w14:paraId="19362C3D" w14:textId="77777777" w:rsidR="00375569" w:rsidRPr="001A1E07" w:rsidRDefault="00375569" w:rsidP="001A1E07">
            <w:pPr>
              <w:spacing w:after="0"/>
              <w:jc w:val="center"/>
              <w:rPr>
                <w:rFonts w:cs="Arial"/>
                <w:b/>
                <w:szCs w:val="18"/>
              </w:rPr>
            </w:pPr>
            <w:r w:rsidRPr="001A1E07">
              <w:rPr>
                <w:rFonts w:cs="Arial"/>
                <w:b/>
                <w:sz w:val="14"/>
                <w:szCs w:val="18"/>
              </w:rPr>
              <w:t>Consolidado</w:t>
            </w:r>
          </w:p>
        </w:tc>
      </w:tr>
      <w:tr w:rsidR="00375569" w:rsidRPr="001A1E07" w14:paraId="01EEF223" w14:textId="77777777" w:rsidTr="004C3C92">
        <w:trPr>
          <w:trHeight w:hRule="exact" w:val="238"/>
          <w:jc w:val="center"/>
        </w:trPr>
        <w:tc>
          <w:tcPr>
            <w:tcW w:w="3687" w:type="dxa"/>
            <w:tcBorders>
              <w:top w:val="nil"/>
              <w:bottom w:val="single" w:sz="2" w:space="0" w:color="1F4E79" w:themeColor="accent1" w:themeShade="80"/>
            </w:tcBorders>
            <w:shd w:val="clear" w:color="auto" w:fill="auto"/>
          </w:tcPr>
          <w:p w14:paraId="528F1182" w14:textId="77777777" w:rsidR="00375569" w:rsidRPr="001A1E07" w:rsidRDefault="00375569" w:rsidP="00290C4E">
            <w:pPr>
              <w:pStyle w:val="08-Tabelageral"/>
              <w:rPr>
                <w:rFonts w:cs="Arial"/>
                <w:b/>
              </w:rPr>
            </w:pPr>
          </w:p>
        </w:tc>
        <w:tc>
          <w:tcPr>
            <w:tcW w:w="283" w:type="dxa"/>
            <w:tcBorders>
              <w:top w:val="nil"/>
              <w:bottom w:val="single" w:sz="2" w:space="0" w:color="1F4E79" w:themeColor="accent1" w:themeShade="80"/>
            </w:tcBorders>
            <w:shd w:val="clear" w:color="auto" w:fill="auto"/>
          </w:tcPr>
          <w:p w14:paraId="559F9492" w14:textId="77777777" w:rsidR="00375569" w:rsidRPr="001A1E07" w:rsidRDefault="00375569" w:rsidP="00290C4E">
            <w:pPr>
              <w:pStyle w:val="08-Tabelageral"/>
              <w:rPr>
                <w:rFonts w:cs="Arial"/>
                <w:b/>
              </w:rPr>
            </w:pP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661397E7" w14:textId="77777777" w:rsidR="00375569" w:rsidRPr="001A1E07" w:rsidRDefault="00375569" w:rsidP="00CF4933">
            <w:pPr>
              <w:pStyle w:val="08-Tabelageral"/>
              <w:rPr>
                <w:rFonts w:cs="Arial"/>
                <w:b/>
              </w:rPr>
            </w:pPr>
            <w:r w:rsidRPr="001A1E07">
              <w:rPr>
                <w:rFonts w:cs="Arial"/>
                <w:b/>
              </w:rPr>
              <w:t>3</w:t>
            </w:r>
            <w:r>
              <w:rPr>
                <w:rFonts w:cs="Arial"/>
                <w:b/>
              </w:rPr>
              <w:t>1</w:t>
            </w:r>
            <w:r w:rsidRPr="001A1E07">
              <w:rPr>
                <w:rFonts w:cs="Arial"/>
                <w:b/>
              </w:rPr>
              <w:t>.</w:t>
            </w:r>
            <w:r>
              <w:rPr>
                <w:rFonts w:cs="Arial"/>
                <w:b/>
              </w:rPr>
              <w:t>12</w:t>
            </w:r>
            <w:r w:rsidRPr="001A1E07">
              <w:rPr>
                <w:rFonts w:cs="Arial"/>
                <w:b/>
              </w:rPr>
              <w:t>.202</w:t>
            </w:r>
            <w:r>
              <w:rPr>
                <w:rFonts w:cs="Arial"/>
                <w:b/>
              </w:rPr>
              <w:t>1</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8B76438" w14:textId="77777777" w:rsidR="00375569" w:rsidRPr="001A1E07" w:rsidRDefault="00375569" w:rsidP="00BF3FCF">
            <w:pPr>
              <w:pStyle w:val="08-Tabelageral"/>
              <w:rPr>
                <w:rFonts w:cs="Arial"/>
                <w:b/>
              </w:rPr>
            </w:pPr>
            <w:r w:rsidRPr="001A1E07">
              <w:rPr>
                <w:rFonts w:cs="Arial"/>
                <w:b/>
              </w:rPr>
              <w:t>31.12.20</w:t>
            </w:r>
            <w:r>
              <w:rPr>
                <w:rFonts w:cs="Arial"/>
                <w:b/>
              </w:rPr>
              <w:t>20</w:t>
            </w:r>
          </w:p>
        </w:tc>
        <w:tc>
          <w:tcPr>
            <w:tcW w:w="425" w:type="dxa"/>
            <w:tcBorders>
              <w:top w:val="nil"/>
              <w:bottom w:val="single" w:sz="2" w:space="0" w:color="1F4E79" w:themeColor="accent1" w:themeShade="80"/>
            </w:tcBorders>
            <w:shd w:val="clear" w:color="auto" w:fill="auto"/>
            <w:vAlign w:val="center"/>
          </w:tcPr>
          <w:p w14:paraId="4E8C7004" w14:textId="77777777" w:rsidR="00375569" w:rsidRPr="001A1E07" w:rsidRDefault="00375569" w:rsidP="001A1E07">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CB221B7" w14:textId="77777777" w:rsidR="00375569" w:rsidRPr="001A1E07" w:rsidRDefault="00375569" w:rsidP="00CF4933">
            <w:pPr>
              <w:pStyle w:val="08-Tabelageral"/>
              <w:rPr>
                <w:rFonts w:cs="Arial"/>
                <w:b/>
              </w:rPr>
            </w:pPr>
            <w:r w:rsidRPr="001A1E07">
              <w:rPr>
                <w:rFonts w:cs="Arial"/>
                <w:b/>
              </w:rPr>
              <w:t>3</w:t>
            </w:r>
            <w:r>
              <w:rPr>
                <w:rFonts w:cs="Arial"/>
                <w:b/>
              </w:rPr>
              <w:t>1</w:t>
            </w:r>
            <w:r w:rsidRPr="001A1E07">
              <w:rPr>
                <w:rFonts w:cs="Arial"/>
                <w:b/>
              </w:rPr>
              <w:t>.</w:t>
            </w:r>
            <w:r>
              <w:rPr>
                <w:rFonts w:cs="Arial"/>
                <w:b/>
              </w:rPr>
              <w:t>12</w:t>
            </w:r>
            <w:r w:rsidRPr="001A1E07">
              <w:rPr>
                <w:rFonts w:cs="Arial"/>
                <w:b/>
              </w:rPr>
              <w:t>.202</w:t>
            </w:r>
            <w:r>
              <w:rPr>
                <w:rFonts w:cs="Arial"/>
                <w:b/>
              </w:rPr>
              <w:t>1</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58C468A2" w14:textId="77777777" w:rsidR="00375569" w:rsidRPr="001A1E07" w:rsidRDefault="00375569" w:rsidP="00BF3FCF">
            <w:pPr>
              <w:pStyle w:val="08-Tabelageral"/>
              <w:rPr>
                <w:rFonts w:cs="Arial"/>
                <w:b/>
              </w:rPr>
            </w:pPr>
            <w:r w:rsidRPr="001A1E07">
              <w:rPr>
                <w:rFonts w:cs="Arial"/>
                <w:b/>
              </w:rPr>
              <w:t>31.12.20</w:t>
            </w:r>
            <w:r>
              <w:rPr>
                <w:rFonts w:cs="Arial"/>
                <w:b/>
              </w:rPr>
              <w:t>20</w:t>
            </w:r>
          </w:p>
        </w:tc>
      </w:tr>
      <w:tr w:rsidR="00375569" w:rsidRPr="001A1E07" w14:paraId="5E84CA9E" w14:textId="77777777" w:rsidTr="004C3C92">
        <w:trPr>
          <w:trHeight w:val="238"/>
          <w:jc w:val="center"/>
        </w:trPr>
        <w:tc>
          <w:tcPr>
            <w:tcW w:w="3687" w:type="dxa"/>
            <w:tcBorders>
              <w:top w:val="single" w:sz="2" w:space="0" w:color="1F4E79" w:themeColor="accent1" w:themeShade="80"/>
            </w:tcBorders>
            <w:shd w:val="clear" w:color="auto" w:fill="auto"/>
          </w:tcPr>
          <w:p w14:paraId="46CBCFAD" w14:textId="77777777" w:rsidR="00375569" w:rsidRPr="001A1E07" w:rsidRDefault="00375569" w:rsidP="00F52020">
            <w:pPr>
              <w:pStyle w:val="08-Tabelageral"/>
              <w:jc w:val="left"/>
              <w:rPr>
                <w:rFonts w:cs="Arial"/>
                <w:b/>
                <w:bCs/>
                <w:szCs w:val="14"/>
              </w:rPr>
            </w:pPr>
            <w:r w:rsidRPr="001A1E07">
              <w:rPr>
                <w:rFonts w:cs="Arial"/>
                <w:b/>
                <w:szCs w:val="14"/>
              </w:rPr>
              <w:t>Passivo Circulante</w:t>
            </w:r>
          </w:p>
        </w:tc>
        <w:tc>
          <w:tcPr>
            <w:tcW w:w="283" w:type="dxa"/>
            <w:tcBorders>
              <w:top w:val="single" w:sz="2" w:space="0" w:color="1F4E79" w:themeColor="accent1" w:themeShade="80"/>
            </w:tcBorders>
            <w:shd w:val="clear" w:color="auto" w:fill="auto"/>
          </w:tcPr>
          <w:p w14:paraId="13EB0B13" w14:textId="77777777" w:rsidR="00375569" w:rsidRPr="001A1E07" w:rsidRDefault="00375569" w:rsidP="00F52020">
            <w:pPr>
              <w:pStyle w:val="08-Tabelageral"/>
              <w:ind w:left="113"/>
              <w:jc w:val="center"/>
              <w:rPr>
                <w:rFonts w:cs="Arial"/>
                <w:b/>
                <w:szCs w:val="14"/>
              </w:rPr>
            </w:pPr>
          </w:p>
        </w:tc>
        <w:tc>
          <w:tcPr>
            <w:tcW w:w="1560" w:type="dxa"/>
            <w:tcBorders>
              <w:top w:val="single" w:sz="2" w:space="0" w:color="1F4E79" w:themeColor="accent1" w:themeShade="80"/>
            </w:tcBorders>
            <w:shd w:val="clear" w:color="auto" w:fill="auto"/>
            <w:vAlign w:val="center"/>
          </w:tcPr>
          <w:p w14:paraId="3B149F9C" w14:textId="77777777" w:rsidR="00375569" w:rsidRPr="001A1E07" w:rsidRDefault="00375569" w:rsidP="001A1E07">
            <w:pPr>
              <w:pStyle w:val="08-Tabelageral"/>
              <w:ind w:left="113"/>
              <w:rPr>
                <w:rFonts w:cs="Arial"/>
                <w:b/>
                <w:szCs w:val="14"/>
              </w:rPr>
            </w:pPr>
          </w:p>
        </w:tc>
        <w:tc>
          <w:tcPr>
            <w:tcW w:w="1134" w:type="dxa"/>
            <w:tcBorders>
              <w:top w:val="single" w:sz="2" w:space="0" w:color="1F4E79" w:themeColor="accent1" w:themeShade="80"/>
            </w:tcBorders>
            <w:shd w:val="clear" w:color="auto" w:fill="auto"/>
            <w:vAlign w:val="center"/>
          </w:tcPr>
          <w:p w14:paraId="213BF6FF" w14:textId="77777777" w:rsidR="00375569" w:rsidRPr="001A1E07" w:rsidRDefault="00375569" w:rsidP="001A1E07">
            <w:pPr>
              <w:pStyle w:val="08-Tabelageral"/>
              <w:ind w:left="113"/>
              <w:rPr>
                <w:rFonts w:cs="Arial"/>
                <w:b/>
                <w:szCs w:val="14"/>
              </w:rPr>
            </w:pPr>
          </w:p>
        </w:tc>
        <w:tc>
          <w:tcPr>
            <w:tcW w:w="425" w:type="dxa"/>
            <w:tcBorders>
              <w:top w:val="single" w:sz="2" w:space="0" w:color="1F4E79" w:themeColor="accent1" w:themeShade="80"/>
            </w:tcBorders>
            <w:shd w:val="clear" w:color="auto" w:fill="auto"/>
            <w:vAlign w:val="center"/>
          </w:tcPr>
          <w:p w14:paraId="147F4784" w14:textId="77777777" w:rsidR="00375569" w:rsidRPr="001A1E07" w:rsidRDefault="00375569" w:rsidP="001A1E07">
            <w:pPr>
              <w:pStyle w:val="08-Tabelageral"/>
              <w:ind w:left="113"/>
              <w:rPr>
                <w:rFonts w:cs="Arial"/>
                <w:b/>
                <w:szCs w:val="14"/>
              </w:rPr>
            </w:pPr>
          </w:p>
        </w:tc>
        <w:tc>
          <w:tcPr>
            <w:tcW w:w="1276" w:type="dxa"/>
            <w:tcBorders>
              <w:top w:val="single" w:sz="2" w:space="0" w:color="1F4E79" w:themeColor="accent1" w:themeShade="80"/>
            </w:tcBorders>
            <w:shd w:val="clear" w:color="auto" w:fill="auto"/>
            <w:vAlign w:val="center"/>
          </w:tcPr>
          <w:p w14:paraId="71E7533D" w14:textId="77777777" w:rsidR="00375569" w:rsidRPr="001A1E07" w:rsidRDefault="00375569" w:rsidP="001A1E07">
            <w:pPr>
              <w:pStyle w:val="08-Tabelageral"/>
              <w:ind w:left="113"/>
              <w:rPr>
                <w:rFonts w:cs="Arial"/>
                <w:b/>
                <w:szCs w:val="14"/>
              </w:rPr>
            </w:pPr>
          </w:p>
        </w:tc>
        <w:tc>
          <w:tcPr>
            <w:tcW w:w="1274" w:type="dxa"/>
            <w:tcBorders>
              <w:top w:val="single" w:sz="2" w:space="0" w:color="1F4E79" w:themeColor="accent1" w:themeShade="80"/>
            </w:tcBorders>
            <w:shd w:val="clear" w:color="auto" w:fill="auto"/>
            <w:vAlign w:val="center"/>
          </w:tcPr>
          <w:p w14:paraId="52714584" w14:textId="77777777" w:rsidR="00375569" w:rsidRPr="001A1E07" w:rsidRDefault="00375569" w:rsidP="001A1E07">
            <w:pPr>
              <w:pStyle w:val="08-Tabelageral"/>
              <w:ind w:left="113"/>
              <w:rPr>
                <w:rFonts w:cs="Arial"/>
                <w:b/>
                <w:szCs w:val="14"/>
              </w:rPr>
            </w:pPr>
          </w:p>
        </w:tc>
      </w:tr>
      <w:tr w:rsidR="00375569" w:rsidRPr="001A1E07" w14:paraId="5752F1CD" w14:textId="77777777" w:rsidTr="004C3C92">
        <w:trPr>
          <w:trHeight w:val="238"/>
          <w:jc w:val="center"/>
        </w:trPr>
        <w:tc>
          <w:tcPr>
            <w:tcW w:w="3687" w:type="dxa"/>
            <w:shd w:val="clear" w:color="auto" w:fill="auto"/>
          </w:tcPr>
          <w:p w14:paraId="275DFE4B" w14:textId="77777777" w:rsidR="00375569" w:rsidRPr="001A1E07" w:rsidRDefault="00375569" w:rsidP="00BF3FCF">
            <w:pPr>
              <w:pStyle w:val="08-Tabelageral"/>
              <w:ind w:left="113"/>
              <w:jc w:val="left"/>
              <w:rPr>
                <w:rFonts w:cs="Arial"/>
                <w:szCs w:val="14"/>
              </w:rPr>
            </w:pPr>
            <w:r w:rsidRPr="001A1E07">
              <w:rPr>
                <w:rFonts w:cs="Arial"/>
                <w:szCs w:val="14"/>
              </w:rPr>
              <w:t xml:space="preserve">Valores a pagar a sociedades ligadas </w:t>
            </w:r>
            <w:r w:rsidRPr="001A1E07">
              <w:rPr>
                <w:rFonts w:cs="Arial"/>
                <w:szCs w:val="14"/>
                <w:vertAlign w:val="superscript"/>
              </w:rPr>
              <w:t>(1)</w:t>
            </w:r>
          </w:p>
        </w:tc>
        <w:tc>
          <w:tcPr>
            <w:tcW w:w="283" w:type="dxa"/>
            <w:shd w:val="clear" w:color="auto" w:fill="auto"/>
          </w:tcPr>
          <w:p w14:paraId="5BF1567D" w14:textId="77777777" w:rsidR="00375569" w:rsidRPr="001A1E07" w:rsidRDefault="00375569" w:rsidP="00BF3FCF">
            <w:pPr>
              <w:pStyle w:val="08-Tabelageral"/>
              <w:ind w:left="113"/>
              <w:jc w:val="center"/>
              <w:rPr>
                <w:rFonts w:cs="Arial"/>
                <w:szCs w:val="14"/>
              </w:rPr>
            </w:pPr>
          </w:p>
        </w:tc>
        <w:tc>
          <w:tcPr>
            <w:tcW w:w="1560" w:type="dxa"/>
            <w:shd w:val="clear" w:color="auto" w:fill="auto"/>
            <w:vAlign w:val="center"/>
          </w:tcPr>
          <w:p w14:paraId="548FF20B" w14:textId="77777777" w:rsidR="00375569" w:rsidRPr="001A1E07" w:rsidRDefault="00375569" w:rsidP="00BF3FCF">
            <w:pPr>
              <w:pStyle w:val="08-Tabelageral"/>
              <w:ind w:left="113"/>
              <w:rPr>
                <w:rFonts w:cs="Arial"/>
                <w:szCs w:val="14"/>
              </w:rPr>
            </w:pPr>
            <w:r>
              <w:rPr>
                <w:rFonts w:cs="Arial"/>
                <w:szCs w:val="14"/>
              </w:rPr>
              <w:t>6.709</w:t>
            </w:r>
          </w:p>
        </w:tc>
        <w:tc>
          <w:tcPr>
            <w:tcW w:w="1134" w:type="dxa"/>
            <w:shd w:val="clear" w:color="auto" w:fill="auto"/>
            <w:vAlign w:val="center"/>
          </w:tcPr>
          <w:p w14:paraId="31457AC5" w14:textId="77777777" w:rsidR="00375569" w:rsidRPr="001A1E07" w:rsidRDefault="00375569" w:rsidP="00BF3FCF">
            <w:pPr>
              <w:pStyle w:val="08-Tabelageral"/>
              <w:ind w:left="113"/>
              <w:rPr>
                <w:rFonts w:cs="Arial"/>
                <w:szCs w:val="14"/>
              </w:rPr>
            </w:pPr>
            <w:r>
              <w:rPr>
                <w:rFonts w:cs="Arial"/>
                <w:szCs w:val="14"/>
              </w:rPr>
              <w:t>5.145</w:t>
            </w:r>
          </w:p>
        </w:tc>
        <w:tc>
          <w:tcPr>
            <w:tcW w:w="425" w:type="dxa"/>
            <w:shd w:val="clear" w:color="auto" w:fill="auto"/>
            <w:vAlign w:val="center"/>
          </w:tcPr>
          <w:p w14:paraId="5183AB30" w14:textId="77777777" w:rsidR="00375569" w:rsidRPr="001A1E07" w:rsidRDefault="00375569" w:rsidP="00BF3FCF">
            <w:pPr>
              <w:pStyle w:val="08-Tabelageral"/>
              <w:ind w:left="113"/>
              <w:rPr>
                <w:rFonts w:cs="Arial"/>
                <w:szCs w:val="14"/>
              </w:rPr>
            </w:pPr>
          </w:p>
        </w:tc>
        <w:tc>
          <w:tcPr>
            <w:tcW w:w="1276" w:type="dxa"/>
            <w:shd w:val="clear" w:color="auto" w:fill="auto"/>
            <w:vAlign w:val="center"/>
          </w:tcPr>
          <w:p w14:paraId="434B1F30" w14:textId="77777777" w:rsidR="00375569" w:rsidRPr="001A1E07" w:rsidRDefault="00375569" w:rsidP="00BF3FCF">
            <w:pPr>
              <w:pStyle w:val="08-Tabelageral"/>
              <w:ind w:left="113"/>
              <w:rPr>
                <w:rFonts w:cs="Arial"/>
                <w:szCs w:val="14"/>
              </w:rPr>
            </w:pPr>
            <w:r>
              <w:rPr>
                <w:rFonts w:cs="Arial"/>
                <w:szCs w:val="14"/>
              </w:rPr>
              <w:t>222.879</w:t>
            </w:r>
          </w:p>
        </w:tc>
        <w:tc>
          <w:tcPr>
            <w:tcW w:w="1274" w:type="dxa"/>
            <w:shd w:val="clear" w:color="auto" w:fill="auto"/>
            <w:vAlign w:val="center"/>
          </w:tcPr>
          <w:p w14:paraId="33F84A9B" w14:textId="77777777" w:rsidR="00375569" w:rsidRPr="001A1E07" w:rsidRDefault="00375569" w:rsidP="00BF3FCF">
            <w:pPr>
              <w:pStyle w:val="08-Tabelageral"/>
              <w:ind w:left="113"/>
              <w:rPr>
                <w:rFonts w:cs="Arial"/>
                <w:szCs w:val="14"/>
              </w:rPr>
            </w:pPr>
            <w:r>
              <w:rPr>
                <w:rFonts w:cs="Arial"/>
                <w:szCs w:val="14"/>
              </w:rPr>
              <w:t>84.514</w:t>
            </w:r>
          </w:p>
        </w:tc>
      </w:tr>
      <w:tr w:rsidR="00375569" w:rsidRPr="001A1E07" w14:paraId="0111920E" w14:textId="77777777" w:rsidTr="004C3C92">
        <w:trPr>
          <w:trHeight w:val="238"/>
          <w:jc w:val="center"/>
        </w:trPr>
        <w:tc>
          <w:tcPr>
            <w:tcW w:w="3687" w:type="dxa"/>
            <w:shd w:val="clear" w:color="auto" w:fill="auto"/>
          </w:tcPr>
          <w:p w14:paraId="241328FB" w14:textId="77777777" w:rsidR="00375569" w:rsidRPr="001A1E07" w:rsidRDefault="00375569" w:rsidP="00BF3FCF">
            <w:pPr>
              <w:pStyle w:val="08-Tabelageral"/>
              <w:ind w:left="113"/>
              <w:jc w:val="left"/>
              <w:rPr>
                <w:rFonts w:cs="Arial"/>
                <w:szCs w:val="14"/>
              </w:rPr>
            </w:pPr>
            <w:r w:rsidRPr="001A1E07">
              <w:rPr>
                <w:rFonts w:cs="Arial"/>
                <w:szCs w:val="14"/>
              </w:rPr>
              <w:t>Programa de remuneração variável de administradores</w:t>
            </w:r>
          </w:p>
        </w:tc>
        <w:tc>
          <w:tcPr>
            <w:tcW w:w="283" w:type="dxa"/>
            <w:shd w:val="clear" w:color="auto" w:fill="auto"/>
          </w:tcPr>
          <w:p w14:paraId="0E17E10E" w14:textId="77777777" w:rsidR="00375569" w:rsidRPr="001A1E07" w:rsidRDefault="00375569" w:rsidP="00BF3FCF">
            <w:pPr>
              <w:pStyle w:val="08-Tabelageral"/>
              <w:ind w:left="113"/>
              <w:jc w:val="center"/>
              <w:rPr>
                <w:rFonts w:cs="Arial"/>
                <w:szCs w:val="14"/>
              </w:rPr>
            </w:pPr>
          </w:p>
        </w:tc>
        <w:tc>
          <w:tcPr>
            <w:tcW w:w="1560" w:type="dxa"/>
            <w:shd w:val="clear" w:color="auto" w:fill="auto"/>
            <w:vAlign w:val="center"/>
          </w:tcPr>
          <w:p w14:paraId="45218E95" w14:textId="77777777" w:rsidR="00375569" w:rsidRPr="001A1E07" w:rsidRDefault="00375569" w:rsidP="00BF3FCF">
            <w:pPr>
              <w:pStyle w:val="08-Tabelageral"/>
              <w:ind w:left="113"/>
              <w:rPr>
                <w:rFonts w:cs="Arial"/>
                <w:szCs w:val="14"/>
              </w:rPr>
            </w:pPr>
            <w:r>
              <w:rPr>
                <w:rFonts w:cs="Arial"/>
                <w:szCs w:val="14"/>
              </w:rPr>
              <w:t>3.433</w:t>
            </w:r>
          </w:p>
        </w:tc>
        <w:tc>
          <w:tcPr>
            <w:tcW w:w="1134" w:type="dxa"/>
            <w:shd w:val="clear" w:color="auto" w:fill="auto"/>
            <w:vAlign w:val="center"/>
          </w:tcPr>
          <w:p w14:paraId="3367C252" w14:textId="77777777" w:rsidR="00375569" w:rsidRPr="001A1E07" w:rsidRDefault="00375569" w:rsidP="00BF3FCF">
            <w:pPr>
              <w:pStyle w:val="08-Tabelageral"/>
              <w:ind w:left="113"/>
              <w:rPr>
                <w:rFonts w:cs="Arial"/>
                <w:szCs w:val="14"/>
              </w:rPr>
            </w:pPr>
            <w:r>
              <w:rPr>
                <w:rFonts w:cs="Arial"/>
                <w:szCs w:val="14"/>
              </w:rPr>
              <w:t>2.576</w:t>
            </w:r>
          </w:p>
        </w:tc>
        <w:tc>
          <w:tcPr>
            <w:tcW w:w="425" w:type="dxa"/>
            <w:shd w:val="clear" w:color="auto" w:fill="auto"/>
            <w:vAlign w:val="center"/>
          </w:tcPr>
          <w:p w14:paraId="2E96959D" w14:textId="77777777" w:rsidR="00375569" w:rsidRPr="001A1E07" w:rsidRDefault="00375569" w:rsidP="00BF3FCF">
            <w:pPr>
              <w:pStyle w:val="08-Tabelageral"/>
              <w:ind w:left="113"/>
              <w:rPr>
                <w:rFonts w:cs="Arial"/>
                <w:szCs w:val="14"/>
              </w:rPr>
            </w:pPr>
          </w:p>
        </w:tc>
        <w:tc>
          <w:tcPr>
            <w:tcW w:w="1276" w:type="dxa"/>
            <w:shd w:val="clear" w:color="auto" w:fill="auto"/>
            <w:vAlign w:val="center"/>
          </w:tcPr>
          <w:p w14:paraId="61F668FF" w14:textId="77777777" w:rsidR="00375569" w:rsidRPr="001A1E07" w:rsidRDefault="00375569" w:rsidP="00BF3FCF">
            <w:pPr>
              <w:pStyle w:val="08-Tabelageral"/>
              <w:ind w:left="113"/>
              <w:rPr>
                <w:rFonts w:cs="Arial"/>
                <w:szCs w:val="14"/>
              </w:rPr>
            </w:pPr>
            <w:r>
              <w:rPr>
                <w:rFonts w:cs="Arial"/>
                <w:szCs w:val="14"/>
              </w:rPr>
              <w:t>3.433</w:t>
            </w:r>
          </w:p>
        </w:tc>
        <w:tc>
          <w:tcPr>
            <w:tcW w:w="1274" w:type="dxa"/>
            <w:shd w:val="clear" w:color="auto" w:fill="auto"/>
            <w:vAlign w:val="center"/>
          </w:tcPr>
          <w:p w14:paraId="4526EAFC" w14:textId="77777777" w:rsidR="00375569" w:rsidRPr="001A1E07" w:rsidRDefault="00375569" w:rsidP="00BF3FCF">
            <w:pPr>
              <w:pStyle w:val="08-Tabelageral"/>
              <w:ind w:left="113"/>
              <w:rPr>
                <w:rFonts w:cs="Arial"/>
                <w:szCs w:val="14"/>
              </w:rPr>
            </w:pPr>
            <w:r>
              <w:rPr>
                <w:rFonts w:cs="Arial"/>
                <w:szCs w:val="14"/>
              </w:rPr>
              <w:t>2.576</w:t>
            </w:r>
          </w:p>
        </w:tc>
      </w:tr>
      <w:tr w:rsidR="00375569" w:rsidRPr="001A1E07" w14:paraId="546F7420" w14:textId="77777777" w:rsidTr="004C3C92">
        <w:trPr>
          <w:trHeight w:val="238"/>
          <w:jc w:val="center"/>
        </w:trPr>
        <w:tc>
          <w:tcPr>
            <w:tcW w:w="3687" w:type="dxa"/>
            <w:shd w:val="clear" w:color="auto" w:fill="auto"/>
          </w:tcPr>
          <w:p w14:paraId="1A1CC1A9" w14:textId="77777777" w:rsidR="00375569" w:rsidRPr="001A1E07" w:rsidRDefault="00375569" w:rsidP="00BF3FCF">
            <w:pPr>
              <w:pStyle w:val="08-Tabelageral"/>
              <w:ind w:left="113"/>
              <w:jc w:val="left"/>
              <w:rPr>
                <w:rFonts w:cs="Arial"/>
                <w:szCs w:val="14"/>
              </w:rPr>
            </w:pPr>
            <w:r w:rsidRPr="001A1E07">
              <w:rPr>
                <w:rFonts w:cs="Arial"/>
                <w:szCs w:val="14"/>
              </w:rPr>
              <w:t>Programa de premiação por resultados</w:t>
            </w:r>
          </w:p>
        </w:tc>
        <w:tc>
          <w:tcPr>
            <w:tcW w:w="283" w:type="dxa"/>
            <w:shd w:val="clear" w:color="auto" w:fill="auto"/>
          </w:tcPr>
          <w:p w14:paraId="5C3E2811" w14:textId="77777777" w:rsidR="00375569" w:rsidRPr="001A1E07" w:rsidRDefault="00375569" w:rsidP="00BF3FCF">
            <w:pPr>
              <w:pStyle w:val="08-Tabelageral"/>
              <w:ind w:left="113"/>
              <w:jc w:val="center"/>
              <w:rPr>
                <w:rFonts w:cs="Arial"/>
                <w:szCs w:val="14"/>
              </w:rPr>
            </w:pPr>
          </w:p>
        </w:tc>
        <w:tc>
          <w:tcPr>
            <w:tcW w:w="1560" w:type="dxa"/>
            <w:shd w:val="clear" w:color="auto" w:fill="auto"/>
            <w:vAlign w:val="center"/>
          </w:tcPr>
          <w:p w14:paraId="5793F7F1" w14:textId="77777777" w:rsidR="00375569" w:rsidRPr="001A1E07" w:rsidRDefault="00375569" w:rsidP="00BF3FCF">
            <w:pPr>
              <w:pStyle w:val="08-Tabelageral"/>
              <w:ind w:left="113"/>
              <w:rPr>
                <w:rFonts w:cs="Arial"/>
                <w:szCs w:val="14"/>
              </w:rPr>
            </w:pPr>
            <w:r>
              <w:rPr>
                <w:rFonts w:cs="Arial"/>
                <w:szCs w:val="14"/>
              </w:rPr>
              <w:t>580</w:t>
            </w:r>
          </w:p>
        </w:tc>
        <w:tc>
          <w:tcPr>
            <w:tcW w:w="1134" w:type="dxa"/>
            <w:shd w:val="clear" w:color="auto" w:fill="auto"/>
            <w:vAlign w:val="center"/>
          </w:tcPr>
          <w:p w14:paraId="629BBFF3" w14:textId="77777777" w:rsidR="00375569" w:rsidRPr="001A1E07" w:rsidRDefault="00375569" w:rsidP="00BF3FCF">
            <w:pPr>
              <w:pStyle w:val="08-Tabelageral"/>
              <w:ind w:left="113"/>
              <w:rPr>
                <w:rFonts w:cs="Arial"/>
                <w:szCs w:val="14"/>
              </w:rPr>
            </w:pPr>
            <w:r>
              <w:rPr>
                <w:rFonts w:cs="Arial"/>
                <w:szCs w:val="14"/>
              </w:rPr>
              <w:t>392</w:t>
            </w:r>
          </w:p>
        </w:tc>
        <w:tc>
          <w:tcPr>
            <w:tcW w:w="425" w:type="dxa"/>
            <w:shd w:val="clear" w:color="auto" w:fill="auto"/>
            <w:vAlign w:val="center"/>
          </w:tcPr>
          <w:p w14:paraId="0C1FC098" w14:textId="77777777" w:rsidR="00375569" w:rsidRPr="001A1E07" w:rsidRDefault="00375569" w:rsidP="00BF3FCF">
            <w:pPr>
              <w:pStyle w:val="08-Tabelageral"/>
              <w:ind w:left="113"/>
              <w:rPr>
                <w:rFonts w:cs="Arial"/>
                <w:szCs w:val="14"/>
              </w:rPr>
            </w:pPr>
          </w:p>
        </w:tc>
        <w:tc>
          <w:tcPr>
            <w:tcW w:w="1276" w:type="dxa"/>
            <w:shd w:val="clear" w:color="auto" w:fill="auto"/>
            <w:vAlign w:val="center"/>
          </w:tcPr>
          <w:p w14:paraId="392C4F9A" w14:textId="77777777" w:rsidR="00375569" w:rsidRPr="001A1E07" w:rsidRDefault="00375569" w:rsidP="00BF3FCF">
            <w:pPr>
              <w:pStyle w:val="08-Tabelageral"/>
              <w:ind w:left="113"/>
              <w:rPr>
                <w:rFonts w:cs="Arial"/>
                <w:szCs w:val="14"/>
              </w:rPr>
            </w:pPr>
            <w:r>
              <w:rPr>
                <w:rFonts w:cs="Arial"/>
                <w:szCs w:val="14"/>
              </w:rPr>
              <w:t>580</w:t>
            </w:r>
          </w:p>
        </w:tc>
        <w:tc>
          <w:tcPr>
            <w:tcW w:w="1274" w:type="dxa"/>
            <w:shd w:val="clear" w:color="auto" w:fill="auto"/>
            <w:vAlign w:val="center"/>
          </w:tcPr>
          <w:p w14:paraId="73F68C40" w14:textId="77777777" w:rsidR="00375569" w:rsidRPr="001A1E07" w:rsidRDefault="00375569" w:rsidP="00BF3FCF">
            <w:pPr>
              <w:pStyle w:val="08-Tabelageral"/>
              <w:ind w:left="113"/>
              <w:rPr>
                <w:rFonts w:cs="Arial"/>
                <w:szCs w:val="14"/>
              </w:rPr>
            </w:pPr>
            <w:r>
              <w:rPr>
                <w:rFonts w:cs="Arial"/>
                <w:szCs w:val="14"/>
              </w:rPr>
              <w:t>392</w:t>
            </w:r>
          </w:p>
        </w:tc>
      </w:tr>
      <w:tr w:rsidR="00375569" w:rsidRPr="001A1E07" w14:paraId="1C24548F" w14:textId="77777777" w:rsidTr="004C3C92">
        <w:trPr>
          <w:trHeight w:val="238"/>
          <w:jc w:val="center"/>
        </w:trPr>
        <w:tc>
          <w:tcPr>
            <w:tcW w:w="3687" w:type="dxa"/>
            <w:tcBorders>
              <w:bottom w:val="nil"/>
            </w:tcBorders>
            <w:shd w:val="clear" w:color="auto" w:fill="auto"/>
          </w:tcPr>
          <w:p w14:paraId="52C6D9A6" w14:textId="77777777" w:rsidR="00375569" w:rsidRPr="001A1E07" w:rsidRDefault="00375569" w:rsidP="00BF3FCF">
            <w:pPr>
              <w:pStyle w:val="08-Tabelageral"/>
              <w:ind w:left="113"/>
              <w:jc w:val="left"/>
              <w:rPr>
                <w:rFonts w:cs="Arial"/>
                <w:szCs w:val="14"/>
              </w:rPr>
            </w:pPr>
            <w:r w:rsidRPr="001A1E07">
              <w:rPr>
                <w:rFonts w:cs="Arial"/>
                <w:szCs w:val="14"/>
              </w:rPr>
              <w:t>Outros</w:t>
            </w:r>
          </w:p>
        </w:tc>
        <w:tc>
          <w:tcPr>
            <w:tcW w:w="283" w:type="dxa"/>
            <w:tcBorders>
              <w:bottom w:val="nil"/>
            </w:tcBorders>
            <w:shd w:val="clear" w:color="auto" w:fill="auto"/>
          </w:tcPr>
          <w:p w14:paraId="31988FF8" w14:textId="77777777" w:rsidR="00375569" w:rsidRPr="001A1E07" w:rsidRDefault="00375569" w:rsidP="00BF3FCF">
            <w:pPr>
              <w:pStyle w:val="08-Tabelageral"/>
              <w:ind w:left="113"/>
              <w:jc w:val="center"/>
              <w:rPr>
                <w:rFonts w:cs="Arial"/>
                <w:szCs w:val="14"/>
              </w:rPr>
            </w:pPr>
          </w:p>
        </w:tc>
        <w:tc>
          <w:tcPr>
            <w:tcW w:w="1560" w:type="dxa"/>
            <w:tcBorders>
              <w:bottom w:val="nil"/>
            </w:tcBorders>
            <w:shd w:val="clear" w:color="auto" w:fill="auto"/>
            <w:vAlign w:val="center"/>
          </w:tcPr>
          <w:p w14:paraId="44D7EEB1" w14:textId="77777777" w:rsidR="00375569" w:rsidRPr="001A1E07" w:rsidRDefault="00375569" w:rsidP="00BF3FCF">
            <w:pPr>
              <w:pStyle w:val="08-Tabelageral"/>
              <w:ind w:left="113"/>
              <w:rPr>
                <w:rFonts w:cs="Arial"/>
                <w:szCs w:val="14"/>
              </w:rPr>
            </w:pPr>
            <w:r>
              <w:rPr>
                <w:rFonts w:cs="Arial"/>
                <w:szCs w:val="14"/>
              </w:rPr>
              <w:t>117</w:t>
            </w:r>
          </w:p>
        </w:tc>
        <w:tc>
          <w:tcPr>
            <w:tcW w:w="1134" w:type="dxa"/>
            <w:tcBorders>
              <w:bottom w:val="nil"/>
            </w:tcBorders>
            <w:shd w:val="clear" w:color="auto" w:fill="auto"/>
            <w:vAlign w:val="center"/>
          </w:tcPr>
          <w:p w14:paraId="2AECCEB9" w14:textId="77777777" w:rsidR="00375569" w:rsidRPr="001A1E07" w:rsidRDefault="00375569" w:rsidP="00BF3FCF">
            <w:pPr>
              <w:pStyle w:val="08-Tabelageral"/>
              <w:ind w:left="113"/>
              <w:rPr>
                <w:rFonts w:cs="Arial"/>
                <w:szCs w:val="14"/>
              </w:rPr>
            </w:pPr>
            <w:r>
              <w:rPr>
                <w:rFonts w:cs="Arial"/>
                <w:szCs w:val="14"/>
              </w:rPr>
              <w:t>490</w:t>
            </w:r>
          </w:p>
        </w:tc>
        <w:tc>
          <w:tcPr>
            <w:tcW w:w="425" w:type="dxa"/>
            <w:tcBorders>
              <w:bottom w:val="nil"/>
            </w:tcBorders>
            <w:shd w:val="clear" w:color="auto" w:fill="auto"/>
            <w:vAlign w:val="center"/>
          </w:tcPr>
          <w:p w14:paraId="59C3618D" w14:textId="77777777" w:rsidR="00375569" w:rsidRPr="001A1E07" w:rsidRDefault="00375569" w:rsidP="00BF3FCF">
            <w:pPr>
              <w:pStyle w:val="08-Tabelageral"/>
              <w:ind w:left="113"/>
              <w:rPr>
                <w:rFonts w:cs="Arial"/>
                <w:szCs w:val="14"/>
              </w:rPr>
            </w:pPr>
          </w:p>
        </w:tc>
        <w:tc>
          <w:tcPr>
            <w:tcW w:w="1276" w:type="dxa"/>
            <w:tcBorders>
              <w:bottom w:val="nil"/>
            </w:tcBorders>
            <w:shd w:val="clear" w:color="auto" w:fill="auto"/>
            <w:vAlign w:val="center"/>
          </w:tcPr>
          <w:p w14:paraId="37824FF7" w14:textId="77777777" w:rsidR="00375569" w:rsidRPr="001A1E07" w:rsidRDefault="00375569" w:rsidP="00BF3FCF">
            <w:pPr>
              <w:pStyle w:val="08-Tabelageral"/>
              <w:ind w:left="113"/>
              <w:rPr>
                <w:rFonts w:cs="Arial"/>
                <w:szCs w:val="14"/>
              </w:rPr>
            </w:pPr>
            <w:r>
              <w:rPr>
                <w:rFonts w:cs="Arial"/>
                <w:szCs w:val="14"/>
              </w:rPr>
              <w:t>696</w:t>
            </w:r>
          </w:p>
        </w:tc>
        <w:tc>
          <w:tcPr>
            <w:tcW w:w="1274" w:type="dxa"/>
            <w:tcBorders>
              <w:bottom w:val="nil"/>
            </w:tcBorders>
            <w:shd w:val="clear" w:color="auto" w:fill="auto"/>
            <w:vAlign w:val="center"/>
          </w:tcPr>
          <w:p w14:paraId="1D42863B" w14:textId="77777777" w:rsidR="00375569" w:rsidRPr="001A1E07" w:rsidRDefault="00375569" w:rsidP="00BF3FCF">
            <w:pPr>
              <w:pStyle w:val="08-Tabelageral"/>
              <w:ind w:left="113"/>
              <w:rPr>
                <w:rFonts w:cs="Arial"/>
                <w:szCs w:val="14"/>
              </w:rPr>
            </w:pPr>
            <w:r>
              <w:rPr>
                <w:rFonts w:cs="Arial"/>
                <w:szCs w:val="14"/>
              </w:rPr>
              <w:t>609</w:t>
            </w:r>
          </w:p>
        </w:tc>
      </w:tr>
      <w:tr w:rsidR="00375569" w:rsidRPr="001A1E07" w14:paraId="4EBF626F" w14:textId="77777777" w:rsidTr="004C3C92">
        <w:trPr>
          <w:trHeight w:val="238"/>
          <w:jc w:val="center"/>
        </w:trPr>
        <w:tc>
          <w:tcPr>
            <w:tcW w:w="3687" w:type="dxa"/>
            <w:tcBorders>
              <w:top w:val="nil"/>
              <w:bottom w:val="single" w:sz="2" w:space="0" w:color="1F4E79" w:themeColor="accent1" w:themeShade="80"/>
            </w:tcBorders>
            <w:shd w:val="clear" w:color="auto" w:fill="auto"/>
          </w:tcPr>
          <w:p w14:paraId="38CCC499" w14:textId="77777777" w:rsidR="00375569" w:rsidRPr="001A1E07" w:rsidRDefault="00375569" w:rsidP="00BF3FCF">
            <w:pPr>
              <w:pStyle w:val="08-Tabelageral"/>
              <w:jc w:val="left"/>
              <w:rPr>
                <w:rFonts w:cs="Arial"/>
                <w:b/>
                <w:szCs w:val="14"/>
              </w:rPr>
            </w:pPr>
            <w:r w:rsidRPr="001A1E07">
              <w:rPr>
                <w:rFonts w:cs="Arial"/>
                <w:b/>
              </w:rPr>
              <w:t xml:space="preserve">Total </w:t>
            </w:r>
          </w:p>
        </w:tc>
        <w:tc>
          <w:tcPr>
            <w:tcW w:w="283" w:type="dxa"/>
            <w:tcBorders>
              <w:top w:val="nil"/>
              <w:bottom w:val="single" w:sz="2" w:space="0" w:color="1F4E79" w:themeColor="accent1" w:themeShade="80"/>
            </w:tcBorders>
            <w:shd w:val="clear" w:color="auto" w:fill="auto"/>
          </w:tcPr>
          <w:p w14:paraId="229EE279" w14:textId="77777777" w:rsidR="00375569" w:rsidRPr="001A1E07" w:rsidRDefault="00375569" w:rsidP="00BF3FCF">
            <w:pPr>
              <w:pStyle w:val="08-Tabelageral"/>
              <w:jc w:val="center"/>
              <w:rPr>
                <w:rFonts w:cs="Arial"/>
                <w:b/>
                <w:szCs w:val="14"/>
              </w:rPr>
            </w:pPr>
          </w:p>
        </w:tc>
        <w:tc>
          <w:tcPr>
            <w:tcW w:w="1560" w:type="dxa"/>
            <w:tcBorders>
              <w:top w:val="nil"/>
              <w:bottom w:val="single" w:sz="2" w:space="0" w:color="1F4E79" w:themeColor="accent1" w:themeShade="80"/>
            </w:tcBorders>
            <w:shd w:val="clear" w:color="auto" w:fill="auto"/>
            <w:vAlign w:val="center"/>
          </w:tcPr>
          <w:p w14:paraId="4462FAF9" w14:textId="77777777" w:rsidR="00375569" w:rsidRPr="001A1E07" w:rsidRDefault="00375569" w:rsidP="00BF3FCF">
            <w:pPr>
              <w:pStyle w:val="08-Tabelageral"/>
              <w:rPr>
                <w:rFonts w:cs="Arial"/>
                <w:b/>
                <w:szCs w:val="14"/>
              </w:rPr>
            </w:pPr>
            <w:r>
              <w:rPr>
                <w:rFonts w:cs="Arial"/>
                <w:b/>
                <w:szCs w:val="14"/>
              </w:rPr>
              <w:t>10.839</w:t>
            </w:r>
          </w:p>
        </w:tc>
        <w:tc>
          <w:tcPr>
            <w:tcW w:w="1134" w:type="dxa"/>
            <w:tcBorders>
              <w:top w:val="nil"/>
              <w:bottom w:val="single" w:sz="2" w:space="0" w:color="1F4E79" w:themeColor="accent1" w:themeShade="80"/>
            </w:tcBorders>
            <w:shd w:val="clear" w:color="auto" w:fill="auto"/>
            <w:vAlign w:val="center"/>
          </w:tcPr>
          <w:p w14:paraId="2442F315" w14:textId="77777777" w:rsidR="00375569" w:rsidRPr="001A1E07" w:rsidRDefault="00375569" w:rsidP="00BF3FCF">
            <w:pPr>
              <w:pStyle w:val="08-Tabelageral"/>
              <w:rPr>
                <w:rFonts w:cs="Arial"/>
                <w:b/>
                <w:szCs w:val="14"/>
              </w:rPr>
            </w:pPr>
            <w:r>
              <w:rPr>
                <w:rFonts w:cs="Arial"/>
                <w:b/>
                <w:szCs w:val="14"/>
              </w:rPr>
              <w:t>8.603</w:t>
            </w:r>
          </w:p>
        </w:tc>
        <w:tc>
          <w:tcPr>
            <w:tcW w:w="425" w:type="dxa"/>
            <w:tcBorders>
              <w:top w:val="nil"/>
              <w:bottom w:val="single" w:sz="2" w:space="0" w:color="1F4E79" w:themeColor="accent1" w:themeShade="80"/>
            </w:tcBorders>
            <w:shd w:val="clear" w:color="auto" w:fill="auto"/>
            <w:vAlign w:val="center"/>
          </w:tcPr>
          <w:p w14:paraId="37743130" w14:textId="77777777" w:rsidR="00375569" w:rsidRPr="001A1E07" w:rsidRDefault="00375569" w:rsidP="00BF3FCF">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7F8FDFFE" w14:textId="77777777" w:rsidR="00375569" w:rsidRPr="001A1E07" w:rsidRDefault="00375569" w:rsidP="00BF3FCF">
            <w:pPr>
              <w:pStyle w:val="08-Tabelageral"/>
              <w:rPr>
                <w:rFonts w:cs="Arial"/>
                <w:b/>
                <w:szCs w:val="14"/>
              </w:rPr>
            </w:pPr>
            <w:r>
              <w:rPr>
                <w:rFonts w:cs="Arial"/>
                <w:b/>
                <w:szCs w:val="14"/>
              </w:rPr>
              <w:t>227.588</w:t>
            </w:r>
          </w:p>
        </w:tc>
        <w:tc>
          <w:tcPr>
            <w:tcW w:w="1274" w:type="dxa"/>
            <w:tcBorders>
              <w:top w:val="nil"/>
              <w:bottom w:val="single" w:sz="2" w:space="0" w:color="1F4E79" w:themeColor="accent1" w:themeShade="80"/>
            </w:tcBorders>
            <w:shd w:val="clear" w:color="auto" w:fill="auto"/>
            <w:vAlign w:val="center"/>
          </w:tcPr>
          <w:p w14:paraId="4D910025" w14:textId="77777777" w:rsidR="00375569" w:rsidRPr="001A1E07" w:rsidRDefault="00375569" w:rsidP="00BF3FCF">
            <w:pPr>
              <w:pStyle w:val="08-Tabelageral"/>
              <w:rPr>
                <w:rFonts w:cs="Arial"/>
                <w:b/>
                <w:szCs w:val="14"/>
              </w:rPr>
            </w:pPr>
            <w:r>
              <w:rPr>
                <w:rFonts w:cs="Arial"/>
                <w:b/>
                <w:szCs w:val="14"/>
              </w:rPr>
              <w:t>88.091</w:t>
            </w:r>
          </w:p>
        </w:tc>
      </w:tr>
    </w:tbl>
    <w:bookmarkEnd w:id="105"/>
    <w:p w14:paraId="1F3011BF" w14:textId="77777777" w:rsidR="00375569" w:rsidRDefault="00375569" w:rsidP="007F4615">
      <w:pPr>
        <w:pStyle w:val="07-Legenda"/>
        <w:numPr>
          <w:ilvl w:val="0"/>
          <w:numId w:val="46"/>
        </w:numPr>
        <w:tabs>
          <w:tab w:val="clear" w:pos="284"/>
          <w:tab w:val="left" w:pos="708"/>
        </w:tabs>
        <w:ind w:left="284" w:hanging="284"/>
        <w:rPr>
          <w:rFonts w:cs="Arial"/>
          <w:szCs w:val="14"/>
        </w:rPr>
      </w:pPr>
      <w:r w:rsidRPr="0081530D">
        <w:rPr>
          <w:rFonts w:cs="Arial"/>
          <w:szCs w:val="14"/>
        </w:rPr>
        <w:t>Refere-se ao rateio de despesas</w:t>
      </w:r>
      <w:r>
        <w:rPr>
          <w:rFonts w:cs="Arial"/>
          <w:szCs w:val="14"/>
        </w:rPr>
        <w:t xml:space="preserve"> apurado em </w:t>
      </w:r>
      <w:r w:rsidRPr="0081530D">
        <w:rPr>
          <w:rFonts w:cs="Arial"/>
          <w:szCs w:val="14"/>
        </w:rPr>
        <w:t>conform</w:t>
      </w:r>
      <w:r>
        <w:rPr>
          <w:rFonts w:cs="Arial"/>
          <w:szCs w:val="14"/>
        </w:rPr>
        <w:t xml:space="preserve">idade com o </w:t>
      </w:r>
      <w:r w:rsidRPr="0081530D">
        <w:rPr>
          <w:rFonts w:cs="Arial"/>
          <w:szCs w:val="14"/>
        </w:rPr>
        <w:t>contrato de compartilhamento de dados de clientes, utilização de quadro de pessoal, da rede de distribuição e dos recursos materiais tecnológicos e administrativos, celebrado entre o Banco do Brasil, BB Seguridade, BB Corretora e BB Seguros. No Consolidado, inclui também</w:t>
      </w:r>
      <w:r>
        <w:rPr>
          <w:rFonts w:cs="Arial"/>
          <w:szCs w:val="14"/>
        </w:rPr>
        <w:t xml:space="preserve"> </w:t>
      </w:r>
      <w:r w:rsidRPr="0081530D">
        <w:rPr>
          <w:rFonts w:cs="Arial"/>
          <w:szCs w:val="14"/>
        </w:rPr>
        <w:t>valores</w:t>
      </w:r>
      <w:r>
        <w:rPr>
          <w:rFonts w:cs="Arial"/>
          <w:szCs w:val="14"/>
        </w:rPr>
        <w:t xml:space="preserve"> a pagar, no montante de </w:t>
      </w:r>
      <w:r w:rsidRPr="0080415E">
        <w:rPr>
          <w:rFonts w:cs="Arial"/>
          <w:szCs w:val="14"/>
        </w:rPr>
        <w:t xml:space="preserve">R$ </w:t>
      </w:r>
      <w:r>
        <w:rPr>
          <w:rFonts w:cs="Arial"/>
          <w:szCs w:val="14"/>
        </w:rPr>
        <w:t xml:space="preserve">30.969 mil </w:t>
      </w:r>
      <w:r w:rsidRPr="0081530D">
        <w:rPr>
          <w:rFonts w:cs="Arial"/>
          <w:szCs w:val="14"/>
        </w:rPr>
        <w:t xml:space="preserve">referente ao mecanismo de ajuste de preço dos ativos da </w:t>
      </w:r>
      <w:r>
        <w:rPr>
          <w:rFonts w:cs="Arial"/>
          <w:szCs w:val="14"/>
        </w:rPr>
        <w:t>Brasilveículos</w:t>
      </w:r>
      <w:r w:rsidRPr="0081530D">
        <w:rPr>
          <w:rFonts w:cs="Arial"/>
          <w:szCs w:val="14"/>
        </w:rPr>
        <w:t xml:space="preserve"> </w:t>
      </w:r>
      <w:r>
        <w:rPr>
          <w:rFonts w:cs="Arial"/>
          <w:szCs w:val="14"/>
        </w:rPr>
        <w:t xml:space="preserve">(atual Mapfre Seguros Gerais) </w:t>
      </w:r>
      <w:r w:rsidRPr="0081530D">
        <w:rPr>
          <w:rFonts w:cs="Arial"/>
          <w:szCs w:val="14"/>
        </w:rPr>
        <w:t>alienados à MAPFRE Brasil em 30.11.2018</w:t>
      </w:r>
      <w:r w:rsidRPr="00D94004">
        <w:rPr>
          <w:rFonts w:cs="Arial"/>
          <w:szCs w:val="14"/>
        </w:rPr>
        <w:t>.</w:t>
      </w:r>
      <w:r>
        <w:rPr>
          <w:rFonts w:cs="Arial"/>
          <w:szCs w:val="14"/>
        </w:rPr>
        <w:t xml:space="preserve"> No exercício de 2021 inclui o montante de R$ 79.782 mil (R$ 21.294 mil no exercício de 2020) referente à provisão para corretagem a devolver à Brasilprev.</w:t>
      </w:r>
    </w:p>
    <w:p w14:paraId="440E8E4D" w14:textId="77777777" w:rsidR="00375569" w:rsidRPr="00725333" w:rsidRDefault="00375569" w:rsidP="001F35E2">
      <w:pPr>
        <w:pStyle w:val="PargrafodaLista"/>
        <w:spacing w:before="40" w:after="0" w:line="240" w:lineRule="auto"/>
        <w:ind w:left="284"/>
        <w:contextualSpacing w:val="0"/>
        <w:jc w:val="both"/>
        <w:rPr>
          <w:rFonts w:ascii="Arial" w:hAnsi="Arial" w:cs="Arial"/>
          <w:sz w:val="18"/>
          <w:szCs w:val="18"/>
        </w:rPr>
      </w:pPr>
    </w:p>
    <w:p w14:paraId="028E971B" w14:textId="77D86D57" w:rsidR="00375569" w:rsidRPr="00725333" w:rsidRDefault="00375569" w:rsidP="00725333">
      <w:pPr>
        <w:pStyle w:val="02-TtulodeNota"/>
        <w:rPr>
          <w:color w:val="1F4E79" w:themeColor="accent1" w:themeShade="80"/>
        </w:rPr>
      </w:pPr>
      <w:bookmarkStart w:id="107" w:name="OLE_LINK20"/>
      <w:bookmarkStart w:id="108" w:name="_Toc94861083"/>
      <w:r w:rsidRPr="00725333">
        <w:rPr>
          <w:color w:val="1F4E79" w:themeColor="accent1" w:themeShade="80"/>
        </w:rPr>
        <w:t>25 – PATRIMÔNIO LÍQUIDO</w:t>
      </w:r>
      <w:bookmarkEnd w:id="108"/>
    </w:p>
    <w:p w14:paraId="33479C3C" w14:textId="77777777" w:rsidR="00375569" w:rsidRPr="005A2043" w:rsidRDefault="00375569" w:rsidP="005A2043">
      <w:pPr>
        <w:pStyle w:val="01-Textonormal"/>
        <w:rPr>
          <w:b/>
          <w:bCs/>
          <w:color w:val="1F4E79" w:themeColor="accent1" w:themeShade="80"/>
        </w:rPr>
      </w:pPr>
      <w:r w:rsidRPr="005A2043">
        <w:rPr>
          <w:b/>
          <w:bCs/>
          <w:color w:val="1F4E79" w:themeColor="accent1" w:themeShade="80"/>
        </w:rPr>
        <w:t>a) Capital Social</w:t>
      </w:r>
    </w:p>
    <w:p w14:paraId="5D4170D4" w14:textId="77777777" w:rsidR="00375569" w:rsidRDefault="00375569" w:rsidP="00FE570E">
      <w:pPr>
        <w:pStyle w:val="05-Textonormal"/>
        <w:keepNext/>
      </w:pPr>
      <w:r w:rsidRPr="00EE33D5">
        <w:t xml:space="preserve">O </w:t>
      </w:r>
      <w:r w:rsidRPr="00150EBE">
        <w:t xml:space="preserve">Capital Social, </w:t>
      </w:r>
      <w:r>
        <w:rPr>
          <w:rFonts w:cs="Arial"/>
        </w:rPr>
        <w:t>totalmente subscrito e integralizado</w:t>
      </w:r>
      <w:r>
        <w:t xml:space="preserve">, </w:t>
      </w:r>
      <w:r w:rsidRPr="00150EBE">
        <w:t xml:space="preserve">no montante de </w:t>
      </w:r>
      <w:r w:rsidRPr="001A027E">
        <w:t>R$ 3.396.767 mil em</w:t>
      </w:r>
      <w:r w:rsidRPr="00231265">
        <w:t xml:space="preserve"> 3</w:t>
      </w:r>
      <w:r>
        <w:t>1</w:t>
      </w:r>
      <w:r w:rsidRPr="00231265">
        <w:t>.</w:t>
      </w:r>
      <w:r>
        <w:t>12</w:t>
      </w:r>
      <w:r w:rsidRPr="00231265">
        <w:t>.20</w:t>
      </w:r>
      <w:r>
        <w:t>21</w:t>
      </w:r>
      <w:r w:rsidRPr="00231265">
        <w:t xml:space="preserve"> e 31.12.20</w:t>
      </w:r>
      <w:r>
        <w:t>20</w:t>
      </w:r>
      <w:r w:rsidRPr="00231265">
        <w:t>,</w:t>
      </w:r>
      <w:r w:rsidRPr="00EE33D5">
        <w:t xml:space="preserve"> está dividido </w:t>
      </w:r>
      <w:r w:rsidRPr="003A6A8B">
        <w:t>em 2.000.000.000</w:t>
      </w:r>
      <w:r w:rsidRPr="00EE33D5">
        <w:t xml:space="preserve"> (dois bilhões) de ações ordinárias, representadas na forma escritural e sem valor nominal. </w:t>
      </w:r>
    </w:p>
    <w:p w14:paraId="32926D5A" w14:textId="77777777" w:rsidR="00375569" w:rsidRDefault="00375569" w:rsidP="00FE570E">
      <w:pPr>
        <w:pStyle w:val="05-Textonormal"/>
        <w:keepNext/>
      </w:pPr>
      <w:r w:rsidRPr="00EE33D5">
        <w:t xml:space="preserve">O Patrimônio Líquido de </w:t>
      </w:r>
      <w:r w:rsidRPr="006418A2">
        <w:t>R</w:t>
      </w:r>
      <w:r>
        <w:t xml:space="preserve">$ 7.281.416 </w:t>
      </w:r>
      <w:r w:rsidRPr="00EE33D5">
        <w:t>mil</w:t>
      </w:r>
      <w:r>
        <w:t xml:space="preserve"> em 31.12.2021 </w:t>
      </w:r>
      <w:r w:rsidRPr="00EE33D5">
        <w:t xml:space="preserve">(R$ </w:t>
      </w:r>
      <w:r>
        <w:t>6.389.605</w:t>
      </w:r>
      <w:r w:rsidRPr="00EE33D5">
        <w:t xml:space="preserve"> mil em 31.12.20</w:t>
      </w:r>
      <w:r>
        <w:t>20</w:t>
      </w:r>
      <w:r w:rsidRPr="00EE33D5">
        <w:t xml:space="preserve">), </w:t>
      </w:r>
      <w:bookmarkStart w:id="109" w:name="_Hlk76026362"/>
      <w:r w:rsidRPr="00EE33D5">
        <w:t xml:space="preserve">corresponde a um valor </w:t>
      </w:r>
      <w:r w:rsidRPr="00DA3740">
        <w:t xml:space="preserve">patrimonial </w:t>
      </w:r>
      <w:r>
        <w:t xml:space="preserve">da ação </w:t>
      </w:r>
      <w:r w:rsidRPr="00DA3740">
        <w:t>de R$ </w:t>
      </w:r>
      <w:r>
        <w:t>3,64 em 31.12.2021</w:t>
      </w:r>
      <w:r w:rsidRPr="00DA3740">
        <w:t xml:space="preserve"> </w:t>
      </w:r>
      <w:bookmarkEnd w:id="109"/>
      <w:r w:rsidRPr="00DA3740">
        <w:t>(R$ 3,19 em 31.12.2020).</w:t>
      </w:r>
    </w:p>
    <w:p w14:paraId="3679E499" w14:textId="77777777" w:rsidR="00375569" w:rsidRPr="00032BB5" w:rsidRDefault="00375569" w:rsidP="00032BB5">
      <w:pPr>
        <w:pStyle w:val="01-Textonormal"/>
        <w:rPr>
          <w:b/>
          <w:bCs/>
          <w:color w:val="1F4E79" w:themeColor="accent1" w:themeShade="80"/>
        </w:rPr>
      </w:pPr>
      <w:r w:rsidRPr="00032BB5">
        <w:rPr>
          <w:b/>
          <w:bCs/>
          <w:color w:val="1F4E79" w:themeColor="accent1" w:themeShade="80"/>
        </w:rPr>
        <w:t>b) Reservas de Capital e Lucros</w:t>
      </w:r>
    </w:p>
    <w:p w14:paraId="7D437F52" w14:textId="77777777" w:rsidR="00375569" w:rsidRPr="00FF3D4B" w:rsidRDefault="00375569" w:rsidP="002F79A6">
      <w:pPr>
        <w:spacing w:after="0"/>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375569" w:rsidRPr="00EC0115" w14:paraId="6F29088A" w14:textId="77777777" w:rsidTr="00725333">
        <w:trPr>
          <w:trHeight w:val="238"/>
          <w:jc w:val="center"/>
        </w:trPr>
        <w:tc>
          <w:tcPr>
            <w:tcW w:w="7088" w:type="dxa"/>
            <w:tcBorders>
              <w:top w:val="single" w:sz="2" w:space="0" w:color="1F4E79" w:themeColor="accent1" w:themeShade="80"/>
              <w:bottom w:val="nil"/>
            </w:tcBorders>
            <w:shd w:val="clear" w:color="auto" w:fill="auto"/>
            <w:vAlign w:val="center"/>
          </w:tcPr>
          <w:p w14:paraId="21786068" w14:textId="77777777" w:rsidR="00375569" w:rsidRPr="00EC0115" w:rsidRDefault="00375569" w:rsidP="00EC0115">
            <w:pPr>
              <w:spacing w:after="0"/>
              <w:jc w:val="center"/>
              <w:rPr>
                <w:rFonts w:cs="Arial"/>
                <w:b/>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221733C0" w14:textId="77777777" w:rsidR="00375569" w:rsidRPr="00EC0115" w:rsidRDefault="00375569" w:rsidP="00EC0115">
            <w:pPr>
              <w:spacing w:after="0"/>
              <w:jc w:val="center"/>
              <w:rPr>
                <w:rFonts w:cs="Arial"/>
                <w:b/>
                <w:szCs w:val="18"/>
              </w:rPr>
            </w:pPr>
            <w:r w:rsidRPr="00EC0115">
              <w:rPr>
                <w:rFonts w:cs="Arial"/>
                <w:b/>
                <w:sz w:val="14"/>
                <w:szCs w:val="18"/>
              </w:rPr>
              <w:t>Controlador e Consolidado</w:t>
            </w:r>
          </w:p>
        </w:tc>
      </w:tr>
      <w:tr w:rsidR="00375569" w:rsidRPr="00EC0115" w14:paraId="42289FE6" w14:textId="77777777" w:rsidTr="00725333">
        <w:trPr>
          <w:trHeight w:val="238"/>
          <w:jc w:val="center"/>
        </w:trPr>
        <w:tc>
          <w:tcPr>
            <w:tcW w:w="7088" w:type="dxa"/>
            <w:tcBorders>
              <w:top w:val="nil"/>
              <w:bottom w:val="single" w:sz="2" w:space="0" w:color="1F4E79" w:themeColor="accent1" w:themeShade="80"/>
            </w:tcBorders>
            <w:shd w:val="clear" w:color="auto" w:fill="auto"/>
            <w:vAlign w:val="center"/>
          </w:tcPr>
          <w:p w14:paraId="14399464" w14:textId="77777777" w:rsidR="00375569" w:rsidRPr="00EC0115" w:rsidRDefault="00375569" w:rsidP="00EC0115">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FFE7659" w14:textId="77777777" w:rsidR="00375569" w:rsidRPr="00EC0115" w:rsidRDefault="00375569" w:rsidP="00EC0115">
            <w:pPr>
              <w:pStyle w:val="08-Tabelageral"/>
              <w:rPr>
                <w:rFonts w:cs="Arial"/>
                <w:b/>
              </w:rPr>
            </w:pPr>
            <w:r w:rsidRPr="00EC0115">
              <w:rPr>
                <w:rFonts w:cs="Arial"/>
                <w:b/>
              </w:rPr>
              <w:t>3</w:t>
            </w:r>
            <w:r>
              <w:rPr>
                <w:rFonts w:cs="Arial"/>
                <w:b/>
              </w:rPr>
              <w:t>1</w:t>
            </w:r>
            <w:r w:rsidRPr="00EC0115">
              <w:rPr>
                <w:rFonts w:cs="Arial"/>
                <w:b/>
              </w:rPr>
              <w:t>.</w:t>
            </w:r>
            <w:r>
              <w:rPr>
                <w:rFonts w:cs="Arial"/>
                <w:b/>
              </w:rPr>
              <w:t>12</w:t>
            </w:r>
            <w:r w:rsidRPr="00EC0115">
              <w:rPr>
                <w:rFonts w:cs="Arial"/>
                <w:b/>
              </w:rPr>
              <w:t>.202</w:t>
            </w:r>
            <w:r>
              <w:rPr>
                <w:rFonts w:cs="Arial"/>
                <w:b/>
              </w:rPr>
              <w:t>1</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600F331C" w14:textId="77777777" w:rsidR="00375569" w:rsidRPr="00EC0115" w:rsidRDefault="00375569" w:rsidP="00EC0115">
            <w:pPr>
              <w:pStyle w:val="08-Tabelageral"/>
              <w:rPr>
                <w:rFonts w:cs="Arial"/>
                <w:b/>
              </w:rPr>
            </w:pPr>
            <w:r w:rsidRPr="00EC0115">
              <w:rPr>
                <w:rFonts w:cs="Arial"/>
                <w:b/>
              </w:rPr>
              <w:t>31.12.20</w:t>
            </w:r>
            <w:r>
              <w:rPr>
                <w:rFonts w:cs="Arial"/>
                <w:b/>
              </w:rPr>
              <w:t>20</w:t>
            </w:r>
          </w:p>
        </w:tc>
      </w:tr>
      <w:tr w:rsidR="00375569" w:rsidRPr="00EC0115" w14:paraId="148B3C9E" w14:textId="77777777" w:rsidTr="00725333">
        <w:trPr>
          <w:trHeight w:val="238"/>
          <w:jc w:val="center"/>
        </w:trPr>
        <w:tc>
          <w:tcPr>
            <w:tcW w:w="7088" w:type="dxa"/>
            <w:tcBorders>
              <w:top w:val="single" w:sz="2" w:space="0" w:color="1F4E79" w:themeColor="accent1" w:themeShade="80"/>
            </w:tcBorders>
            <w:shd w:val="clear" w:color="auto" w:fill="auto"/>
          </w:tcPr>
          <w:p w14:paraId="2B8B1585" w14:textId="77777777" w:rsidR="00375569" w:rsidRPr="00EC0115" w:rsidRDefault="00375569" w:rsidP="00803971">
            <w:pPr>
              <w:pStyle w:val="08-Tabelageral"/>
              <w:ind w:hanging="108"/>
              <w:jc w:val="left"/>
              <w:rPr>
                <w:rFonts w:cs="Arial"/>
                <w:b/>
                <w:szCs w:val="14"/>
              </w:rPr>
            </w:pPr>
            <w:r w:rsidRPr="00EC0115">
              <w:rPr>
                <w:rFonts w:cs="Arial"/>
                <w:b/>
                <w:szCs w:val="14"/>
              </w:rPr>
              <w:t>Reservas de Capital</w:t>
            </w:r>
          </w:p>
        </w:tc>
        <w:tc>
          <w:tcPr>
            <w:tcW w:w="1276" w:type="dxa"/>
            <w:tcBorders>
              <w:top w:val="single" w:sz="2" w:space="0" w:color="1F4E79" w:themeColor="accent1" w:themeShade="80"/>
            </w:tcBorders>
            <w:shd w:val="clear" w:color="auto" w:fill="auto"/>
            <w:vAlign w:val="center"/>
          </w:tcPr>
          <w:p w14:paraId="11C5566D" w14:textId="77777777" w:rsidR="00375569" w:rsidRPr="00981F3D" w:rsidRDefault="00375569" w:rsidP="005C65EA">
            <w:pPr>
              <w:pStyle w:val="08-Tabelageral"/>
              <w:ind w:left="113"/>
              <w:rPr>
                <w:rFonts w:cs="Arial"/>
                <w:b/>
                <w:bCs/>
                <w:szCs w:val="14"/>
              </w:rPr>
            </w:pPr>
            <w:r>
              <w:rPr>
                <w:rFonts w:cs="Arial"/>
                <w:b/>
                <w:bCs/>
                <w:szCs w:val="14"/>
              </w:rPr>
              <w:t>1.508</w:t>
            </w:r>
          </w:p>
        </w:tc>
        <w:tc>
          <w:tcPr>
            <w:tcW w:w="1275" w:type="dxa"/>
            <w:tcBorders>
              <w:top w:val="single" w:sz="2" w:space="0" w:color="1F4E79" w:themeColor="accent1" w:themeShade="80"/>
            </w:tcBorders>
            <w:shd w:val="clear" w:color="auto" w:fill="auto"/>
            <w:vAlign w:val="center"/>
          </w:tcPr>
          <w:p w14:paraId="5A915589" w14:textId="77777777" w:rsidR="00375569" w:rsidRPr="00EC0115" w:rsidRDefault="00375569" w:rsidP="005C65EA">
            <w:pPr>
              <w:pStyle w:val="08-Tabelageral"/>
              <w:ind w:left="113"/>
              <w:rPr>
                <w:rFonts w:cs="Arial"/>
                <w:b/>
                <w:szCs w:val="14"/>
              </w:rPr>
            </w:pPr>
            <w:r>
              <w:rPr>
                <w:rFonts w:cs="Arial"/>
                <w:b/>
                <w:szCs w:val="14"/>
              </w:rPr>
              <w:t>1.588</w:t>
            </w:r>
          </w:p>
        </w:tc>
      </w:tr>
      <w:tr w:rsidR="00375569" w:rsidRPr="00EC0115" w14:paraId="1D0F268A" w14:textId="77777777" w:rsidTr="00725333">
        <w:trPr>
          <w:trHeight w:val="238"/>
          <w:jc w:val="center"/>
        </w:trPr>
        <w:tc>
          <w:tcPr>
            <w:tcW w:w="7088" w:type="dxa"/>
            <w:shd w:val="clear" w:color="auto" w:fill="auto"/>
          </w:tcPr>
          <w:p w14:paraId="3CA136B1" w14:textId="457DD475" w:rsidR="00375569" w:rsidRPr="00EC0115" w:rsidRDefault="00375569" w:rsidP="00803971">
            <w:pPr>
              <w:pStyle w:val="08-Tabelageral"/>
              <w:ind w:hanging="108"/>
              <w:jc w:val="left"/>
              <w:rPr>
                <w:rFonts w:cs="Arial"/>
                <w:b/>
                <w:szCs w:val="14"/>
              </w:rPr>
            </w:pPr>
            <w:r w:rsidRPr="00EC0115">
              <w:rPr>
                <w:rFonts w:cs="Arial"/>
                <w:b/>
                <w:szCs w:val="14"/>
              </w:rPr>
              <w:t>Reservas de Lucros</w:t>
            </w:r>
            <w:r w:rsidR="00931580">
              <w:rPr>
                <w:rFonts w:cs="Arial"/>
                <w:b/>
                <w:szCs w:val="14"/>
              </w:rPr>
              <w:t xml:space="preserve"> </w:t>
            </w:r>
            <w:r w:rsidR="00931580" w:rsidRPr="00931580">
              <w:rPr>
                <w:rFonts w:cs="Arial"/>
                <w:b/>
                <w:szCs w:val="14"/>
                <w:vertAlign w:val="superscript"/>
              </w:rPr>
              <w:t>(1)</w:t>
            </w:r>
          </w:p>
        </w:tc>
        <w:tc>
          <w:tcPr>
            <w:tcW w:w="1276" w:type="dxa"/>
            <w:shd w:val="clear" w:color="auto" w:fill="auto"/>
            <w:vAlign w:val="center"/>
          </w:tcPr>
          <w:p w14:paraId="0FBBEE1C" w14:textId="77777777" w:rsidR="00375569" w:rsidRPr="00EF1F8F" w:rsidRDefault="00375569" w:rsidP="005C65EA">
            <w:pPr>
              <w:pStyle w:val="08-Tabelageral"/>
              <w:ind w:left="113"/>
              <w:rPr>
                <w:rFonts w:cs="Arial"/>
                <w:b/>
                <w:szCs w:val="14"/>
              </w:rPr>
            </w:pPr>
            <w:r>
              <w:rPr>
                <w:rFonts w:cs="Arial"/>
                <w:b/>
                <w:szCs w:val="14"/>
              </w:rPr>
              <w:t>4.122.925</w:t>
            </w:r>
          </w:p>
        </w:tc>
        <w:tc>
          <w:tcPr>
            <w:tcW w:w="1275" w:type="dxa"/>
            <w:shd w:val="clear" w:color="auto" w:fill="auto"/>
            <w:vAlign w:val="center"/>
          </w:tcPr>
          <w:p w14:paraId="37AA586D" w14:textId="77777777" w:rsidR="00375569" w:rsidRPr="00EC0115" w:rsidRDefault="00375569" w:rsidP="005C65EA">
            <w:pPr>
              <w:pStyle w:val="08-Tabelageral"/>
              <w:ind w:left="113"/>
              <w:rPr>
                <w:rFonts w:cs="Arial"/>
                <w:b/>
                <w:szCs w:val="14"/>
              </w:rPr>
            </w:pPr>
            <w:r>
              <w:rPr>
                <w:rFonts w:cs="Arial"/>
                <w:b/>
                <w:szCs w:val="14"/>
              </w:rPr>
              <w:t>3.060.956</w:t>
            </w:r>
          </w:p>
        </w:tc>
      </w:tr>
      <w:tr w:rsidR="00375569" w:rsidRPr="00EC0115" w14:paraId="490778B5" w14:textId="77777777" w:rsidTr="00725333">
        <w:trPr>
          <w:trHeight w:val="238"/>
          <w:jc w:val="center"/>
        </w:trPr>
        <w:tc>
          <w:tcPr>
            <w:tcW w:w="7088" w:type="dxa"/>
            <w:tcBorders>
              <w:bottom w:val="nil"/>
            </w:tcBorders>
            <w:shd w:val="clear" w:color="auto" w:fill="auto"/>
          </w:tcPr>
          <w:p w14:paraId="694646E9" w14:textId="77777777" w:rsidR="00375569" w:rsidRPr="00EC0115" w:rsidRDefault="00375569" w:rsidP="009E4699">
            <w:pPr>
              <w:pStyle w:val="08-Tabelageral"/>
              <w:ind w:firstLine="176"/>
              <w:jc w:val="left"/>
              <w:rPr>
                <w:rFonts w:cs="Arial"/>
                <w:szCs w:val="14"/>
              </w:rPr>
            </w:pPr>
            <w:r w:rsidRPr="00EC0115">
              <w:rPr>
                <w:rFonts w:cs="Arial"/>
                <w:szCs w:val="14"/>
              </w:rPr>
              <w:t>Reserva Legal</w:t>
            </w:r>
          </w:p>
        </w:tc>
        <w:tc>
          <w:tcPr>
            <w:tcW w:w="1276" w:type="dxa"/>
            <w:tcBorders>
              <w:bottom w:val="nil"/>
            </w:tcBorders>
            <w:shd w:val="clear" w:color="auto" w:fill="auto"/>
            <w:vAlign w:val="center"/>
          </w:tcPr>
          <w:p w14:paraId="481B3D20" w14:textId="77777777" w:rsidR="00375569" w:rsidRPr="00EF1F8F" w:rsidRDefault="00375569" w:rsidP="005C65EA">
            <w:pPr>
              <w:pStyle w:val="08-Tabelageral"/>
              <w:ind w:left="113"/>
              <w:rPr>
                <w:rFonts w:cs="Arial"/>
                <w:szCs w:val="14"/>
              </w:rPr>
            </w:pPr>
            <w:r>
              <w:rPr>
                <w:rFonts w:cs="Arial"/>
                <w:szCs w:val="14"/>
              </w:rPr>
              <w:t>679.354</w:t>
            </w:r>
          </w:p>
        </w:tc>
        <w:tc>
          <w:tcPr>
            <w:tcW w:w="1275" w:type="dxa"/>
            <w:tcBorders>
              <w:bottom w:val="nil"/>
            </w:tcBorders>
            <w:shd w:val="clear" w:color="auto" w:fill="auto"/>
            <w:vAlign w:val="center"/>
          </w:tcPr>
          <w:p w14:paraId="5804BE5A" w14:textId="77777777" w:rsidR="00375569" w:rsidRPr="00EC0115" w:rsidRDefault="00375569" w:rsidP="005C65EA">
            <w:pPr>
              <w:pStyle w:val="08-Tabelageral"/>
              <w:ind w:left="113"/>
              <w:rPr>
                <w:rFonts w:cs="Arial"/>
                <w:szCs w:val="14"/>
              </w:rPr>
            </w:pPr>
            <w:r>
              <w:rPr>
                <w:rFonts w:cs="Arial"/>
                <w:szCs w:val="14"/>
              </w:rPr>
              <w:t>679.354</w:t>
            </w:r>
          </w:p>
        </w:tc>
      </w:tr>
      <w:tr w:rsidR="00375569" w:rsidRPr="00EC0115" w14:paraId="1F6E4C4A" w14:textId="77777777" w:rsidTr="00725333">
        <w:trPr>
          <w:trHeight w:val="238"/>
          <w:jc w:val="center"/>
        </w:trPr>
        <w:tc>
          <w:tcPr>
            <w:tcW w:w="7088" w:type="dxa"/>
            <w:tcBorders>
              <w:top w:val="nil"/>
              <w:bottom w:val="single" w:sz="2" w:space="0" w:color="1F4E79" w:themeColor="accent1" w:themeShade="80"/>
            </w:tcBorders>
            <w:shd w:val="clear" w:color="auto" w:fill="auto"/>
          </w:tcPr>
          <w:p w14:paraId="3EAE94D1" w14:textId="77777777" w:rsidR="00375569" w:rsidRPr="00EC0115" w:rsidRDefault="00375569" w:rsidP="009E4699">
            <w:pPr>
              <w:pStyle w:val="08-Tabelageral"/>
              <w:ind w:firstLine="176"/>
              <w:jc w:val="left"/>
              <w:rPr>
                <w:rFonts w:cs="Arial"/>
                <w:szCs w:val="14"/>
              </w:rPr>
            </w:pPr>
            <w:r w:rsidRPr="00EC0115">
              <w:rPr>
                <w:rFonts w:cs="Arial"/>
                <w:szCs w:val="14"/>
              </w:rPr>
              <w:t>Reservas Estatutárias</w:t>
            </w:r>
          </w:p>
        </w:tc>
        <w:tc>
          <w:tcPr>
            <w:tcW w:w="1276" w:type="dxa"/>
            <w:tcBorders>
              <w:top w:val="nil"/>
              <w:bottom w:val="single" w:sz="2" w:space="0" w:color="1F4E79" w:themeColor="accent1" w:themeShade="80"/>
            </w:tcBorders>
            <w:shd w:val="clear" w:color="auto" w:fill="auto"/>
            <w:vAlign w:val="center"/>
          </w:tcPr>
          <w:p w14:paraId="4A8FE054" w14:textId="77777777" w:rsidR="00375569" w:rsidRPr="00EF1F8F" w:rsidRDefault="00375569" w:rsidP="005C65EA">
            <w:pPr>
              <w:pStyle w:val="08-Tabelageral"/>
              <w:ind w:left="113"/>
              <w:rPr>
                <w:rFonts w:cs="Arial"/>
                <w:szCs w:val="14"/>
              </w:rPr>
            </w:pPr>
            <w:r>
              <w:rPr>
                <w:rFonts w:cs="Arial"/>
                <w:szCs w:val="14"/>
              </w:rPr>
              <w:t>3.443.571</w:t>
            </w:r>
          </w:p>
        </w:tc>
        <w:tc>
          <w:tcPr>
            <w:tcW w:w="1275" w:type="dxa"/>
            <w:tcBorders>
              <w:top w:val="nil"/>
              <w:bottom w:val="single" w:sz="2" w:space="0" w:color="1F4E79" w:themeColor="accent1" w:themeShade="80"/>
            </w:tcBorders>
            <w:shd w:val="clear" w:color="auto" w:fill="auto"/>
            <w:vAlign w:val="center"/>
          </w:tcPr>
          <w:p w14:paraId="0C9DDE85" w14:textId="77777777" w:rsidR="00375569" w:rsidRPr="00EC0115" w:rsidRDefault="00375569" w:rsidP="005C65EA">
            <w:pPr>
              <w:pStyle w:val="08-Tabelageral"/>
              <w:ind w:left="113"/>
              <w:rPr>
                <w:rFonts w:cs="Arial"/>
                <w:szCs w:val="14"/>
              </w:rPr>
            </w:pPr>
            <w:r>
              <w:rPr>
                <w:rFonts w:cs="Arial"/>
                <w:szCs w:val="14"/>
              </w:rPr>
              <w:t>2.381.602</w:t>
            </w:r>
          </w:p>
        </w:tc>
      </w:tr>
    </w:tbl>
    <w:p w14:paraId="2FB29EB3" w14:textId="42F32BD5" w:rsidR="00931580" w:rsidRPr="00657A07" w:rsidRDefault="00931580" w:rsidP="00931580">
      <w:pPr>
        <w:pStyle w:val="PargrafodaLista"/>
        <w:numPr>
          <w:ilvl w:val="0"/>
          <w:numId w:val="30"/>
        </w:numPr>
        <w:spacing w:after="0"/>
        <w:ind w:left="284" w:hanging="284"/>
        <w:jc w:val="both"/>
        <w:rPr>
          <w:rFonts w:ascii="Arial" w:eastAsia="Times New Roman" w:hAnsi="Arial" w:cs="Times New Roman"/>
          <w:spacing w:val="-2"/>
          <w:sz w:val="14"/>
          <w:szCs w:val="18"/>
          <w:lang w:eastAsia="pt-BR"/>
        </w:rPr>
      </w:pPr>
      <w:r w:rsidRPr="00657A07">
        <w:rPr>
          <w:rFonts w:ascii="Arial" w:eastAsia="Times New Roman" w:hAnsi="Arial" w:cs="Times New Roman"/>
          <w:spacing w:val="-2"/>
          <w:sz w:val="14"/>
          <w:szCs w:val="18"/>
          <w:lang w:eastAsia="pt-BR"/>
        </w:rPr>
        <w:t xml:space="preserve">O saldo das </w:t>
      </w:r>
      <w:r>
        <w:rPr>
          <w:rFonts w:ascii="Arial" w:eastAsia="Times New Roman" w:hAnsi="Arial" w:cs="Times New Roman"/>
          <w:spacing w:val="-2"/>
          <w:sz w:val="14"/>
          <w:szCs w:val="18"/>
          <w:lang w:eastAsia="pt-BR"/>
        </w:rPr>
        <w:t>R</w:t>
      </w:r>
      <w:r w:rsidRPr="00657A07">
        <w:rPr>
          <w:rFonts w:ascii="Arial" w:eastAsia="Times New Roman" w:hAnsi="Arial" w:cs="Times New Roman"/>
          <w:spacing w:val="-2"/>
          <w:sz w:val="14"/>
          <w:szCs w:val="18"/>
          <w:lang w:eastAsia="pt-BR"/>
        </w:rPr>
        <w:t xml:space="preserve">eservas de </w:t>
      </w:r>
      <w:r>
        <w:rPr>
          <w:rFonts w:ascii="Arial" w:eastAsia="Times New Roman" w:hAnsi="Arial" w:cs="Times New Roman"/>
          <w:spacing w:val="-2"/>
          <w:sz w:val="14"/>
          <w:szCs w:val="18"/>
          <w:lang w:eastAsia="pt-BR"/>
        </w:rPr>
        <w:t>L</w:t>
      </w:r>
      <w:r w:rsidRPr="00657A07">
        <w:rPr>
          <w:rFonts w:ascii="Arial" w:eastAsia="Times New Roman" w:hAnsi="Arial" w:cs="Times New Roman"/>
          <w:spacing w:val="-2"/>
          <w:sz w:val="14"/>
          <w:szCs w:val="18"/>
          <w:lang w:eastAsia="pt-BR"/>
        </w:rPr>
        <w:t>ucros, em 31.12.2021, ultrapassou o capital social, sendo assim, a assembleia deliberará sobre aplicação do excesso, conforme artigo 199 da</w:t>
      </w:r>
      <w:r w:rsidRPr="00BB752F">
        <w:rPr>
          <w:rFonts w:ascii="Arial" w:eastAsia="Times New Roman" w:hAnsi="Arial" w:cs="Times New Roman"/>
          <w:spacing w:val="-2"/>
          <w:sz w:val="14"/>
          <w:szCs w:val="18"/>
          <w:lang w:eastAsia="pt-BR"/>
        </w:rPr>
        <w:t xml:space="preserve"> Lei 6.404/76</w:t>
      </w:r>
      <w:r>
        <w:rPr>
          <w:rFonts w:ascii="Arial" w:eastAsia="Times New Roman" w:hAnsi="Arial" w:cs="Times New Roman"/>
          <w:spacing w:val="-2"/>
          <w:sz w:val="14"/>
          <w:szCs w:val="18"/>
          <w:lang w:eastAsia="pt-BR"/>
        </w:rPr>
        <w:t>.</w:t>
      </w:r>
    </w:p>
    <w:p w14:paraId="657180A8" w14:textId="727E5F91" w:rsidR="00375569" w:rsidRDefault="00375569" w:rsidP="00FE570E">
      <w:pPr>
        <w:pStyle w:val="05-Textonormal"/>
        <w:shd w:val="clear" w:color="auto" w:fill="FFFFFF" w:themeFill="background1"/>
      </w:pPr>
      <w:r>
        <w:t>A Reserva de Capital é composta dos valores relativos a transações com pagamento baseado em ações, bem como o ganho ou perda na alienação de ações em tesouraria.</w:t>
      </w:r>
    </w:p>
    <w:p w14:paraId="4E619BB3" w14:textId="77777777" w:rsidR="00375569" w:rsidRDefault="00375569" w:rsidP="00FE570E">
      <w:pPr>
        <w:pStyle w:val="05-Textonormal"/>
        <w:shd w:val="clear" w:color="auto" w:fill="FFFFFF" w:themeFill="background1"/>
      </w:pPr>
      <w:r w:rsidRPr="00B4002E">
        <w:t>A reserva legal tem por finalidade assegurar a integridade do capital social e somente poderá ser utilizada para compensar prejuízos ou aumentar o capital social. Do lucro líquido apurado no período, 5% são aplicados, antes de qualquer outra destinação, na constituição da reserva legal, que não</w:t>
      </w:r>
      <w:r>
        <w:t xml:space="preserve"> excederá 20% do capital social e </w:t>
      </w:r>
      <w:r w:rsidRPr="00585800">
        <w:t>o saldo da reserva legal acrescido dos montantes das</w:t>
      </w:r>
      <w:r>
        <w:t xml:space="preserve"> </w:t>
      </w:r>
      <w:r w:rsidRPr="00585800">
        <w:t xml:space="preserve">reservas de capital </w:t>
      </w:r>
      <w:r>
        <w:t xml:space="preserve">que não </w:t>
      </w:r>
      <w:r w:rsidRPr="00585800">
        <w:t>exceder</w:t>
      </w:r>
      <w:r>
        <w:t xml:space="preserve">á </w:t>
      </w:r>
      <w:r w:rsidRPr="00585800">
        <w:t>30% do capital social</w:t>
      </w:r>
      <w:r>
        <w:t>.</w:t>
      </w:r>
    </w:p>
    <w:p w14:paraId="119F06BC" w14:textId="77777777" w:rsidR="00375569" w:rsidRDefault="00375569" w:rsidP="00FE570E">
      <w:pPr>
        <w:pStyle w:val="05-Textonormal"/>
        <w:shd w:val="clear" w:color="auto" w:fill="FFFFFF" w:themeFill="background1"/>
      </w:pPr>
      <w: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1CD21292" w14:textId="77777777" w:rsidR="00375569" w:rsidRDefault="00375569" w:rsidP="00A73553">
      <w:pPr>
        <w:pStyle w:val="05-Textonormal"/>
        <w:shd w:val="clear" w:color="auto" w:fill="FFFFFF" w:themeFill="background1"/>
      </w:pPr>
      <w:r w:rsidRPr="00A73553">
        <w:t>A Reserva</w:t>
      </w:r>
      <w:r>
        <w:t xml:space="preserve"> </w:t>
      </w:r>
      <w:r w:rsidRPr="00A73553">
        <w:t>Estatutária</w:t>
      </w:r>
      <w:r>
        <w:t xml:space="preserve"> para Reforço de Capital tem por finalidade garantir meios financeiros para a operação da sociedade, inclusive para aumento do capital nas sociedades das quais participa como acionista e a aquisição de sociedades enquadradas no Art. 3º do Estatuto, limitada a 80% do valor do capital social e sendo formada com recursos equivalentes a até 50% do lucro líquido do exercício.</w:t>
      </w:r>
    </w:p>
    <w:p w14:paraId="421F2E53" w14:textId="77777777" w:rsidR="00375569" w:rsidRPr="007C5A08" w:rsidRDefault="00375569" w:rsidP="00A73553">
      <w:pPr>
        <w:pStyle w:val="01-TtulodeNota"/>
        <w:rPr>
          <w:rFonts w:cs="Arial"/>
          <w:b w:val="0"/>
          <w:sz w:val="18"/>
          <w:szCs w:val="18"/>
        </w:rPr>
      </w:pPr>
      <w:r w:rsidRPr="007C5A08">
        <w:rPr>
          <w:color w:val="1F4E79" w:themeColor="accent1" w:themeShade="80"/>
          <w:sz w:val="18"/>
          <w:szCs w:val="18"/>
        </w:rPr>
        <w:t>c) Lucro por ação</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6096"/>
        <w:gridCol w:w="1984"/>
        <w:gridCol w:w="1559"/>
      </w:tblGrid>
      <w:tr w:rsidR="00375569" w:rsidRPr="00CB272C" w14:paraId="7F520EF5" w14:textId="77777777" w:rsidTr="00725333">
        <w:trPr>
          <w:trHeight w:val="238"/>
          <w:jc w:val="center"/>
        </w:trPr>
        <w:tc>
          <w:tcPr>
            <w:tcW w:w="6096" w:type="dxa"/>
            <w:tcBorders>
              <w:top w:val="single" w:sz="2" w:space="0" w:color="1F4E79" w:themeColor="accent1" w:themeShade="80"/>
              <w:bottom w:val="nil"/>
            </w:tcBorders>
            <w:shd w:val="clear" w:color="auto" w:fill="auto"/>
            <w:vAlign w:val="center"/>
          </w:tcPr>
          <w:p w14:paraId="41410456" w14:textId="77777777" w:rsidR="00375569" w:rsidRPr="00CB272C" w:rsidRDefault="00375569" w:rsidP="005A7A8D">
            <w:pPr>
              <w:spacing w:after="0"/>
              <w:jc w:val="center"/>
              <w:rPr>
                <w:rFonts w:cs="Arial"/>
                <w:b/>
                <w:szCs w:val="18"/>
              </w:rPr>
            </w:pPr>
          </w:p>
        </w:tc>
        <w:tc>
          <w:tcPr>
            <w:tcW w:w="3543" w:type="dxa"/>
            <w:gridSpan w:val="2"/>
            <w:tcBorders>
              <w:top w:val="single" w:sz="2" w:space="0" w:color="1F4E79" w:themeColor="accent1" w:themeShade="80"/>
              <w:bottom w:val="single" w:sz="2" w:space="0" w:color="1F4E79" w:themeColor="accent1" w:themeShade="80"/>
            </w:tcBorders>
            <w:shd w:val="clear" w:color="auto" w:fill="auto"/>
            <w:vAlign w:val="center"/>
          </w:tcPr>
          <w:p w14:paraId="76503D71" w14:textId="77777777" w:rsidR="00375569" w:rsidRPr="00CB272C" w:rsidRDefault="00375569" w:rsidP="005A7A8D">
            <w:pPr>
              <w:spacing w:after="0"/>
              <w:jc w:val="center"/>
              <w:rPr>
                <w:rFonts w:cs="Arial"/>
                <w:b/>
                <w:szCs w:val="18"/>
              </w:rPr>
            </w:pPr>
            <w:r w:rsidRPr="00CB272C">
              <w:rPr>
                <w:rFonts w:cs="Arial"/>
                <w:b/>
                <w:sz w:val="14"/>
                <w:szCs w:val="18"/>
              </w:rPr>
              <w:t>Controlador e Consolidado</w:t>
            </w:r>
          </w:p>
        </w:tc>
      </w:tr>
      <w:tr w:rsidR="00375569" w:rsidRPr="00CB272C" w14:paraId="1666AB1B" w14:textId="77777777" w:rsidTr="00725333">
        <w:trPr>
          <w:trHeight w:val="238"/>
          <w:jc w:val="center"/>
        </w:trPr>
        <w:tc>
          <w:tcPr>
            <w:tcW w:w="6096" w:type="dxa"/>
            <w:tcBorders>
              <w:top w:val="nil"/>
              <w:bottom w:val="single" w:sz="2" w:space="0" w:color="1F4E79" w:themeColor="accent1" w:themeShade="80"/>
            </w:tcBorders>
            <w:shd w:val="clear" w:color="auto" w:fill="auto"/>
            <w:vAlign w:val="center"/>
          </w:tcPr>
          <w:p w14:paraId="0A14D766" w14:textId="77777777" w:rsidR="00375569" w:rsidRPr="00CB272C" w:rsidRDefault="00375569" w:rsidP="00105B61">
            <w:pPr>
              <w:pStyle w:val="08-Tabelageral"/>
              <w:rPr>
                <w:rFonts w:cs="Arial"/>
                <w:b/>
              </w:rPr>
            </w:pPr>
          </w:p>
        </w:tc>
        <w:tc>
          <w:tcPr>
            <w:tcW w:w="1984" w:type="dxa"/>
            <w:tcBorders>
              <w:top w:val="single" w:sz="2" w:space="0" w:color="1F4E79" w:themeColor="accent1" w:themeShade="80"/>
              <w:bottom w:val="single" w:sz="2" w:space="0" w:color="1F4E79" w:themeColor="accent1" w:themeShade="80"/>
            </w:tcBorders>
            <w:shd w:val="clear" w:color="auto" w:fill="auto"/>
            <w:vAlign w:val="center"/>
          </w:tcPr>
          <w:p w14:paraId="5C982A69" w14:textId="77777777" w:rsidR="00375569" w:rsidRPr="00CB272C" w:rsidRDefault="00375569" w:rsidP="00105B61">
            <w:pPr>
              <w:pStyle w:val="08-Tabelageral"/>
              <w:rPr>
                <w:b/>
                <w:kern w:val="2"/>
              </w:rPr>
            </w:pPr>
            <w:r>
              <w:rPr>
                <w:b/>
                <w:kern w:val="2"/>
              </w:rPr>
              <w:t>Exercício 2021</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549FED7D" w14:textId="77777777" w:rsidR="00375569" w:rsidRPr="00722D67" w:rsidRDefault="00375569" w:rsidP="00105B61">
            <w:pPr>
              <w:pStyle w:val="08-Tabelageral"/>
              <w:rPr>
                <w:rFonts w:cs="Arial"/>
                <w:b/>
              </w:rPr>
            </w:pPr>
            <w:r>
              <w:rPr>
                <w:rFonts w:cs="Arial"/>
                <w:b/>
                <w:lang w:eastAsia="en-US"/>
              </w:rPr>
              <w:t>Exercício/2020</w:t>
            </w:r>
          </w:p>
        </w:tc>
      </w:tr>
      <w:tr w:rsidR="00375569" w:rsidRPr="00CB272C" w14:paraId="0BE3DB53" w14:textId="77777777" w:rsidTr="00725333">
        <w:trPr>
          <w:trHeight w:val="238"/>
          <w:jc w:val="center"/>
        </w:trPr>
        <w:tc>
          <w:tcPr>
            <w:tcW w:w="6096" w:type="dxa"/>
            <w:tcBorders>
              <w:top w:val="single" w:sz="2" w:space="0" w:color="1F4E79" w:themeColor="accent1" w:themeShade="80"/>
            </w:tcBorders>
            <w:shd w:val="clear" w:color="auto" w:fill="auto"/>
          </w:tcPr>
          <w:p w14:paraId="7BBEE45A" w14:textId="77777777" w:rsidR="00375569" w:rsidRPr="00CB272C" w:rsidRDefault="00375569" w:rsidP="00105B61">
            <w:pPr>
              <w:pStyle w:val="08-Tabelageral"/>
              <w:jc w:val="left"/>
              <w:rPr>
                <w:rFonts w:cs="Arial"/>
                <w:szCs w:val="14"/>
              </w:rPr>
            </w:pPr>
            <w:r w:rsidRPr="00CB272C">
              <w:rPr>
                <w:rFonts w:cs="Arial"/>
                <w:szCs w:val="14"/>
              </w:rPr>
              <w:t>Lucro líquido atribuível aos acionistas (R$ mil)</w:t>
            </w:r>
          </w:p>
        </w:tc>
        <w:tc>
          <w:tcPr>
            <w:tcW w:w="1984" w:type="dxa"/>
            <w:tcBorders>
              <w:top w:val="single" w:sz="2" w:space="0" w:color="1F4E79" w:themeColor="accent1" w:themeShade="80"/>
            </w:tcBorders>
            <w:shd w:val="clear" w:color="auto" w:fill="auto"/>
            <w:vAlign w:val="center"/>
          </w:tcPr>
          <w:p w14:paraId="654B3DB7" w14:textId="77777777" w:rsidR="00375569" w:rsidRPr="007C5A08" w:rsidRDefault="00375569" w:rsidP="00105B61">
            <w:pPr>
              <w:pStyle w:val="08-Tabelageral"/>
              <w:rPr>
                <w:rFonts w:cs="Arial"/>
                <w:bCs/>
              </w:rPr>
            </w:pPr>
            <w:r>
              <w:rPr>
                <w:rFonts w:cs="Arial"/>
                <w:bCs/>
              </w:rPr>
              <w:t>3.933.217</w:t>
            </w:r>
          </w:p>
        </w:tc>
        <w:tc>
          <w:tcPr>
            <w:tcW w:w="1559" w:type="dxa"/>
            <w:tcBorders>
              <w:top w:val="single" w:sz="2" w:space="0" w:color="1F4E79" w:themeColor="accent1" w:themeShade="80"/>
            </w:tcBorders>
            <w:shd w:val="clear" w:color="auto" w:fill="auto"/>
            <w:vAlign w:val="center"/>
          </w:tcPr>
          <w:p w14:paraId="128B7A69" w14:textId="77777777" w:rsidR="00375569" w:rsidRPr="00722D67" w:rsidRDefault="00375569" w:rsidP="00105B61">
            <w:pPr>
              <w:pStyle w:val="08-Tabelageral"/>
              <w:rPr>
                <w:rFonts w:cs="Arial"/>
                <w:bCs/>
              </w:rPr>
            </w:pPr>
            <w:r>
              <w:rPr>
                <w:rFonts w:cs="Arial"/>
                <w:szCs w:val="14"/>
                <w:lang w:eastAsia="en-US"/>
              </w:rPr>
              <w:t>3.850.771</w:t>
            </w:r>
          </w:p>
        </w:tc>
      </w:tr>
      <w:tr w:rsidR="00375569" w:rsidRPr="00CB272C" w14:paraId="450CEA12" w14:textId="77777777" w:rsidTr="00725333">
        <w:trPr>
          <w:trHeight w:val="238"/>
          <w:jc w:val="center"/>
        </w:trPr>
        <w:tc>
          <w:tcPr>
            <w:tcW w:w="6096" w:type="dxa"/>
            <w:tcBorders>
              <w:bottom w:val="nil"/>
            </w:tcBorders>
            <w:shd w:val="clear" w:color="auto" w:fill="auto"/>
          </w:tcPr>
          <w:p w14:paraId="3F61B613" w14:textId="77777777" w:rsidR="00375569" w:rsidRPr="00CB272C" w:rsidRDefault="00375569" w:rsidP="00105B61">
            <w:pPr>
              <w:pStyle w:val="08-Tabelageral"/>
              <w:jc w:val="left"/>
              <w:rPr>
                <w:rFonts w:cs="Arial"/>
                <w:szCs w:val="14"/>
              </w:rPr>
            </w:pPr>
            <w:r w:rsidRPr="00CB272C">
              <w:rPr>
                <w:rFonts w:cs="Arial"/>
                <w:szCs w:val="14"/>
              </w:rPr>
              <w:t>Número médio ponderado de ações (básico e diluído)</w:t>
            </w:r>
          </w:p>
        </w:tc>
        <w:tc>
          <w:tcPr>
            <w:tcW w:w="1984" w:type="dxa"/>
            <w:tcBorders>
              <w:bottom w:val="nil"/>
            </w:tcBorders>
            <w:shd w:val="clear" w:color="auto" w:fill="auto"/>
          </w:tcPr>
          <w:p w14:paraId="2292D637" w14:textId="77777777" w:rsidR="00375569" w:rsidRPr="00BD22CD" w:rsidRDefault="00375569" w:rsidP="008646BC">
            <w:pPr>
              <w:pStyle w:val="08-Tabelageral"/>
              <w:rPr>
                <w:rFonts w:cs="Arial"/>
                <w:szCs w:val="14"/>
              </w:rPr>
            </w:pPr>
            <w:r w:rsidRPr="008646BC">
              <w:rPr>
                <w:rFonts w:cs="Arial"/>
                <w:szCs w:val="14"/>
                <w:lang w:eastAsia="en-US"/>
              </w:rPr>
              <w:t xml:space="preserve">        1.996.672.230</w:t>
            </w:r>
          </w:p>
        </w:tc>
        <w:tc>
          <w:tcPr>
            <w:tcW w:w="1559" w:type="dxa"/>
            <w:tcBorders>
              <w:bottom w:val="nil"/>
            </w:tcBorders>
            <w:shd w:val="clear" w:color="auto" w:fill="auto"/>
          </w:tcPr>
          <w:p w14:paraId="7630B140" w14:textId="77777777" w:rsidR="00375569" w:rsidRPr="00722D67" w:rsidRDefault="00375569" w:rsidP="00105B61">
            <w:pPr>
              <w:pStyle w:val="08-Tabelageral"/>
              <w:rPr>
                <w:rFonts w:cs="Arial"/>
                <w:bCs/>
              </w:rPr>
            </w:pPr>
            <w:r>
              <w:rPr>
                <w:rFonts w:cs="Arial"/>
                <w:szCs w:val="14"/>
                <w:lang w:eastAsia="en-US"/>
              </w:rPr>
              <w:t>1.996.626.255</w:t>
            </w:r>
          </w:p>
        </w:tc>
      </w:tr>
      <w:tr w:rsidR="00375569" w:rsidRPr="00CB272C" w14:paraId="4FFD367B" w14:textId="77777777" w:rsidTr="00725333">
        <w:trPr>
          <w:trHeight w:val="238"/>
          <w:jc w:val="center"/>
        </w:trPr>
        <w:tc>
          <w:tcPr>
            <w:tcW w:w="6096" w:type="dxa"/>
            <w:tcBorders>
              <w:top w:val="nil"/>
              <w:bottom w:val="single" w:sz="2" w:space="0" w:color="1F4E79" w:themeColor="accent1" w:themeShade="80"/>
            </w:tcBorders>
            <w:shd w:val="clear" w:color="auto" w:fill="auto"/>
          </w:tcPr>
          <w:p w14:paraId="1B7C9E44" w14:textId="77777777" w:rsidR="00375569" w:rsidRPr="00CB272C" w:rsidRDefault="00375569" w:rsidP="00105B61">
            <w:pPr>
              <w:pStyle w:val="08-Tabelageral"/>
              <w:jc w:val="left"/>
              <w:rPr>
                <w:rFonts w:cs="Arial"/>
                <w:szCs w:val="14"/>
              </w:rPr>
            </w:pPr>
            <w:r w:rsidRPr="00CB272C">
              <w:rPr>
                <w:rFonts w:cs="Arial"/>
                <w:szCs w:val="14"/>
              </w:rPr>
              <w:t>Lucro por ação (básico e diluído) (R$)</w:t>
            </w:r>
          </w:p>
        </w:tc>
        <w:tc>
          <w:tcPr>
            <w:tcW w:w="1984" w:type="dxa"/>
            <w:tcBorders>
              <w:top w:val="nil"/>
              <w:bottom w:val="single" w:sz="2" w:space="0" w:color="1F4E79" w:themeColor="accent1" w:themeShade="80"/>
            </w:tcBorders>
            <w:shd w:val="clear" w:color="auto" w:fill="auto"/>
          </w:tcPr>
          <w:p w14:paraId="16D0557F" w14:textId="77777777" w:rsidR="00375569" w:rsidRPr="00BD22CD" w:rsidRDefault="00375569" w:rsidP="00105B61">
            <w:pPr>
              <w:pStyle w:val="08-Tabelageral"/>
              <w:ind w:left="113"/>
              <w:rPr>
                <w:rFonts w:cs="Arial"/>
                <w:szCs w:val="14"/>
              </w:rPr>
            </w:pPr>
            <w:r>
              <w:rPr>
                <w:rFonts w:cs="Arial"/>
                <w:szCs w:val="14"/>
              </w:rPr>
              <w:t>1,97</w:t>
            </w:r>
          </w:p>
        </w:tc>
        <w:tc>
          <w:tcPr>
            <w:tcW w:w="1559" w:type="dxa"/>
            <w:tcBorders>
              <w:top w:val="nil"/>
              <w:bottom w:val="single" w:sz="2" w:space="0" w:color="1F4E79" w:themeColor="accent1" w:themeShade="80"/>
            </w:tcBorders>
            <w:shd w:val="clear" w:color="auto" w:fill="auto"/>
          </w:tcPr>
          <w:p w14:paraId="516CA4DB" w14:textId="77777777" w:rsidR="00375569" w:rsidRPr="00722D67" w:rsidRDefault="00375569" w:rsidP="00105B61">
            <w:pPr>
              <w:pStyle w:val="08-Tabelageral"/>
              <w:rPr>
                <w:rFonts w:cs="Arial"/>
                <w:bCs/>
              </w:rPr>
            </w:pPr>
            <w:r>
              <w:rPr>
                <w:rFonts w:cs="Arial"/>
                <w:szCs w:val="14"/>
                <w:lang w:eastAsia="en-US"/>
              </w:rPr>
              <w:t>1,93</w:t>
            </w:r>
          </w:p>
        </w:tc>
      </w:tr>
    </w:tbl>
    <w:p w14:paraId="401FED1E" w14:textId="77777777" w:rsidR="00375569" w:rsidRPr="004630DF" w:rsidRDefault="00375569" w:rsidP="006221E1">
      <w:pPr>
        <w:pStyle w:val="05-Textonormal"/>
      </w:pPr>
      <w:r w:rsidRPr="004630DF">
        <w:t>O lucro por ação básico é calculado pela divisão do lucro líquido atribuível aos acionistas</w:t>
      </w:r>
      <w:r>
        <w:t xml:space="preserve"> </w:t>
      </w:r>
      <w:r w:rsidRPr="004630DF">
        <w:t>pela média</w:t>
      </w:r>
      <w:r>
        <w:t xml:space="preserve"> </w:t>
      </w:r>
      <w:r w:rsidRPr="004630DF">
        <w:t>ponderada do número de ações ordinárias em circulação</w:t>
      </w:r>
      <w:r>
        <w:t xml:space="preserve"> (não consideradas ações em tesouraria)</w:t>
      </w:r>
      <w:r w:rsidRPr="004630DF">
        <w:t xml:space="preserve"> em cada um dos períodos apresentados.</w:t>
      </w:r>
    </w:p>
    <w:p w14:paraId="23D868F9" w14:textId="77777777" w:rsidR="00375569" w:rsidRPr="004630DF" w:rsidRDefault="00375569" w:rsidP="00FE570E">
      <w:pPr>
        <w:pStyle w:val="05-Textonormal"/>
      </w:pPr>
      <w:r w:rsidRPr="004630DF">
        <w:lastRenderedPageBreak/>
        <w:t>O lucro por ação diluído é calculado pela divisão do lucro líquido atribuível aos acionistas pela média</w:t>
      </w:r>
      <w:r>
        <w:t xml:space="preserve"> </w:t>
      </w:r>
      <w:r w:rsidRPr="004630DF">
        <w:t>ponderada do número de ações ordinárias em circulação</w:t>
      </w:r>
      <w:r>
        <w:t xml:space="preserve"> (não consideradas ações em tesouraria)</w:t>
      </w:r>
      <w:r w:rsidRPr="004630DF">
        <w:t>, incluindo o efeito de todas as ações ordinárias potenciais</w:t>
      </w:r>
      <w:r>
        <w:t xml:space="preserve"> </w:t>
      </w:r>
      <w:r w:rsidRPr="004630DF">
        <w:t>dilu</w:t>
      </w:r>
      <w:r>
        <w:t>tivos.</w:t>
      </w:r>
    </w:p>
    <w:p w14:paraId="403FE077" w14:textId="0B7D46B7" w:rsidR="00375569" w:rsidRDefault="00375569" w:rsidP="00526E43">
      <w:pPr>
        <w:pStyle w:val="05-Textonormal"/>
        <w:rPr>
          <w:color w:val="1F4E79" w:themeColor="accent1" w:themeShade="80"/>
        </w:rPr>
      </w:pPr>
      <w:r>
        <w:t>A BB Seguridade</w:t>
      </w:r>
      <w:r w:rsidRPr="004630DF">
        <w:t xml:space="preserve"> não tem opç</w:t>
      </w:r>
      <w:r w:rsidR="00543C1A">
        <w:t>ões</w:t>
      </w:r>
      <w:r w:rsidRPr="004630DF">
        <w:t>, bônus de subscrição ou seus equivalentes que dão ao seu titular direito de adquirir ações.</w:t>
      </w:r>
      <w:r>
        <w:t xml:space="preserve"> </w:t>
      </w:r>
      <w:r w:rsidRPr="004630DF">
        <w:t>Assim, o lucro líquido por ação básico e diluído são iguais</w:t>
      </w:r>
      <w:r>
        <w:t xml:space="preserve"> e foi calculado dividindo-se o lucro atribuível aos titulares de ações ordinárias da companhia pelo número médio ponderado de ações ordinárias em poder dos acionistas durante o período.</w:t>
      </w:r>
    </w:p>
    <w:p w14:paraId="6D92FE0F" w14:textId="77777777" w:rsidR="00375569" w:rsidRPr="00725333" w:rsidRDefault="00375569" w:rsidP="00725333">
      <w:pPr>
        <w:pStyle w:val="03-SubttulodeNota"/>
        <w:rPr>
          <w:color w:val="1F4E79" w:themeColor="accent1" w:themeShade="80"/>
          <w:sz w:val="18"/>
          <w:szCs w:val="18"/>
        </w:rPr>
      </w:pPr>
      <w:r w:rsidRPr="00725333">
        <w:rPr>
          <w:color w:val="1F4E79" w:themeColor="accent1" w:themeShade="80"/>
          <w:sz w:val="18"/>
          <w:szCs w:val="18"/>
        </w:rPr>
        <w:t>d) Dividendos</w:t>
      </w:r>
    </w:p>
    <w:p w14:paraId="3B297492" w14:textId="77777777" w:rsidR="00375569" w:rsidRDefault="00375569" w:rsidP="00105B61">
      <w:pPr>
        <w:spacing w:after="0"/>
        <w:jc w:val="right"/>
        <w:rPr>
          <w:rFonts w:cs="Arial"/>
          <w:b/>
          <w:sz w:val="14"/>
          <w:lang w:eastAsia="pt-BR"/>
        </w:rPr>
      </w:pPr>
      <w:r>
        <w:rPr>
          <w:rFonts w:cs="Arial"/>
          <w:b/>
          <w:sz w:val="14"/>
          <w:lang w:eastAsia="pt-BR"/>
        </w:rPr>
        <w:t>R$ mil</w:t>
      </w:r>
    </w:p>
    <w:tbl>
      <w:tblPr>
        <w:tblStyle w:val="TabeladeLista6Colorida-nfase510"/>
        <w:tblW w:w="9639" w:type="dxa"/>
        <w:jc w:val="center"/>
        <w:tblInd w:w="0" w:type="dxa"/>
        <w:tblLook w:val="04A0" w:firstRow="1" w:lastRow="0" w:firstColumn="1" w:lastColumn="0" w:noHBand="0" w:noVBand="1"/>
      </w:tblPr>
      <w:tblGrid>
        <w:gridCol w:w="6630"/>
        <w:gridCol w:w="1504"/>
        <w:gridCol w:w="1505"/>
      </w:tblGrid>
      <w:tr w:rsidR="00375569" w14:paraId="6E6D1D1B" w14:textId="77777777" w:rsidTr="00725333">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bottom w:val="single" w:sz="2" w:space="0" w:color="1F4E79" w:themeColor="accent1" w:themeShade="80"/>
            </w:tcBorders>
            <w:shd w:val="clear" w:color="auto" w:fill="auto"/>
            <w:vAlign w:val="center"/>
          </w:tcPr>
          <w:p w14:paraId="4069C6E7" w14:textId="77777777" w:rsidR="00375569" w:rsidRDefault="00375569" w:rsidP="00105B61">
            <w:pPr>
              <w:keepNext/>
              <w:keepLines/>
              <w:spacing w:before="40" w:after="40"/>
              <w:rPr>
                <w:rFonts w:eastAsia="Times New Roman" w:cs="Arial"/>
                <w:spacing w:val="-2"/>
                <w:sz w:val="14"/>
                <w:szCs w:val="18"/>
                <w:lang w:eastAsia="pt-BR"/>
              </w:rPr>
            </w:pPr>
          </w:p>
        </w:tc>
        <w:tc>
          <w:tcPr>
            <w:tcW w:w="1504" w:type="dxa"/>
            <w:tcBorders>
              <w:top w:val="single" w:sz="2" w:space="0" w:color="1F4E79" w:themeColor="accent1" w:themeShade="80"/>
              <w:bottom w:val="single" w:sz="2" w:space="0" w:color="1F4E79" w:themeColor="accent1" w:themeShade="80"/>
            </w:tcBorders>
            <w:shd w:val="clear" w:color="auto" w:fill="auto"/>
            <w:vAlign w:val="center"/>
            <w:hideMark/>
          </w:tcPr>
          <w:p w14:paraId="350058CC" w14:textId="77777777" w:rsidR="00375569" w:rsidRDefault="00375569" w:rsidP="00105B61">
            <w:pPr>
              <w:pStyle w:val="08-Tabelageral"/>
              <w:cnfStyle w:val="100000000000" w:firstRow="1" w:lastRow="0" w:firstColumn="0" w:lastColumn="0" w:oddVBand="0" w:evenVBand="0" w:oddHBand="0" w:evenHBand="0" w:firstRowFirstColumn="0" w:firstRowLastColumn="0" w:lastRowFirstColumn="0" w:lastRowLastColumn="0"/>
              <w:rPr>
                <w:lang w:eastAsia="en-US"/>
              </w:rPr>
            </w:pPr>
            <w:r>
              <w:rPr>
                <w:lang w:eastAsia="en-US"/>
              </w:rPr>
              <w:t>Exercício 2021</w:t>
            </w:r>
          </w:p>
        </w:tc>
        <w:tc>
          <w:tcPr>
            <w:tcW w:w="1505" w:type="dxa"/>
            <w:tcBorders>
              <w:top w:val="single" w:sz="2" w:space="0" w:color="1F4E79" w:themeColor="accent1" w:themeShade="80"/>
              <w:bottom w:val="single" w:sz="2" w:space="0" w:color="1F4E79" w:themeColor="accent1" w:themeShade="80"/>
            </w:tcBorders>
            <w:shd w:val="clear" w:color="auto" w:fill="auto"/>
            <w:vAlign w:val="center"/>
            <w:hideMark/>
          </w:tcPr>
          <w:p w14:paraId="695B4B85" w14:textId="77777777" w:rsidR="00375569" w:rsidRDefault="00375569" w:rsidP="00105B61">
            <w:pPr>
              <w:pStyle w:val="08-Tabelageral"/>
              <w:cnfStyle w:val="100000000000" w:firstRow="1" w:lastRow="0" w:firstColumn="0" w:lastColumn="0" w:oddVBand="0" w:evenVBand="0" w:oddHBand="0" w:evenHBand="0" w:firstRowFirstColumn="0" w:firstRowLastColumn="0" w:lastRowFirstColumn="0" w:lastRowLastColumn="0"/>
              <w:rPr>
                <w:lang w:eastAsia="en-US"/>
              </w:rPr>
            </w:pPr>
            <w:r w:rsidRPr="0048036C">
              <w:t>Exercício</w:t>
            </w:r>
            <w:r>
              <w:t xml:space="preserve"> </w:t>
            </w:r>
            <w:r w:rsidRPr="0048036C">
              <w:t>2020</w:t>
            </w:r>
          </w:p>
        </w:tc>
      </w:tr>
      <w:tr w:rsidR="00375569" w14:paraId="6298073B"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left w:val="nil"/>
              <w:bottom w:val="nil"/>
              <w:right w:val="nil"/>
            </w:tcBorders>
            <w:shd w:val="clear" w:color="auto" w:fill="auto"/>
            <w:hideMark/>
          </w:tcPr>
          <w:p w14:paraId="6B02954F" w14:textId="77777777" w:rsidR="00375569" w:rsidRDefault="00375569" w:rsidP="00105B61">
            <w:pPr>
              <w:pStyle w:val="08-Tabelageral"/>
              <w:jc w:val="left"/>
              <w:rPr>
                <w:rFonts w:cs="Arial"/>
                <w:b w:val="0"/>
                <w:bCs w:val="0"/>
                <w:lang w:eastAsia="en-US"/>
              </w:rPr>
            </w:pPr>
            <w:r>
              <w:rPr>
                <w:rFonts w:cs="Arial"/>
                <w:b w:val="0"/>
                <w:bCs w:val="0"/>
                <w:lang w:eastAsia="en-US"/>
              </w:rPr>
              <w:t>(1) - Lucro líquido</w:t>
            </w:r>
          </w:p>
        </w:tc>
        <w:tc>
          <w:tcPr>
            <w:tcW w:w="1504" w:type="dxa"/>
            <w:tcBorders>
              <w:top w:val="single" w:sz="2" w:space="0" w:color="1F4E79" w:themeColor="accent1" w:themeShade="80"/>
              <w:left w:val="nil"/>
              <w:bottom w:val="nil"/>
              <w:right w:val="nil"/>
            </w:tcBorders>
            <w:shd w:val="clear" w:color="auto" w:fill="auto"/>
            <w:vAlign w:val="center"/>
          </w:tcPr>
          <w:p w14:paraId="5D26E551" w14:textId="77777777" w:rsidR="00375569"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Pr>
                <w:rFonts w:cs="Arial"/>
                <w:bCs/>
              </w:rPr>
              <w:t>3.933.217</w:t>
            </w:r>
          </w:p>
        </w:tc>
        <w:tc>
          <w:tcPr>
            <w:tcW w:w="1505" w:type="dxa"/>
            <w:tcBorders>
              <w:top w:val="single" w:sz="2" w:space="0" w:color="1F4E79" w:themeColor="accent1" w:themeShade="80"/>
              <w:left w:val="nil"/>
              <w:bottom w:val="nil"/>
              <w:right w:val="nil"/>
            </w:tcBorders>
            <w:shd w:val="clear" w:color="auto" w:fill="auto"/>
            <w:hideMark/>
          </w:tcPr>
          <w:p w14:paraId="38384ABD" w14:textId="77777777" w:rsidR="00375569"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48036C">
              <w:t>3.850.771</w:t>
            </w:r>
          </w:p>
        </w:tc>
      </w:tr>
      <w:tr w:rsidR="00375569" w14:paraId="595C0A67"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7D5A42B7" w14:textId="77777777" w:rsidR="00375569" w:rsidRDefault="00375569" w:rsidP="00105B61">
            <w:pPr>
              <w:pStyle w:val="08-Tabelageral"/>
              <w:jc w:val="left"/>
              <w:rPr>
                <w:rFonts w:cs="Arial"/>
                <w:b w:val="0"/>
                <w:lang w:eastAsia="en-US"/>
              </w:rPr>
            </w:pPr>
            <w:r>
              <w:rPr>
                <w:rFonts w:cs="Arial"/>
                <w:b w:val="0"/>
                <w:lang w:eastAsia="en-US"/>
              </w:rPr>
              <w:t xml:space="preserve">(2) - Reserva legal constituída </w:t>
            </w:r>
            <w:r w:rsidRPr="003F6AFF">
              <w:rPr>
                <w:rFonts w:cs="Arial"/>
                <w:b w:val="0"/>
                <w:vertAlign w:val="superscript"/>
                <w:lang w:eastAsia="en-US"/>
              </w:rPr>
              <w:t>(1)</w:t>
            </w:r>
          </w:p>
        </w:tc>
        <w:tc>
          <w:tcPr>
            <w:tcW w:w="1504" w:type="dxa"/>
            <w:tcBorders>
              <w:top w:val="nil"/>
              <w:left w:val="nil"/>
              <w:bottom w:val="nil"/>
              <w:right w:val="nil"/>
            </w:tcBorders>
            <w:shd w:val="clear" w:color="auto" w:fill="auto"/>
            <w:vAlign w:val="center"/>
          </w:tcPr>
          <w:p w14:paraId="0ABE4FFC" w14:textId="77777777" w:rsidR="00375569" w:rsidRDefault="00375569" w:rsidP="00105B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w:t>
            </w:r>
          </w:p>
        </w:tc>
        <w:tc>
          <w:tcPr>
            <w:tcW w:w="1505" w:type="dxa"/>
            <w:tcBorders>
              <w:top w:val="nil"/>
              <w:left w:val="nil"/>
              <w:bottom w:val="nil"/>
              <w:right w:val="nil"/>
            </w:tcBorders>
            <w:shd w:val="clear" w:color="auto" w:fill="auto"/>
            <w:hideMark/>
          </w:tcPr>
          <w:p w14:paraId="420F206F" w14:textId="77777777" w:rsidR="0037556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48036C">
              <w:t>--</w:t>
            </w:r>
          </w:p>
        </w:tc>
      </w:tr>
      <w:tr w:rsidR="00375569" w14:paraId="0B34D08A"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B080795" w14:textId="77777777" w:rsidR="00375569" w:rsidRDefault="00375569" w:rsidP="00105B61">
            <w:pPr>
              <w:pStyle w:val="08-Tabelageral"/>
              <w:jc w:val="left"/>
              <w:rPr>
                <w:rFonts w:cs="Arial"/>
                <w:lang w:eastAsia="en-US"/>
              </w:rPr>
            </w:pPr>
            <w:r>
              <w:rPr>
                <w:rFonts w:cs="Arial"/>
                <w:lang w:eastAsia="en-US"/>
              </w:rPr>
              <w:t>(=) Base de cálculo (1 - 2)</w:t>
            </w:r>
          </w:p>
        </w:tc>
        <w:tc>
          <w:tcPr>
            <w:tcW w:w="1504" w:type="dxa"/>
            <w:tcBorders>
              <w:top w:val="nil"/>
              <w:left w:val="nil"/>
              <w:bottom w:val="nil"/>
              <w:right w:val="nil"/>
            </w:tcBorders>
            <w:shd w:val="clear" w:color="auto" w:fill="auto"/>
            <w:vAlign w:val="center"/>
          </w:tcPr>
          <w:p w14:paraId="3E17A3C3" w14:textId="77777777" w:rsidR="00375569" w:rsidRPr="000D1E50" w:rsidRDefault="00375569" w:rsidP="00105B61">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0D1E50">
              <w:rPr>
                <w:rFonts w:cs="Arial"/>
                <w:b/>
                <w:szCs w:val="14"/>
                <w:lang w:eastAsia="en-US"/>
              </w:rPr>
              <w:t>3.933.217</w:t>
            </w:r>
          </w:p>
        </w:tc>
        <w:tc>
          <w:tcPr>
            <w:tcW w:w="1505" w:type="dxa"/>
            <w:tcBorders>
              <w:top w:val="nil"/>
              <w:left w:val="nil"/>
              <w:bottom w:val="nil"/>
              <w:right w:val="nil"/>
            </w:tcBorders>
            <w:shd w:val="clear" w:color="auto" w:fill="auto"/>
            <w:hideMark/>
          </w:tcPr>
          <w:p w14:paraId="2BF2585E" w14:textId="77777777" w:rsidR="00375569" w:rsidRPr="000D1E50"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0D1E50">
              <w:rPr>
                <w:b/>
              </w:rPr>
              <w:t>3.850.771</w:t>
            </w:r>
          </w:p>
        </w:tc>
      </w:tr>
      <w:tr w:rsidR="00375569" w14:paraId="2B552CC1"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430EF11" w14:textId="77777777" w:rsidR="00375569" w:rsidRDefault="00375569" w:rsidP="00105B61">
            <w:pPr>
              <w:pStyle w:val="08-Tabelageral"/>
              <w:jc w:val="left"/>
              <w:rPr>
                <w:rFonts w:cs="Arial"/>
                <w:b w:val="0"/>
                <w:lang w:eastAsia="en-US"/>
              </w:rPr>
            </w:pPr>
            <w:r>
              <w:rPr>
                <w:rFonts w:cs="Arial"/>
                <w:b w:val="0"/>
                <w:lang w:eastAsia="en-US"/>
              </w:rPr>
              <w:t>(3) - Dividendos mínimos obrigatórios</w:t>
            </w:r>
          </w:p>
        </w:tc>
        <w:tc>
          <w:tcPr>
            <w:tcW w:w="1504" w:type="dxa"/>
            <w:tcBorders>
              <w:top w:val="nil"/>
              <w:left w:val="nil"/>
              <w:bottom w:val="nil"/>
              <w:right w:val="nil"/>
            </w:tcBorders>
            <w:shd w:val="clear" w:color="auto" w:fill="auto"/>
            <w:vAlign w:val="center"/>
          </w:tcPr>
          <w:p w14:paraId="645003BD" w14:textId="77777777" w:rsidR="00375569" w:rsidRDefault="00375569" w:rsidP="00105B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983.304</w:t>
            </w:r>
          </w:p>
        </w:tc>
        <w:tc>
          <w:tcPr>
            <w:tcW w:w="1505" w:type="dxa"/>
            <w:tcBorders>
              <w:top w:val="nil"/>
              <w:left w:val="nil"/>
              <w:bottom w:val="nil"/>
              <w:right w:val="nil"/>
            </w:tcBorders>
            <w:shd w:val="clear" w:color="auto" w:fill="auto"/>
            <w:hideMark/>
          </w:tcPr>
          <w:p w14:paraId="6CAC5C13" w14:textId="77777777" w:rsidR="0037556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48036C">
              <w:t>962.693</w:t>
            </w:r>
          </w:p>
        </w:tc>
      </w:tr>
      <w:tr w:rsidR="00375569" w14:paraId="250C8BF7"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7DA2B8A8" w14:textId="77777777" w:rsidR="00375569" w:rsidRDefault="00375569" w:rsidP="00105B61">
            <w:pPr>
              <w:pStyle w:val="08-Tabelageral"/>
              <w:jc w:val="left"/>
              <w:rPr>
                <w:rFonts w:cs="Arial"/>
                <w:b w:val="0"/>
                <w:lang w:eastAsia="en-US"/>
              </w:rPr>
            </w:pPr>
            <w:r>
              <w:rPr>
                <w:rFonts w:cs="Arial"/>
                <w:b w:val="0"/>
                <w:lang w:eastAsia="en-US"/>
              </w:rPr>
              <w:t>(4) - Dividendos adicionais</w:t>
            </w:r>
          </w:p>
        </w:tc>
        <w:tc>
          <w:tcPr>
            <w:tcW w:w="1504" w:type="dxa"/>
            <w:tcBorders>
              <w:top w:val="nil"/>
              <w:left w:val="nil"/>
              <w:bottom w:val="nil"/>
              <w:right w:val="nil"/>
            </w:tcBorders>
            <w:shd w:val="clear" w:color="auto" w:fill="auto"/>
            <w:vAlign w:val="center"/>
          </w:tcPr>
          <w:p w14:paraId="66930F59" w14:textId="77777777" w:rsidR="00375569" w:rsidRDefault="00375569" w:rsidP="00105B6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Pr>
                <w:rFonts w:cs="Arial"/>
                <w:szCs w:val="14"/>
                <w:lang w:eastAsia="en-US"/>
              </w:rPr>
              <w:t>1.887.944</w:t>
            </w:r>
          </w:p>
        </w:tc>
        <w:tc>
          <w:tcPr>
            <w:tcW w:w="1505" w:type="dxa"/>
            <w:tcBorders>
              <w:top w:val="nil"/>
              <w:left w:val="nil"/>
              <w:bottom w:val="nil"/>
              <w:right w:val="nil"/>
            </w:tcBorders>
            <w:shd w:val="clear" w:color="auto" w:fill="auto"/>
            <w:hideMark/>
          </w:tcPr>
          <w:p w14:paraId="32C0AF29" w14:textId="77777777" w:rsidR="00375569"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48036C">
              <w:t>1.732.847</w:t>
            </w:r>
          </w:p>
        </w:tc>
      </w:tr>
      <w:tr w:rsidR="00375569" w14:paraId="255925D9"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6D6254ED" w14:textId="77777777" w:rsidR="00375569" w:rsidRDefault="00375569" w:rsidP="00105B61">
            <w:pPr>
              <w:pStyle w:val="08-Tabelageral"/>
              <w:jc w:val="left"/>
              <w:rPr>
                <w:rFonts w:cs="Arial"/>
                <w:lang w:eastAsia="en-US"/>
              </w:rPr>
            </w:pPr>
            <w:r>
              <w:rPr>
                <w:rFonts w:cs="Arial"/>
                <w:b w:val="0"/>
                <w:lang w:eastAsia="en-US"/>
              </w:rPr>
              <w:t>(5) - Reserva Estatutária</w:t>
            </w:r>
          </w:p>
        </w:tc>
        <w:tc>
          <w:tcPr>
            <w:tcW w:w="1504" w:type="dxa"/>
            <w:tcBorders>
              <w:top w:val="nil"/>
              <w:left w:val="nil"/>
              <w:bottom w:val="nil"/>
              <w:right w:val="nil"/>
            </w:tcBorders>
            <w:shd w:val="clear" w:color="auto" w:fill="auto"/>
            <w:vAlign w:val="center"/>
          </w:tcPr>
          <w:p w14:paraId="7060EBE6" w14:textId="77777777" w:rsidR="00375569" w:rsidRDefault="00375569" w:rsidP="00105B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1.061.969</w:t>
            </w:r>
          </w:p>
        </w:tc>
        <w:tc>
          <w:tcPr>
            <w:tcW w:w="1505" w:type="dxa"/>
            <w:tcBorders>
              <w:top w:val="nil"/>
              <w:left w:val="nil"/>
              <w:bottom w:val="nil"/>
              <w:right w:val="nil"/>
            </w:tcBorders>
            <w:shd w:val="clear" w:color="auto" w:fill="auto"/>
            <w:hideMark/>
          </w:tcPr>
          <w:p w14:paraId="5146D4A9" w14:textId="77777777" w:rsidR="0037556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48036C">
              <w:t>1.155.231</w:t>
            </w:r>
          </w:p>
        </w:tc>
      </w:tr>
      <w:tr w:rsidR="00375569" w14:paraId="76F4C498"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680DB020" w14:textId="77777777" w:rsidR="00375569" w:rsidRDefault="00375569" w:rsidP="00105B61">
            <w:pPr>
              <w:pStyle w:val="08-Tabelageral"/>
              <w:jc w:val="left"/>
              <w:rPr>
                <w:rFonts w:cs="Arial"/>
                <w:lang w:eastAsia="en-US"/>
              </w:rPr>
            </w:pPr>
            <w:r>
              <w:rPr>
                <w:rFonts w:cs="Arial"/>
                <w:b w:val="0"/>
                <w:lang w:eastAsia="en-US"/>
              </w:rPr>
              <w:t xml:space="preserve">(=) </w:t>
            </w:r>
            <w:r>
              <w:rPr>
                <w:rFonts w:cs="Arial"/>
                <w:lang w:eastAsia="en-US"/>
              </w:rPr>
              <w:t>Saldo do lucro líquido ajustado, após as destinações (1-2-3-4-5)</w:t>
            </w:r>
          </w:p>
        </w:tc>
        <w:tc>
          <w:tcPr>
            <w:tcW w:w="1504" w:type="dxa"/>
            <w:tcBorders>
              <w:top w:val="nil"/>
              <w:left w:val="nil"/>
              <w:bottom w:val="nil"/>
              <w:right w:val="nil"/>
            </w:tcBorders>
            <w:shd w:val="clear" w:color="auto" w:fill="auto"/>
            <w:vAlign w:val="center"/>
          </w:tcPr>
          <w:p w14:paraId="702AA19A" w14:textId="77777777" w:rsidR="00375569" w:rsidRPr="000D1E50" w:rsidRDefault="00375569" w:rsidP="00105B61">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0D1E50">
              <w:rPr>
                <w:rFonts w:cs="Arial"/>
                <w:b/>
                <w:szCs w:val="14"/>
                <w:lang w:eastAsia="en-US"/>
              </w:rPr>
              <w:t>--</w:t>
            </w:r>
          </w:p>
        </w:tc>
        <w:tc>
          <w:tcPr>
            <w:tcW w:w="1505" w:type="dxa"/>
            <w:tcBorders>
              <w:top w:val="nil"/>
              <w:left w:val="nil"/>
              <w:bottom w:val="nil"/>
              <w:right w:val="nil"/>
            </w:tcBorders>
            <w:shd w:val="clear" w:color="auto" w:fill="auto"/>
            <w:hideMark/>
          </w:tcPr>
          <w:p w14:paraId="2E8672F4" w14:textId="77777777" w:rsidR="00375569" w:rsidRPr="000D1E50"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0D1E50">
              <w:rPr>
                <w:b/>
              </w:rPr>
              <w:t>--</w:t>
            </w:r>
          </w:p>
        </w:tc>
      </w:tr>
      <w:tr w:rsidR="00375569" w14:paraId="73EDBDAB"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tcPr>
          <w:p w14:paraId="2726DFC6" w14:textId="77777777" w:rsidR="00375569" w:rsidRDefault="00375569" w:rsidP="00105B61">
            <w:pPr>
              <w:pStyle w:val="08-Tabelageral"/>
              <w:jc w:val="left"/>
              <w:rPr>
                <w:rFonts w:cs="Arial"/>
                <w:lang w:eastAsia="en-US"/>
              </w:rPr>
            </w:pPr>
          </w:p>
        </w:tc>
        <w:tc>
          <w:tcPr>
            <w:tcW w:w="1504" w:type="dxa"/>
            <w:tcBorders>
              <w:top w:val="nil"/>
              <w:left w:val="nil"/>
              <w:bottom w:val="nil"/>
              <w:right w:val="nil"/>
            </w:tcBorders>
            <w:shd w:val="clear" w:color="auto" w:fill="auto"/>
            <w:vAlign w:val="center"/>
          </w:tcPr>
          <w:p w14:paraId="19637FC8" w14:textId="77777777" w:rsidR="00375569" w:rsidRDefault="00375569" w:rsidP="00105B61">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505" w:type="dxa"/>
            <w:tcBorders>
              <w:top w:val="nil"/>
              <w:left w:val="nil"/>
              <w:bottom w:val="nil"/>
              <w:right w:val="nil"/>
            </w:tcBorders>
            <w:shd w:val="clear" w:color="auto" w:fill="auto"/>
          </w:tcPr>
          <w:p w14:paraId="1929CEC3" w14:textId="77777777" w:rsidR="0037556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b/>
                <w:lang w:eastAsia="en-US"/>
              </w:rPr>
            </w:pPr>
          </w:p>
        </w:tc>
      </w:tr>
      <w:tr w:rsidR="00375569" w14:paraId="5E4A77F3"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292371F" w14:textId="77777777" w:rsidR="00375569" w:rsidRDefault="00375569" w:rsidP="00105B61">
            <w:pPr>
              <w:pStyle w:val="08-Tabelageral"/>
              <w:jc w:val="left"/>
              <w:rPr>
                <w:rFonts w:cs="Arial"/>
                <w:b w:val="0"/>
                <w:bCs w:val="0"/>
                <w:lang w:eastAsia="en-US"/>
              </w:rPr>
            </w:pPr>
            <w:r>
              <w:rPr>
                <w:rFonts w:cs="Arial"/>
                <w:b w:val="0"/>
                <w:bCs w:val="0"/>
                <w:lang w:eastAsia="en-US"/>
              </w:rPr>
              <w:t>(6) - Dividendos propostos (3+4)</w:t>
            </w:r>
          </w:p>
        </w:tc>
        <w:tc>
          <w:tcPr>
            <w:tcW w:w="1504" w:type="dxa"/>
            <w:tcBorders>
              <w:top w:val="nil"/>
              <w:left w:val="nil"/>
              <w:bottom w:val="nil"/>
              <w:right w:val="nil"/>
            </w:tcBorders>
            <w:shd w:val="clear" w:color="auto" w:fill="auto"/>
            <w:vAlign w:val="center"/>
          </w:tcPr>
          <w:p w14:paraId="3E594640" w14:textId="77777777" w:rsidR="00375569" w:rsidRDefault="00375569" w:rsidP="00105B6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Pr>
                <w:rFonts w:cs="Arial"/>
                <w:szCs w:val="14"/>
                <w:lang w:eastAsia="en-US"/>
              </w:rPr>
              <w:t>2.871.248</w:t>
            </w:r>
          </w:p>
        </w:tc>
        <w:tc>
          <w:tcPr>
            <w:tcW w:w="1505" w:type="dxa"/>
            <w:tcBorders>
              <w:top w:val="nil"/>
              <w:left w:val="nil"/>
              <w:bottom w:val="nil"/>
              <w:right w:val="nil"/>
            </w:tcBorders>
            <w:shd w:val="clear" w:color="auto" w:fill="auto"/>
            <w:hideMark/>
          </w:tcPr>
          <w:p w14:paraId="01E8E29E" w14:textId="77777777" w:rsidR="00375569"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48036C">
              <w:t>2.695.540</w:t>
            </w:r>
          </w:p>
        </w:tc>
      </w:tr>
      <w:tr w:rsidR="00375569" w14:paraId="1A82EC9E"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69E89A17" w14:textId="77777777" w:rsidR="00375569" w:rsidRDefault="00375569" w:rsidP="00105B61">
            <w:pPr>
              <w:pStyle w:val="08-Tabelageral"/>
              <w:jc w:val="left"/>
              <w:rPr>
                <w:rFonts w:cs="Arial"/>
                <w:lang w:eastAsia="en-US"/>
              </w:rPr>
            </w:pPr>
            <w:r>
              <w:rPr>
                <w:rFonts w:cs="Arial"/>
                <w:b w:val="0"/>
                <w:lang w:eastAsia="en-US"/>
              </w:rPr>
              <w:t>(7) - Dividendos prescritos</w:t>
            </w:r>
          </w:p>
        </w:tc>
        <w:tc>
          <w:tcPr>
            <w:tcW w:w="1504" w:type="dxa"/>
            <w:tcBorders>
              <w:top w:val="nil"/>
              <w:left w:val="nil"/>
              <w:bottom w:val="nil"/>
              <w:right w:val="nil"/>
            </w:tcBorders>
            <w:shd w:val="clear" w:color="auto" w:fill="auto"/>
            <w:vAlign w:val="center"/>
          </w:tcPr>
          <w:p w14:paraId="1B6C5C05" w14:textId="77777777" w:rsidR="00375569" w:rsidRDefault="00375569" w:rsidP="00105B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45</w:t>
            </w:r>
          </w:p>
        </w:tc>
        <w:tc>
          <w:tcPr>
            <w:tcW w:w="1505" w:type="dxa"/>
            <w:tcBorders>
              <w:top w:val="nil"/>
              <w:left w:val="nil"/>
              <w:bottom w:val="nil"/>
              <w:right w:val="nil"/>
            </w:tcBorders>
            <w:shd w:val="clear" w:color="auto" w:fill="auto"/>
            <w:hideMark/>
          </w:tcPr>
          <w:p w14:paraId="2712E25E" w14:textId="77777777" w:rsidR="0037556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48036C">
              <w:t>42</w:t>
            </w:r>
          </w:p>
        </w:tc>
      </w:tr>
      <w:tr w:rsidR="00375569" w14:paraId="4E2A789A" w14:textId="77777777" w:rsidTr="0072533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2BBC3348" w14:textId="77777777" w:rsidR="00375569" w:rsidRDefault="00375569" w:rsidP="00105B61">
            <w:pPr>
              <w:pStyle w:val="08-Tabelageral"/>
              <w:jc w:val="left"/>
              <w:rPr>
                <w:rFonts w:cs="Arial"/>
                <w:lang w:eastAsia="en-US"/>
              </w:rPr>
            </w:pPr>
            <w:r>
              <w:rPr>
                <w:rFonts w:cs="Arial"/>
                <w:b w:val="0"/>
                <w:lang w:eastAsia="en-US"/>
              </w:rPr>
              <w:t>(8) - Dividendos pagos</w:t>
            </w:r>
          </w:p>
        </w:tc>
        <w:tc>
          <w:tcPr>
            <w:tcW w:w="1504" w:type="dxa"/>
            <w:tcBorders>
              <w:top w:val="nil"/>
              <w:left w:val="nil"/>
              <w:bottom w:val="nil"/>
              <w:right w:val="nil"/>
            </w:tcBorders>
            <w:shd w:val="clear" w:color="auto" w:fill="auto"/>
            <w:vAlign w:val="center"/>
          </w:tcPr>
          <w:p w14:paraId="6E080860" w14:textId="77777777" w:rsidR="00375569" w:rsidRDefault="00375569" w:rsidP="00105B61">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Pr>
                <w:rFonts w:cs="Arial"/>
                <w:szCs w:val="14"/>
                <w:lang w:eastAsia="en-US"/>
              </w:rPr>
              <w:t>1.040.024</w:t>
            </w:r>
          </w:p>
        </w:tc>
        <w:tc>
          <w:tcPr>
            <w:tcW w:w="1505" w:type="dxa"/>
            <w:tcBorders>
              <w:top w:val="nil"/>
              <w:left w:val="nil"/>
              <w:bottom w:val="nil"/>
              <w:right w:val="nil"/>
            </w:tcBorders>
            <w:shd w:val="clear" w:color="auto" w:fill="auto"/>
            <w:hideMark/>
          </w:tcPr>
          <w:p w14:paraId="4536460F" w14:textId="77777777" w:rsidR="00375569" w:rsidRDefault="00375569" w:rsidP="00105B61">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48036C">
              <w:t>1.747.565</w:t>
            </w:r>
          </w:p>
        </w:tc>
      </w:tr>
      <w:tr w:rsidR="00375569" w14:paraId="7896A3C9" w14:textId="77777777" w:rsidTr="0072533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single" w:sz="2" w:space="0" w:color="1F4E79" w:themeColor="accent1" w:themeShade="80"/>
              <w:right w:val="nil"/>
            </w:tcBorders>
            <w:shd w:val="clear" w:color="auto" w:fill="auto"/>
            <w:hideMark/>
          </w:tcPr>
          <w:p w14:paraId="4E618CE7" w14:textId="77777777" w:rsidR="00375569" w:rsidRDefault="00375569" w:rsidP="00105B61">
            <w:pPr>
              <w:pStyle w:val="08-Tabelageral"/>
              <w:jc w:val="left"/>
              <w:rPr>
                <w:rFonts w:cs="Arial"/>
                <w:bCs w:val="0"/>
                <w:lang w:eastAsia="en-US"/>
              </w:rPr>
            </w:pPr>
            <w:r>
              <w:rPr>
                <w:rFonts w:cs="Arial"/>
                <w:bCs w:val="0"/>
                <w:lang w:eastAsia="en-US"/>
              </w:rPr>
              <w:t>(=) Dividendos a pagar (6+7-8)</w:t>
            </w:r>
          </w:p>
        </w:tc>
        <w:tc>
          <w:tcPr>
            <w:tcW w:w="1504" w:type="dxa"/>
            <w:tcBorders>
              <w:top w:val="nil"/>
              <w:left w:val="nil"/>
              <w:bottom w:val="single" w:sz="2" w:space="0" w:color="1F4E79" w:themeColor="accent1" w:themeShade="80"/>
              <w:right w:val="nil"/>
            </w:tcBorders>
            <w:shd w:val="clear" w:color="auto" w:fill="auto"/>
            <w:vAlign w:val="center"/>
          </w:tcPr>
          <w:p w14:paraId="0F675569" w14:textId="77777777" w:rsidR="00375569" w:rsidRPr="00DB2F0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DB2F09">
              <w:rPr>
                <w:rFonts w:cs="Arial"/>
                <w:b/>
                <w:szCs w:val="14"/>
                <w:lang w:eastAsia="en-US"/>
              </w:rPr>
              <w:t>1.831.269</w:t>
            </w:r>
          </w:p>
        </w:tc>
        <w:tc>
          <w:tcPr>
            <w:tcW w:w="1505" w:type="dxa"/>
            <w:tcBorders>
              <w:top w:val="nil"/>
              <w:left w:val="nil"/>
              <w:bottom w:val="single" w:sz="2" w:space="0" w:color="1F4E79" w:themeColor="accent1" w:themeShade="80"/>
              <w:right w:val="nil"/>
            </w:tcBorders>
            <w:shd w:val="clear" w:color="auto" w:fill="auto"/>
            <w:hideMark/>
          </w:tcPr>
          <w:p w14:paraId="0A44484F" w14:textId="77777777" w:rsidR="00375569" w:rsidRPr="00DB2F09" w:rsidRDefault="00375569" w:rsidP="00105B61">
            <w:pPr>
              <w:pStyle w:val="08-Tabelageral"/>
              <w:cnfStyle w:val="000000010000" w:firstRow="0" w:lastRow="0" w:firstColumn="0" w:lastColumn="0" w:oddVBand="0" w:evenVBand="0" w:oddHBand="0" w:evenHBand="1" w:firstRowFirstColumn="0" w:firstRowLastColumn="0" w:lastRowFirstColumn="0" w:lastRowLastColumn="0"/>
              <w:rPr>
                <w:b/>
                <w:lang w:eastAsia="en-US"/>
              </w:rPr>
            </w:pPr>
            <w:r w:rsidRPr="00DB2F09">
              <w:rPr>
                <w:b/>
              </w:rPr>
              <w:t>948.017</w:t>
            </w:r>
          </w:p>
        </w:tc>
      </w:tr>
    </w:tbl>
    <w:p w14:paraId="461652DA" w14:textId="77777777" w:rsidR="00375569" w:rsidRPr="002C7B47" w:rsidRDefault="00375569" w:rsidP="00931580">
      <w:pPr>
        <w:pStyle w:val="PargrafodaLista"/>
        <w:numPr>
          <w:ilvl w:val="0"/>
          <w:numId w:val="95"/>
        </w:numPr>
        <w:spacing w:after="0"/>
        <w:ind w:left="284" w:hanging="284"/>
        <w:jc w:val="both"/>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A</w:t>
      </w:r>
      <w:r w:rsidRPr="002C7B47">
        <w:rPr>
          <w:rFonts w:ascii="Arial" w:eastAsia="Times New Roman" w:hAnsi="Arial" w:cs="Times New Roman"/>
          <w:spacing w:val="-2"/>
          <w:sz w:val="14"/>
          <w:szCs w:val="18"/>
          <w:lang w:eastAsia="pt-BR"/>
        </w:rPr>
        <w:t xml:space="preserve"> reserva legal não foi constituída em função do montante desta ter atingido o limite de 20% do capital, conforme prevê</w:t>
      </w:r>
      <w:r>
        <w:rPr>
          <w:rFonts w:ascii="Arial" w:eastAsia="Times New Roman" w:hAnsi="Arial" w:cs="Times New Roman"/>
          <w:spacing w:val="-2"/>
          <w:sz w:val="14"/>
          <w:szCs w:val="18"/>
          <w:lang w:eastAsia="pt-BR"/>
        </w:rPr>
        <w:t xml:space="preserve"> o artigo 193 d</w:t>
      </w:r>
      <w:r w:rsidRPr="00BB752F">
        <w:rPr>
          <w:rFonts w:ascii="Arial" w:eastAsia="Times New Roman" w:hAnsi="Arial" w:cs="Times New Roman"/>
          <w:spacing w:val="-2"/>
          <w:sz w:val="14"/>
          <w:szCs w:val="18"/>
          <w:lang w:eastAsia="pt-BR"/>
        </w:rPr>
        <w:t>a Lei 6.404/76</w:t>
      </w:r>
      <w:r w:rsidRPr="002C7B47">
        <w:rPr>
          <w:rFonts w:ascii="Arial" w:eastAsia="Times New Roman" w:hAnsi="Arial" w:cs="Times New Roman"/>
          <w:spacing w:val="-2"/>
          <w:sz w:val="14"/>
          <w:szCs w:val="18"/>
          <w:lang w:eastAsia="pt-BR"/>
        </w:rPr>
        <w:t xml:space="preserve"> e o Estatuto </w:t>
      </w:r>
      <w:r>
        <w:rPr>
          <w:rFonts w:ascii="Arial" w:eastAsia="Times New Roman" w:hAnsi="Arial" w:cs="Times New Roman"/>
          <w:spacing w:val="-2"/>
          <w:sz w:val="14"/>
          <w:szCs w:val="18"/>
          <w:lang w:eastAsia="pt-BR"/>
        </w:rPr>
        <w:t xml:space="preserve">Social </w:t>
      </w:r>
      <w:r w:rsidRPr="002C7B47">
        <w:rPr>
          <w:rFonts w:ascii="Arial" w:eastAsia="Times New Roman" w:hAnsi="Arial" w:cs="Times New Roman"/>
          <w:spacing w:val="-2"/>
          <w:sz w:val="14"/>
          <w:szCs w:val="18"/>
          <w:lang w:eastAsia="pt-BR"/>
        </w:rPr>
        <w:t>da BB Seguridade.</w:t>
      </w:r>
    </w:p>
    <w:p w14:paraId="61754059" w14:textId="77777777" w:rsidR="00375569" w:rsidRDefault="00375569" w:rsidP="00A50035">
      <w:pPr>
        <w:pStyle w:val="01-TtulodeNota"/>
        <w:keepNext/>
        <w:keepLines/>
      </w:pPr>
      <w:r w:rsidRPr="005674F6">
        <w:rPr>
          <w:b w:val="0"/>
          <w:sz w:val="18"/>
          <w:szCs w:val="18"/>
        </w:rPr>
        <w:t>A BB Seguridade segue a Política de Dividendos disponível no site de Relações com Investidores</w:t>
      </w:r>
      <w:r>
        <w:t>.</w:t>
      </w:r>
    </w:p>
    <w:p w14:paraId="6A327749" w14:textId="77777777" w:rsidR="00375569" w:rsidRDefault="00375569" w:rsidP="001D09B3">
      <w:pPr>
        <w:pStyle w:val="01-Textonormal"/>
      </w:pPr>
      <w:r>
        <w:t>A Política é revisada a cada três anos ou, extraordinariamente, a qualquer tempo, e submetida ao Conselho de Administração do Grupo para aprovação.</w:t>
      </w:r>
    </w:p>
    <w:p w14:paraId="2D172D5F" w14:textId="77777777" w:rsidR="00375569" w:rsidRDefault="00375569" w:rsidP="00F66987">
      <w:pPr>
        <w:pStyle w:val="05-Textonormal"/>
        <w:shd w:val="clear" w:color="auto" w:fill="FFFFFF" w:themeFill="background1"/>
        <w:rPr>
          <w:rFonts w:ascii="ArialMT" w:eastAsiaTheme="minorHAnsi" w:hAnsi="ArialMT" w:cs="ArialMT"/>
        </w:rPr>
      </w:pPr>
      <w:r>
        <w:t xml:space="preserve">Os dividendos relativos ao lucro do 2º semestre de 2020, no valor de R$ 947.975 mil, acrescidos do saldo de dividendos prescritos de R$ 42 mil relativos a exercícios passados, foram pagos em </w:t>
      </w:r>
      <w:r w:rsidRPr="00390066">
        <w:t>fevereiro de 2021</w:t>
      </w:r>
      <w:r>
        <w:t>, com a atualização monetária de R$ 2.623 mil</w:t>
      </w:r>
      <w:r w:rsidRPr="00BE2C33">
        <w:t xml:space="preserve"> pela taxa Selic</w:t>
      </w:r>
      <w:r>
        <w:t>, somando um montante distribuído de R$ 950.640 mil</w:t>
      </w:r>
      <w:r>
        <w:rPr>
          <w:rFonts w:ascii="ArialMT" w:eastAsiaTheme="minorHAnsi" w:hAnsi="ArialMT" w:cs="ArialMT"/>
        </w:rPr>
        <w:t>.</w:t>
      </w:r>
    </w:p>
    <w:p w14:paraId="6D346708" w14:textId="77777777" w:rsidR="00375569" w:rsidRDefault="00375569" w:rsidP="005552E3">
      <w:pPr>
        <w:autoSpaceDE w:val="0"/>
        <w:autoSpaceDN w:val="0"/>
        <w:adjustRightInd w:val="0"/>
        <w:spacing w:after="0" w:line="240" w:lineRule="auto"/>
        <w:jc w:val="both"/>
        <w:rPr>
          <w:rFonts w:ascii="ArialMT" w:hAnsi="ArialMT" w:cs="ArialMT"/>
          <w:szCs w:val="18"/>
        </w:rPr>
      </w:pPr>
      <w:r w:rsidRPr="00C3181F">
        <w:rPr>
          <w:rFonts w:ascii="ArialMT" w:hAnsi="ArialMT" w:cs="ArialMT"/>
          <w:szCs w:val="18"/>
        </w:rPr>
        <w:t>A BB Seguridade pagou em agosto de 2021 o valor de R$ 1.040.024</w:t>
      </w:r>
      <w:r>
        <w:rPr>
          <w:rFonts w:ascii="ArialMT" w:hAnsi="ArialMT" w:cs="ArialMT"/>
          <w:szCs w:val="18"/>
        </w:rPr>
        <w:t xml:space="preserve"> mil de dividendos intermediários aprovados pelo </w:t>
      </w:r>
      <w:r w:rsidRPr="00C6739C">
        <w:rPr>
          <w:rFonts w:ascii="ArialMT" w:hAnsi="ArialMT" w:cs="ArialMT"/>
          <w:szCs w:val="18"/>
        </w:rPr>
        <w:t>Conselho de Administração da BB Seguridade em 18.06.2021, sendo R$ 1.040.000 m</w:t>
      </w:r>
      <w:r>
        <w:rPr>
          <w:rFonts w:ascii="ArialMT" w:hAnsi="ArialMT" w:cs="ArialMT"/>
          <w:szCs w:val="18"/>
        </w:rPr>
        <w:t>il referente ao lucro do 1º semestre/2021 e R$ 24 mil de dividendos prescritos no período.</w:t>
      </w:r>
    </w:p>
    <w:p w14:paraId="0E618FBA" w14:textId="77777777" w:rsidR="00375569" w:rsidRPr="00F665F8" w:rsidRDefault="00375569" w:rsidP="00F665F8">
      <w:pPr>
        <w:pStyle w:val="03-SubttulodeNota"/>
        <w:rPr>
          <w:color w:val="1F4E79" w:themeColor="accent1" w:themeShade="80"/>
          <w:sz w:val="18"/>
          <w:szCs w:val="18"/>
        </w:rPr>
      </w:pPr>
      <w:r w:rsidRPr="00F665F8">
        <w:rPr>
          <w:color w:val="1F4E79" w:themeColor="accent1" w:themeShade="80"/>
          <w:sz w:val="18"/>
          <w:szCs w:val="18"/>
        </w:rPr>
        <w:t>d.1) Dividendos por ação</w:t>
      </w:r>
    </w:p>
    <w:tbl>
      <w:tblPr>
        <w:tblStyle w:val="TabeladeLista6Colorida-nfase5"/>
        <w:tblW w:w="9645" w:type="dxa"/>
        <w:jc w:val="center"/>
        <w:tblLayout w:type="fixed"/>
        <w:tblLook w:val="04A0" w:firstRow="1" w:lastRow="0" w:firstColumn="1" w:lastColumn="0" w:noHBand="0" w:noVBand="1"/>
      </w:tblPr>
      <w:tblGrid>
        <w:gridCol w:w="1139"/>
        <w:gridCol w:w="1178"/>
        <w:gridCol w:w="1075"/>
        <w:gridCol w:w="272"/>
        <w:gridCol w:w="1025"/>
        <w:gridCol w:w="826"/>
        <w:gridCol w:w="162"/>
        <w:gridCol w:w="110"/>
        <w:gridCol w:w="29"/>
        <w:gridCol w:w="179"/>
        <w:gridCol w:w="848"/>
        <w:gridCol w:w="850"/>
        <w:gridCol w:w="74"/>
        <w:gridCol w:w="1023"/>
        <w:gridCol w:w="855"/>
      </w:tblGrid>
      <w:tr w:rsidR="00375569" w14:paraId="15DF43A2" w14:textId="77777777" w:rsidTr="00725333">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tcPr>
          <w:p w14:paraId="4FD382C0" w14:textId="77777777" w:rsidR="00375569" w:rsidRDefault="00375569">
            <w:pPr>
              <w:pStyle w:val="08-Tabelageral"/>
              <w:jc w:val="center"/>
              <w:rPr>
                <w:b w:val="0"/>
                <w:lang w:eastAsia="en-US"/>
              </w:rPr>
            </w:pPr>
          </w:p>
        </w:tc>
        <w:tc>
          <w:tcPr>
            <w:tcW w:w="2253"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04BD1BA" w14:textId="77777777" w:rsidR="00375569" w:rsidRDefault="00375569">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2° Sem/2021</w:t>
            </w:r>
          </w:p>
        </w:tc>
        <w:tc>
          <w:tcPr>
            <w:tcW w:w="2285" w:type="dxa"/>
            <w:gridSpan w:val="4"/>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7B9751A" w14:textId="77777777" w:rsidR="00375569" w:rsidRDefault="0037556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1° Sem/2021</w:t>
            </w:r>
          </w:p>
        </w:tc>
        <w:tc>
          <w:tcPr>
            <w:tcW w:w="318" w:type="dxa"/>
            <w:gridSpan w:val="3"/>
            <w:tcBorders>
              <w:top w:val="single" w:sz="2" w:space="0" w:color="1F4E79" w:themeColor="accent1" w:themeShade="80"/>
              <w:left w:val="nil"/>
              <w:bottom w:val="nil"/>
              <w:right w:val="nil"/>
            </w:tcBorders>
            <w:shd w:val="clear" w:color="auto" w:fill="auto"/>
          </w:tcPr>
          <w:p w14:paraId="20CE70EB" w14:textId="77777777" w:rsidR="00375569" w:rsidRDefault="0037556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p>
        </w:tc>
        <w:tc>
          <w:tcPr>
            <w:tcW w:w="1772" w:type="dxa"/>
            <w:gridSpan w:val="3"/>
            <w:tcBorders>
              <w:top w:val="single" w:sz="2" w:space="0" w:color="1F4E79" w:themeColor="accent1" w:themeShade="80"/>
              <w:left w:val="nil"/>
              <w:bottom w:val="single" w:sz="2" w:space="0" w:color="8EAADB" w:themeColor="accent5" w:themeTint="99"/>
              <w:right w:val="nil"/>
            </w:tcBorders>
            <w:shd w:val="clear" w:color="auto" w:fill="auto"/>
            <w:hideMark/>
          </w:tcPr>
          <w:p w14:paraId="2ACE9CA6" w14:textId="77777777" w:rsidR="00375569" w:rsidRDefault="0037556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r>
              <w:rPr>
                <w:rFonts w:cs="Arial"/>
                <w:kern w:val="2"/>
                <w:szCs w:val="14"/>
                <w:lang w:eastAsia="en-US"/>
              </w:rPr>
              <w:t>2° Sem/2020</w:t>
            </w:r>
          </w:p>
        </w:tc>
        <w:tc>
          <w:tcPr>
            <w:tcW w:w="1878" w:type="dxa"/>
            <w:gridSpan w:val="2"/>
            <w:tcBorders>
              <w:top w:val="single" w:sz="2" w:space="0" w:color="1F4E79" w:themeColor="accent1" w:themeShade="80"/>
              <w:left w:val="nil"/>
              <w:bottom w:val="nil"/>
              <w:right w:val="nil"/>
            </w:tcBorders>
            <w:shd w:val="clear" w:color="auto" w:fill="auto"/>
            <w:hideMark/>
          </w:tcPr>
          <w:p w14:paraId="535C4566" w14:textId="77777777" w:rsidR="00375569" w:rsidRDefault="00375569">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kern w:val="2"/>
                <w:szCs w:val="14"/>
                <w:lang w:eastAsia="en-US"/>
              </w:rPr>
            </w:pPr>
            <w:r>
              <w:rPr>
                <w:lang w:eastAsia="en-US"/>
              </w:rPr>
              <w:t>1° Sem/2020</w:t>
            </w:r>
          </w:p>
        </w:tc>
      </w:tr>
      <w:tr w:rsidR="00375569" w14:paraId="25624090" w14:textId="77777777" w:rsidTr="00725333">
        <w:trPr>
          <w:cnfStyle w:val="000000100000" w:firstRow="0" w:lastRow="0" w:firstColumn="0" w:lastColumn="0" w:oddVBand="0" w:evenVBand="0" w:oddHBand="1" w:evenHBand="0" w:firstRowFirstColumn="0" w:firstRowLastColumn="0" w:lastRowFirstColumn="0" w:lastRowLastColumn="0"/>
          <w:trHeight w:hRule="exact" w:val="443"/>
          <w:jc w:val="center"/>
        </w:trPr>
        <w:tc>
          <w:tcPr>
            <w:cnfStyle w:val="001000000000" w:firstRow="0" w:lastRow="0" w:firstColumn="1" w:lastColumn="0" w:oddVBand="0" w:evenVBand="0" w:oddHBand="0" w:evenHBand="0" w:firstRowFirstColumn="0" w:firstRowLastColumn="0" w:lastRowFirstColumn="0" w:lastRowLastColumn="0"/>
            <w:tcW w:w="1139" w:type="dxa"/>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31324EB5" w14:textId="77777777" w:rsidR="00375569" w:rsidRDefault="00375569">
            <w:pPr>
              <w:rPr>
                <w:rFonts w:eastAsia="Times New Roman" w:cs="Times New Roman"/>
                <w:spacing w:val="-2"/>
                <w:sz w:val="14"/>
                <w:szCs w:val="18"/>
              </w:rPr>
            </w:pPr>
          </w:p>
        </w:tc>
        <w:tc>
          <w:tcPr>
            <w:tcW w:w="1178"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720239B6"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5A6CF1A7"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(R$ mil)</w:t>
            </w:r>
          </w:p>
        </w:tc>
        <w:tc>
          <w:tcPr>
            <w:tcW w:w="1075"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207F7B4C"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55A9CE1A"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ação (R$)</w:t>
            </w:r>
          </w:p>
        </w:tc>
        <w:tc>
          <w:tcPr>
            <w:tcW w:w="272" w:type="dxa"/>
            <w:tcBorders>
              <w:top w:val="single" w:sz="2" w:space="0" w:color="8EAADB" w:themeColor="accent5" w:themeTint="99"/>
              <w:left w:val="nil"/>
              <w:bottom w:val="single" w:sz="2" w:space="0" w:color="1F4E79" w:themeColor="accent1" w:themeShade="80"/>
              <w:right w:val="nil"/>
            </w:tcBorders>
            <w:shd w:val="clear" w:color="auto" w:fill="auto"/>
            <w:vAlign w:val="center"/>
          </w:tcPr>
          <w:p w14:paraId="6E549DD3"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025" w:type="dxa"/>
            <w:tcBorders>
              <w:top w:val="single" w:sz="2" w:space="0" w:color="8EAADB" w:themeColor="accent5" w:themeTint="99"/>
              <w:left w:val="nil"/>
              <w:bottom w:val="single" w:sz="2" w:space="0" w:color="1F4E79" w:themeColor="accent1" w:themeShade="80"/>
              <w:right w:val="nil"/>
            </w:tcBorders>
            <w:shd w:val="clear" w:color="auto" w:fill="auto"/>
            <w:hideMark/>
          </w:tcPr>
          <w:p w14:paraId="3F379473"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5246CFBA"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(R$ mil)</w:t>
            </w:r>
          </w:p>
        </w:tc>
        <w:tc>
          <w:tcPr>
            <w:tcW w:w="826" w:type="dxa"/>
            <w:tcBorders>
              <w:top w:val="single" w:sz="2" w:space="0" w:color="8EAADB" w:themeColor="accent5" w:themeTint="99"/>
              <w:left w:val="nil"/>
              <w:bottom w:val="single" w:sz="2" w:space="0" w:color="1F4E79" w:themeColor="accent1" w:themeShade="80"/>
              <w:right w:val="nil"/>
            </w:tcBorders>
            <w:shd w:val="clear" w:color="auto" w:fill="auto"/>
            <w:hideMark/>
          </w:tcPr>
          <w:p w14:paraId="019BE525"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54B2765C"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ação (R$)</w:t>
            </w:r>
          </w:p>
        </w:tc>
        <w:tc>
          <w:tcPr>
            <w:tcW w:w="301" w:type="dxa"/>
            <w:gridSpan w:val="3"/>
            <w:tcBorders>
              <w:top w:val="nil"/>
              <w:left w:val="nil"/>
              <w:bottom w:val="single" w:sz="2" w:space="0" w:color="1F4E79" w:themeColor="accent1" w:themeShade="80"/>
              <w:right w:val="nil"/>
            </w:tcBorders>
            <w:shd w:val="clear" w:color="auto" w:fill="auto"/>
          </w:tcPr>
          <w:p w14:paraId="5D7390EC"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027"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358B8973"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4524C0D7"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(R$ mil)</w:t>
            </w:r>
          </w:p>
        </w:tc>
        <w:tc>
          <w:tcPr>
            <w:tcW w:w="850" w:type="dxa"/>
            <w:tcBorders>
              <w:top w:val="single" w:sz="2" w:space="0" w:color="1F4E79" w:themeColor="accent1" w:themeShade="80"/>
              <w:left w:val="nil"/>
              <w:bottom w:val="single" w:sz="2" w:space="0" w:color="1F4E79" w:themeColor="accent1" w:themeShade="80"/>
              <w:right w:val="nil"/>
            </w:tcBorders>
            <w:shd w:val="clear" w:color="auto" w:fill="auto"/>
            <w:hideMark/>
          </w:tcPr>
          <w:p w14:paraId="2E06DD8F"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586E8E8A"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ação (R$)</w:t>
            </w:r>
          </w:p>
        </w:tc>
        <w:tc>
          <w:tcPr>
            <w:tcW w:w="1097"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245F2AF0"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71FEF4C1"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(R$ mil)</w:t>
            </w:r>
          </w:p>
        </w:tc>
        <w:tc>
          <w:tcPr>
            <w:tcW w:w="855" w:type="dxa"/>
            <w:tcBorders>
              <w:top w:val="single" w:sz="2" w:space="0" w:color="1F4E79" w:themeColor="accent1" w:themeShade="80"/>
              <w:left w:val="nil"/>
              <w:bottom w:val="single" w:sz="2" w:space="0" w:color="1F4E79" w:themeColor="accent1" w:themeShade="80"/>
              <w:right w:val="nil"/>
            </w:tcBorders>
            <w:shd w:val="clear" w:color="auto" w:fill="auto"/>
            <w:hideMark/>
          </w:tcPr>
          <w:p w14:paraId="5D007976"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76408CB0" w14:textId="77777777" w:rsidR="00375569" w:rsidRDefault="0037556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ação (R$)</w:t>
            </w:r>
          </w:p>
        </w:tc>
      </w:tr>
      <w:tr w:rsidR="00375569" w14:paraId="2F3F36EE" w14:textId="77777777" w:rsidTr="00725333">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2" w:space="0" w:color="1F4E79" w:themeColor="accent1" w:themeShade="80"/>
              <w:left w:val="nil"/>
              <w:bottom w:val="single" w:sz="2" w:space="0" w:color="1F4E79" w:themeColor="accent1" w:themeShade="80"/>
              <w:right w:val="nil"/>
            </w:tcBorders>
            <w:shd w:val="clear" w:color="auto" w:fill="auto"/>
            <w:hideMark/>
          </w:tcPr>
          <w:p w14:paraId="45539B45" w14:textId="77777777" w:rsidR="00375569" w:rsidRDefault="00375569" w:rsidP="00C21ED3">
            <w:pPr>
              <w:pStyle w:val="08-Tabelageral"/>
              <w:jc w:val="left"/>
              <w:rPr>
                <w:b w:val="0"/>
                <w:lang w:eastAsia="en-US"/>
              </w:rPr>
            </w:pPr>
            <w:r>
              <w:rPr>
                <w:b w:val="0"/>
                <w:lang w:eastAsia="en-US"/>
              </w:rPr>
              <w:t>Dividendos</w:t>
            </w:r>
          </w:p>
        </w:tc>
        <w:tc>
          <w:tcPr>
            <w:tcW w:w="117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378806E"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A02A63">
              <w:t>1.831.2</w:t>
            </w:r>
            <w:r>
              <w:t>69</w:t>
            </w:r>
          </w:p>
        </w:tc>
        <w:tc>
          <w:tcPr>
            <w:tcW w:w="107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0E3D80D"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t>0,9172</w:t>
            </w:r>
          </w:p>
        </w:tc>
        <w:tc>
          <w:tcPr>
            <w:tcW w:w="27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FE42744"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p>
        </w:tc>
        <w:tc>
          <w:tcPr>
            <w:tcW w:w="102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EC32C8D"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1.040.024</w:t>
            </w:r>
          </w:p>
        </w:tc>
        <w:tc>
          <w:tcPr>
            <w:tcW w:w="8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090F6B1" w14:textId="37800B6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0,52</w:t>
            </w:r>
            <w:r w:rsidR="00CE54A8">
              <w:rPr>
                <w:lang w:eastAsia="en-US"/>
              </w:rPr>
              <w:t>09</w:t>
            </w:r>
          </w:p>
        </w:tc>
        <w:tc>
          <w:tcPr>
            <w:tcW w:w="272" w:type="dxa"/>
            <w:gridSpan w:val="2"/>
            <w:tcBorders>
              <w:top w:val="single" w:sz="2" w:space="0" w:color="1F4E79" w:themeColor="accent1" w:themeShade="80"/>
              <w:left w:val="nil"/>
              <w:bottom w:val="single" w:sz="2" w:space="0" w:color="1F4E79" w:themeColor="accent1" w:themeShade="80"/>
              <w:right w:val="nil"/>
            </w:tcBorders>
            <w:shd w:val="clear" w:color="auto" w:fill="auto"/>
          </w:tcPr>
          <w:p w14:paraId="54549321"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p>
        </w:tc>
        <w:tc>
          <w:tcPr>
            <w:tcW w:w="1056"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B9D46FC"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948.017</w:t>
            </w:r>
          </w:p>
        </w:tc>
        <w:tc>
          <w:tcPr>
            <w:tcW w:w="850"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6BB9095C" w14:textId="5C8978C9"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0,474</w:t>
            </w:r>
            <w:r w:rsidR="002E4875">
              <w:rPr>
                <w:lang w:eastAsia="en-US"/>
              </w:rPr>
              <w:t>8</w:t>
            </w:r>
          </w:p>
        </w:tc>
        <w:tc>
          <w:tcPr>
            <w:tcW w:w="1097"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4A90A21" w14:textId="77777777"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1.747.565</w:t>
            </w:r>
          </w:p>
        </w:tc>
        <w:tc>
          <w:tcPr>
            <w:tcW w:w="855"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3F669A1" w14:textId="20EB8C11" w:rsidR="00375569" w:rsidRDefault="00375569" w:rsidP="00C21ED3">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0,875</w:t>
            </w:r>
            <w:r w:rsidR="002E4875">
              <w:rPr>
                <w:lang w:eastAsia="en-US"/>
              </w:rPr>
              <w:t>3</w:t>
            </w:r>
          </w:p>
        </w:tc>
      </w:tr>
    </w:tbl>
    <w:p w14:paraId="272B2274" w14:textId="77777777" w:rsidR="00375569" w:rsidRDefault="00375569" w:rsidP="005552E3">
      <w:pPr>
        <w:autoSpaceDE w:val="0"/>
        <w:autoSpaceDN w:val="0"/>
        <w:adjustRightInd w:val="0"/>
        <w:spacing w:after="0" w:line="240" w:lineRule="auto"/>
        <w:jc w:val="both"/>
        <w:rPr>
          <w:rFonts w:ascii="ArialMT" w:hAnsi="ArialMT" w:cs="ArialMT"/>
          <w:szCs w:val="18"/>
        </w:rPr>
      </w:pPr>
    </w:p>
    <w:p w14:paraId="3CD57563" w14:textId="77777777" w:rsidR="00375569" w:rsidRPr="003375C4" w:rsidRDefault="00375569" w:rsidP="003375C4">
      <w:pPr>
        <w:pStyle w:val="01-Textonormal"/>
        <w:rPr>
          <w:b/>
          <w:bCs/>
        </w:rPr>
      </w:pPr>
      <w:r w:rsidRPr="003375C4">
        <w:rPr>
          <w:b/>
          <w:bCs/>
          <w:color w:val="1F4E79" w:themeColor="accent1" w:themeShade="80"/>
        </w:rPr>
        <w:t>e) Outros Resultados Abrangentes Acumulados</w:t>
      </w:r>
      <w:r w:rsidRPr="003375C4">
        <w:rPr>
          <w:b/>
          <w:bCs/>
        </w:rPr>
        <w:tab/>
      </w:r>
    </w:p>
    <w:p w14:paraId="6405281C" w14:textId="77777777" w:rsidR="00375569" w:rsidRDefault="00375569" w:rsidP="00E64CC8">
      <w:pPr>
        <w:pStyle w:val="05-Textonormal"/>
        <w:rPr>
          <w:rFonts w:cs="Arial"/>
        </w:rPr>
      </w:pPr>
      <w:r w:rsidRPr="00293EC8">
        <w:rPr>
          <w:rFonts w:cs="Arial"/>
        </w:rPr>
        <w:t>O saldo negativo registrado em Outros Resultados Abrangentes Acumulados no montante de R$ 158.464</w:t>
      </w:r>
      <w:r w:rsidRPr="00293EC8">
        <w:t xml:space="preserve"> </w:t>
      </w:r>
      <w:r w:rsidRPr="00293EC8">
        <w:rPr>
          <w:rFonts w:cs="Arial"/>
        </w:rPr>
        <w:t>mil (R$ 12.882 mil</w:t>
      </w:r>
      <w:r w:rsidRPr="003375C4">
        <w:rPr>
          <w:rFonts w:cs="Arial"/>
        </w:rPr>
        <w:t xml:space="preserve"> positivo em 31.12.2020) é composto</w:t>
      </w:r>
      <w:r>
        <w:rPr>
          <w:rFonts w:cs="Arial"/>
        </w:rPr>
        <w:t>, principalmente,</w:t>
      </w:r>
      <w:r w:rsidRPr="003375C4">
        <w:rPr>
          <w:rFonts w:cs="Arial"/>
        </w:rPr>
        <w:t xml:space="preserve"> por:</w:t>
      </w:r>
    </w:p>
    <w:p w14:paraId="34E0AF83" w14:textId="3B7F9AE6" w:rsidR="00375569" w:rsidRPr="00FA021B" w:rsidRDefault="00375569" w:rsidP="00375569">
      <w:pPr>
        <w:pStyle w:val="05-Textonormal2"/>
        <w:numPr>
          <w:ilvl w:val="0"/>
          <w:numId w:val="8"/>
        </w:numPr>
        <w:rPr>
          <w:rFonts w:cs="Arial"/>
        </w:rPr>
      </w:pPr>
      <w:r w:rsidRPr="00B9668A">
        <w:rPr>
          <w:rFonts w:cs="Arial"/>
        </w:rPr>
        <w:t>R$ 137.474 mil negativo</w:t>
      </w:r>
      <w:r w:rsidRPr="003375C4">
        <w:rPr>
          <w:rFonts w:cs="Arial"/>
        </w:rPr>
        <w:t xml:space="preserve"> (</w:t>
      </w:r>
      <w:r w:rsidRPr="00AD41D9">
        <w:rPr>
          <w:rFonts w:cs="Arial"/>
        </w:rPr>
        <w:t>R$ 33.872 mil positivo em 31.12.2020) decorrente principalmente da valorização ou desvalorização resultante do ajuste ao valor de mercado, pelo valor líquido dos efeitos tributários, dos títulos classificados como</w:t>
      </w:r>
      <w:r w:rsidRPr="00FA021B">
        <w:rPr>
          <w:rFonts w:cs="Arial"/>
        </w:rPr>
        <w:t xml:space="preserve"> valor justo por meio de outros resultados abrangentes da Brasilprev Seguros e Previdência S.A., BB Mapfre Participações S.A. e Brasilcap Capitalização S.A.; </w:t>
      </w:r>
      <w:r w:rsidR="000B3330">
        <w:rPr>
          <w:rFonts w:cs="Arial"/>
        </w:rPr>
        <w:t>e</w:t>
      </w:r>
    </w:p>
    <w:p w14:paraId="2AB9F94D" w14:textId="75C902DC" w:rsidR="00375569" w:rsidRPr="003375C4" w:rsidRDefault="00375569" w:rsidP="00375569">
      <w:pPr>
        <w:pStyle w:val="05-Textonormal2"/>
        <w:numPr>
          <w:ilvl w:val="0"/>
          <w:numId w:val="8"/>
        </w:numPr>
        <w:rPr>
          <w:rFonts w:cs="Arial"/>
        </w:rPr>
      </w:pPr>
      <w:r w:rsidRPr="003375C4">
        <w:rPr>
          <w:rFonts w:cs="Arial"/>
        </w:rPr>
        <w:t xml:space="preserve">R$ 20.824 mil negativo (R$ 20.824 mil negativo em 31.12.2020) de ajustes para fins de uniformização de prática contábil de períodos anteriores dos arrendamentos, CPC 06 </w:t>
      </w:r>
      <w:r>
        <w:rPr>
          <w:rFonts w:cs="Arial"/>
        </w:rPr>
        <w:t>(</w:t>
      </w:r>
      <w:r w:rsidRPr="003375C4">
        <w:rPr>
          <w:rFonts w:cs="Arial"/>
        </w:rPr>
        <w:t>R2</w:t>
      </w:r>
      <w:r>
        <w:rPr>
          <w:rFonts w:cs="Arial"/>
        </w:rPr>
        <w:t>)</w:t>
      </w:r>
      <w:r w:rsidR="00545645">
        <w:rPr>
          <w:rFonts w:cs="Arial"/>
        </w:rPr>
        <w:t xml:space="preserve"> [IFRS 16] - Arrendamentos</w:t>
      </w:r>
      <w:r w:rsidRPr="003375C4">
        <w:rPr>
          <w:rFonts w:cs="Arial"/>
        </w:rPr>
        <w:t>, na BB Mapfre Participações S.A</w:t>
      </w:r>
      <w:r w:rsidR="000B3330">
        <w:rPr>
          <w:rFonts w:cs="Arial"/>
        </w:rPr>
        <w:t>.</w:t>
      </w:r>
    </w:p>
    <w:p w14:paraId="3B9DC81A" w14:textId="77777777" w:rsidR="00375569" w:rsidRPr="00914D93" w:rsidRDefault="00375569" w:rsidP="001105DF">
      <w:pPr>
        <w:pStyle w:val="05-Textonormal"/>
        <w:rPr>
          <w:rFonts w:cs="Arial"/>
        </w:rPr>
      </w:pPr>
      <w:r w:rsidRPr="00914D93">
        <w:rPr>
          <w:rFonts w:cs="Arial"/>
        </w:rPr>
        <w:t>Tendo em vista que a BB Seguridade não possui títulos classificados como valor justo por meio de outros resultados abrangentes, os valores constantes em suas demonstrações</w:t>
      </w:r>
      <w:r>
        <w:rPr>
          <w:rFonts w:cs="Arial"/>
        </w:rPr>
        <w:t xml:space="preserve"> contábeis</w:t>
      </w:r>
      <w:r w:rsidRPr="00914D93">
        <w:rPr>
          <w:rFonts w:cs="Arial"/>
        </w:rPr>
        <w:t xml:space="preserve"> são reflexos dos valores existentes nas empresas </w:t>
      </w:r>
      <w:r>
        <w:rPr>
          <w:rFonts w:cs="Arial"/>
        </w:rPr>
        <w:t>em que</w:t>
      </w:r>
      <w:r w:rsidRPr="00914D93">
        <w:rPr>
          <w:rFonts w:cs="Arial"/>
        </w:rPr>
        <w:t xml:space="preserve"> a BB Seguros detém participação.</w:t>
      </w:r>
    </w:p>
    <w:p w14:paraId="2F127213" w14:textId="77777777" w:rsidR="00375569" w:rsidRPr="00D75818" w:rsidRDefault="00375569" w:rsidP="00725333">
      <w:pPr>
        <w:pStyle w:val="01-Textonormal"/>
        <w:keepNext/>
        <w:keepLines/>
        <w:pageBreakBefore/>
        <w:rPr>
          <w:b/>
          <w:bCs/>
          <w:color w:val="1F4E79" w:themeColor="accent1" w:themeShade="80"/>
        </w:rPr>
      </w:pPr>
      <w:r w:rsidRPr="00D75818">
        <w:rPr>
          <w:b/>
          <w:bCs/>
          <w:color w:val="1F4E79" w:themeColor="accent1" w:themeShade="80"/>
        </w:rPr>
        <w:lastRenderedPageBreak/>
        <w:t xml:space="preserve">f) Participações Acionárias (Quantidade de Ações) </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ayout w:type="fixed"/>
        <w:tblLook w:val="04A0" w:firstRow="1" w:lastRow="0" w:firstColumn="1" w:lastColumn="0" w:noHBand="0" w:noVBand="1"/>
      </w:tblPr>
      <w:tblGrid>
        <w:gridCol w:w="5006"/>
        <w:gridCol w:w="1411"/>
        <w:gridCol w:w="731"/>
        <w:gridCol w:w="338"/>
        <w:gridCol w:w="30"/>
        <w:gridCol w:w="1247"/>
        <w:gridCol w:w="876"/>
      </w:tblGrid>
      <w:tr w:rsidR="00375569" w:rsidRPr="005A7A8D" w14:paraId="1605054E" w14:textId="77777777" w:rsidTr="00725333">
        <w:trPr>
          <w:trHeight w:val="238"/>
          <w:jc w:val="center"/>
        </w:trPr>
        <w:tc>
          <w:tcPr>
            <w:tcW w:w="5006" w:type="dxa"/>
            <w:vMerge w:val="restart"/>
            <w:tcBorders>
              <w:top w:val="single" w:sz="2" w:space="0" w:color="1F4E79" w:themeColor="accent1" w:themeShade="80"/>
              <w:bottom w:val="nil"/>
            </w:tcBorders>
            <w:shd w:val="clear" w:color="auto" w:fill="auto"/>
          </w:tcPr>
          <w:p w14:paraId="71AF1A91" w14:textId="77777777" w:rsidR="00375569" w:rsidRPr="005A7A8D" w:rsidRDefault="00375569" w:rsidP="0086152E">
            <w:pPr>
              <w:pStyle w:val="08-Tabelageral"/>
              <w:jc w:val="left"/>
              <w:rPr>
                <w:b/>
              </w:rPr>
            </w:pPr>
            <w:r w:rsidRPr="005A7A8D">
              <w:rPr>
                <w:rFonts w:cs="Arial"/>
                <w:b/>
                <w:kern w:val="2"/>
                <w:szCs w:val="14"/>
              </w:rPr>
              <w:t>Acionistas</w:t>
            </w:r>
          </w:p>
        </w:tc>
        <w:tc>
          <w:tcPr>
            <w:tcW w:w="2142" w:type="dxa"/>
            <w:gridSpan w:val="2"/>
            <w:tcBorders>
              <w:top w:val="single" w:sz="2" w:space="0" w:color="1F4E79" w:themeColor="accent1" w:themeShade="80"/>
              <w:bottom w:val="single" w:sz="2" w:space="0" w:color="1F4E79" w:themeColor="accent1" w:themeShade="80"/>
            </w:tcBorders>
            <w:shd w:val="clear" w:color="auto" w:fill="auto"/>
            <w:vAlign w:val="center"/>
          </w:tcPr>
          <w:p w14:paraId="659B1A72" w14:textId="77777777" w:rsidR="00375569" w:rsidRPr="005A7A8D" w:rsidRDefault="00375569" w:rsidP="005A7A8D">
            <w:pPr>
              <w:pStyle w:val="08-Tabelageral"/>
              <w:ind w:left="-443" w:firstLine="443"/>
              <w:jc w:val="center"/>
              <w:rPr>
                <w:b/>
              </w:rPr>
            </w:pPr>
            <w:r>
              <w:rPr>
                <w:b/>
              </w:rPr>
              <w:t>31.12.2021</w:t>
            </w:r>
          </w:p>
        </w:tc>
        <w:tc>
          <w:tcPr>
            <w:tcW w:w="2491" w:type="dxa"/>
            <w:gridSpan w:val="4"/>
            <w:tcBorders>
              <w:top w:val="single" w:sz="2" w:space="0" w:color="1F4E79" w:themeColor="accent1" w:themeShade="80"/>
              <w:bottom w:val="nil"/>
            </w:tcBorders>
            <w:shd w:val="clear" w:color="auto" w:fill="auto"/>
            <w:vAlign w:val="center"/>
          </w:tcPr>
          <w:p w14:paraId="0A52654E" w14:textId="77777777" w:rsidR="00375569" w:rsidRPr="005A7A8D" w:rsidRDefault="00375569" w:rsidP="005A7A8D">
            <w:pPr>
              <w:pStyle w:val="08-Tabelageral"/>
              <w:ind w:left="-443" w:firstLine="443"/>
              <w:jc w:val="center"/>
              <w:rPr>
                <w:b/>
              </w:rPr>
            </w:pPr>
            <w:r w:rsidRPr="005A7A8D">
              <w:rPr>
                <w:b/>
              </w:rPr>
              <w:t>31.12.20</w:t>
            </w:r>
            <w:r>
              <w:rPr>
                <w:b/>
              </w:rPr>
              <w:t>20</w:t>
            </w:r>
          </w:p>
        </w:tc>
      </w:tr>
      <w:tr w:rsidR="00375569" w:rsidRPr="005A7A8D" w14:paraId="401A3F63" w14:textId="77777777" w:rsidTr="00725333">
        <w:trPr>
          <w:trHeight w:val="238"/>
          <w:jc w:val="center"/>
        </w:trPr>
        <w:tc>
          <w:tcPr>
            <w:tcW w:w="5006" w:type="dxa"/>
            <w:vMerge/>
            <w:tcBorders>
              <w:top w:val="nil"/>
              <w:bottom w:val="single" w:sz="2" w:space="0" w:color="1F4E79" w:themeColor="accent1" w:themeShade="80"/>
            </w:tcBorders>
            <w:shd w:val="clear" w:color="auto" w:fill="auto"/>
          </w:tcPr>
          <w:p w14:paraId="59A93C01" w14:textId="77777777" w:rsidR="00375569" w:rsidRPr="005A7A8D" w:rsidRDefault="00375569" w:rsidP="00996913">
            <w:pPr>
              <w:pStyle w:val="08-Tabelageral"/>
              <w:rPr>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C6FD4D2" w14:textId="77777777" w:rsidR="00375569" w:rsidRPr="005A7A8D" w:rsidRDefault="00375569" w:rsidP="005A7A8D">
            <w:pPr>
              <w:pStyle w:val="08-Tabelageral"/>
              <w:jc w:val="center"/>
              <w:rPr>
                <w:rFonts w:cs="Arial"/>
                <w:b/>
                <w:bCs/>
                <w:kern w:val="2"/>
                <w:szCs w:val="14"/>
              </w:rPr>
            </w:pPr>
            <w:r w:rsidRPr="005A7A8D">
              <w:rPr>
                <w:rFonts w:cs="Arial"/>
                <w:b/>
                <w:bCs/>
                <w:kern w:val="2"/>
                <w:szCs w:val="14"/>
              </w:rPr>
              <w:t>Ações</w:t>
            </w:r>
          </w:p>
        </w:tc>
        <w:tc>
          <w:tcPr>
            <w:tcW w:w="731" w:type="dxa"/>
            <w:tcBorders>
              <w:top w:val="single" w:sz="2" w:space="0" w:color="1F4E79" w:themeColor="accent1" w:themeShade="80"/>
              <w:bottom w:val="single" w:sz="2" w:space="0" w:color="1F4E79" w:themeColor="accent1" w:themeShade="80"/>
            </w:tcBorders>
            <w:shd w:val="clear" w:color="auto" w:fill="auto"/>
            <w:vAlign w:val="center"/>
          </w:tcPr>
          <w:p w14:paraId="794449B0" w14:textId="77777777" w:rsidR="00375569" w:rsidRPr="005A7A8D" w:rsidRDefault="00375569" w:rsidP="005A7A8D">
            <w:pPr>
              <w:pStyle w:val="08-Tabelageral"/>
              <w:jc w:val="center"/>
              <w:rPr>
                <w:rFonts w:cs="Arial"/>
                <w:b/>
                <w:bCs/>
                <w:kern w:val="2"/>
                <w:szCs w:val="14"/>
              </w:rPr>
            </w:pPr>
            <w:r w:rsidRPr="005A7A8D">
              <w:rPr>
                <w:rFonts w:cs="Arial"/>
                <w:b/>
                <w:bCs/>
                <w:kern w:val="2"/>
                <w:szCs w:val="14"/>
              </w:rPr>
              <w:t>% Total</w:t>
            </w:r>
          </w:p>
        </w:tc>
        <w:tc>
          <w:tcPr>
            <w:tcW w:w="368" w:type="dxa"/>
            <w:gridSpan w:val="2"/>
            <w:tcBorders>
              <w:top w:val="nil"/>
              <w:bottom w:val="single" w:sz="2" w:space="0" w:color="1F4E79" w:themeColor="accent1" w:themeShade="80"/>
            </w:tcBorders>
            <w:shd w:val="clear" w:color="auto" w:fill="auto"/>
            <w:vAlign w:val="center"/>
          </w:tcPr>
          <w:p w14:paraId="4BCBD721" w14:textId="77777777" w:rsidR="00375569" w:rsidRPr="005A7A8D" w:rsidRDefault="00375569" w:rsidP="005A7A8D">
            <w:pPr>
              <w:pStyle w:val="08-Tabelageral"/>
              <w:jc w:val="center"/>
              <w:rPr>
                <w:b/>
              </w:rPr>
            </w:pPr>
          </w:p>
        </w:tc>
        <w:tc>
          <w:tcPr>
            <w:tcW w:w="1247" w:type="dxa"/>
            <w:tcBorders>
              <w:top w:val="single" w:sz="2" w:space="0" w:color="1F4E79" w:themeColor="accent1" w:themeShade="80"/>
              <w:bottom w:val="single" w:sz="2" w:space="0" w:color="1F4E79" w:themeColor="accent1" w:themeShade="80"/>
            </w:tcBorders>
            <w:shd w:val="clear" w:color="auto" w:fill="auto"/>
            <w:vAlign w:val="center"/>
          </w:tcPr>
          <w:p w14:paraId="6608DFEF" w14:textId="77777777" w:rsidR="00375569" w:rsidRPr="005A7A8D" w:rsidRDefault="00375569" w:rsidP="005A7A8D">
            <w:pPr>
              <w:pStyle w:val="08-Tabelageral"/>
              <w:jc w:val="center"/>
              <w:rPr>
                <w:rFonts w:cs="Arial"/>
                <w:b/>
                <w:bCs/>
                <w:kern w:val="2"/>
                <w:szCs w:val="14"/>
              </w:rPr>
            </w:pPr>
            <w:r w:rsidRPr="005A7A8D">
              <w:rPr>
                <w:rFonts w:cs="Arial"/>
                <w:b/>
                <w:bCs/>
                <w:kern w:val="2"/>
                <w:szCs w:val="14"/>
              </w:rPr>
              <w:t>Ações</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7D83B095" w14:textId="77777777" w:rsidR="00375569" w:rsidRPr="005A7A8D" w:rsidRDefault="00375569" w:rsidP="005A7A8D">
            <w:pPr>
              <w:pStyle w:val="08-Tabelageral"/>
              <w:jc w:val="center"/>
              <w:rPr>
                <w:rFonts w:cs="Arial"/>
                <w:b/>
                <w:bCs/>
                <w:kern w:val="2"/>
                <w:szCs w:val="14"/>
              </w:rPr>
            </w:pPr>
            <w:r w:rsidRPr="005A7A8D">
              <w:rPr>
                <w:rFonts w:cs="Arial"/>
                <w:b/>
                <w:bCs/>
                <w:kern w:val="2"/>
                <w:szCs w:val="14"/>
              </w:rPr>
              <w:t>% Total</w:t>
            </w:r>
          </w:p>
        </w:tc>
      </w:tr>
      <w:tr w:rsidR="00375569" w:rsidRPr="005A7A8D" w14:paraId="7C451964" w14:textId="77777777" w:rsidTr="00725333">
        <w:trPr>
          <w:trHeight w:val="238"/>
          <w:jc w:val="center"/>
        </w:trPr>
        <w:tc>
          <w:tcPr>
            <w:tcW w:w="5006" w:type="dxa"/>
            <w:tcBorders>
              <w:top w:val="single" w:sz="2" w:space="0" w:color="1F4E79" w:themeColor="accent1" w:themeShade="80"/>
              <w:bottom w:val="nil"/>
            </w:tcBorders>
            <w:shd w:val="clear" w:color="auto" w:fill="auto"/>
          </w:tcPr>
          <w:p w14:paraId="49FE8B29" w14:textId="77777777" w:rsidR="00375569" w:rsidRPr="005A7A8D" w:rsidRDefault="00375569" w:rsidP="004E544B">
            <w:pPr>
              <w:pStyle w:val="070-TabelaPadro"/>
              <w:spacing w:line="276" w:lineRule="auto"/>
              <w:ind w:left="318" w:hanging="142"/>
              <w:jc w:val="left"/>
            </w:pPr>
            <w:r w:rsidRPr="005A7A8D">
              <w:t>Banco do Brasil</w:t>
            </w:r>
          </w:p>
        </w:tc>
        <w:tc>
          <w:tcPr>
            <w:tcW w:w="1411" w:type="dxa"/>
            <w:tcBorders>
              <w:top w:val="single" w:sz="2" w:space="0" w:color="1F4E79" w:themeColor="accent1" w:themeShade="80"/>
            </w:tcBorders>
            <w:shd w:val="clear" w:color="auto" w:fill="auto"/>
            <w:vAlign w:val="center"/>
          </w:tcPr>
          <w:p w14:paraId="452D87B3" w14:textId="77777777" w:rsidR="00375569" w:rsidRPr="008B4696" w:rsidRDefault="00375569" w:rsidP="004E544B">
            <w:pPr>
              <w:pStyle w:val="08-Tabelageral"/>
              <w:ind w:left="113"/>
            </w:pPr>
            <w:r w:rsidRPr="005A7A8D">
              <w:t>1.325.000.000</w:t>
            </w:r>
          </w:p>
        </w:tc>
        <w:tc>
          <w:tcPr>
            <w:tcW w:w="731" w:type="dxa"/>
            <w:tcBorders>
              <w:top w:val="single" w:sz="2" w:space="0" w:color="1F4E79" w:themeColor="accent1" w:themeShade="80"/>
            </w:tcBorders>
            <w:shd w:val="clear" w:color="auto" w:fill="auto"/>
            <w:vAlign w:val="center"/>
          </w:tcPr>
          <w:p w14:paraId="7EBBB5C4" w14:textId="77777777" w:rsidR="00375569" w:rsidRPr="008B4696" w:rsidRDefault="00375569" w:rsidP="004E544B">
            <w:pPr>
              <w:pStyle w:val="08-Tabelageral"/>
              <w:ind w:left="113"/>
            </w:pPr>
            <w:r>
              <w:t>66,25</w:t>
            </w:r>
          </w:p>
        </w:tc>
        <w:tc>
          <w:tcPr>
            <w:tcW w:w="338" w:type="dxa"/>
            <w:tcBorders>
              <w:top w:val="single" w:sz="2" w:space="0" w:color="1F4E79" w:themeColor="accent1" w:themeShade="80"/>
            </w:tcBorders>
            <w:shd w:val="clear" w:color="auto" w:fill="auto"/>
            <w:vAlign w:val="center"/>
          </w:tcPr>
          <w:p w14:paraId="023914F2" w14:textId="77777777" w:rsidR="00375569" w:rsidRPr="005A7A8D" w:rsidRDefault="00375569" w:rsidP="004E544B">
            <w:pPr>
              <w:pStyle w:val="08-Tabelageral"/>
            </w:pPr>
          </w:p>
        </w:tc>
        <w:tc>
          <w:tcPr>
            <w:tcW w:w="1277" w:type="dxa"/>
            <w:gridSpan w:val="2"/>
            <w:tcBorders>
              <w:top w:val="single" w:sz="2" w:space="0" w:color="1F4E79" w:themeColor="accent1" w:themeShade="80"/>
            </w:tcBorders>
            <w:shd w:val="clear" w:color="auto" w:fill="auto"/>
            <w:vAlign w:val="center"/>
          </w:tcPr>
          <w:p w14:paraId="62E53B63" w14:textId="77777777" w:rsidR="00375569" w:rsidRPr="005A7A8D" w:rsidRDefault="00375569" w:rsidP="004E544B">
            <w:pPr>
              <w:pStyle w:val="08-Tabelageral"/>
              <w:ind w:left="113"/>
              <w:rPr>
                <w:rFonts w:cs="Arial"/>
                <w:szCs w:val="14"/>
              </w:rPr>
            </w:pPr>
            <w:r w:rsidRPr="005A7A8D">
              <w:t>1.325.000.000</w:t>
            </w:r>
          </w:p>
        </w:tc>
        <w:tc>
          <w:tcPr>
            <w:tcW w:w="876" w:type="dxa"/>
            <w:tcBorders>
              <w:top w:val="single" w:sz="2" w:space="0" w:color="1F4E79" w:themeColor="accent1" w:themeShade="80"/>
            </w:tcBorders>
            <w:shd w:val="clear" w:color="auto" w:fill="auto"/>
            <w:vAlign w:val="center"/>
          </w:tcPr>
          <w:p w14:paraId="0F243D01" w14:textId="77777777" w:rsidR="00375569" w:rsidRPr="005A7A8D" w:rsidRDefault="00375569" w:rsidP="004E544B">
            <w:pPr>
              <w:pStyle w:val="08-Tabelageral"/>
              <w:ind w:left="113"/>
              <w:rPr>
                <w:rFonts w:cs="Arial"/>
                <w:szCs w:val="14"/>
              </w:rPr>
            </w:pPr>
            <w:r>
              <w:t>66,25</w:t>
            </w:r>
          </w:p>
        </w:tc>
      </w:tr>
      <w:tr w:rsidR="00375569" w:rsidRPr="005A7A8D" w14:paraId="30529085" w14:textId="77777777" w:rsidTr="00725333">
        <w:trPr>
          <w:trHeight w:val="238"/>
          <w:jc w:val="center"/>
        </w:trPr>
        <w:tc>
          <w:tcPr>
            <w:tcW w:w="5006" w:type="dxa"/>
            <w:tcBorders>
              <w:top w:val="nil"/>
            </w:tcBorders>
            <w:shd w:val="clear" w:color="auto" w:fill="auto"/>
          </w:tcPr>
          <w:p w14:paraId="01EBFCDB" w14:textId="77777777" w:rsidR="00375569" w:rsidRPr="005A7A8D" w:rsidRDefault="00375569" w:rsidP="009E4699">
            <w:pPr>
              <w:pStyle w:val="070-TabelaPadro"/>
              <w:spacing w:line="276" w:lineRule="auto"/>
              <w:ind w:left="318" w:hanging="142"/>
              <w:jc w:val="left"/>
            </w:pPr>
            <w:r w:rsidRPr="005A7A8D">
              <w:t>Outros Acionistas</w:t>
            </w:r>
          </w:p>
        </w:tc>
        <w:tc>
          <w:tcPr>
            <w:tcW w:w="1411" w:type="dxa"/>
            <w:shd w:val="clear" w:color="auto" w:fill="auto"/>
            <w:vAlign w:val="center"/>
          </w:tcPr>
          <w:p w14:paraId="555003D9" w14:textId="77777777" w:rsidR="00375569" w:rsidRPr="008B4696" w:rsidRDefault="00375569" w:rsidP="004E544B">
            <w:pPr>
              <w:pStyle w:val="08-Tabelageral"/>
              <w:ind w:left="113"/>
            </w:pPr>
            <w:r w:rsidRPr="004E544B">
              <w:t>671.686.529</w:t>
            </w:r>
          </w:p>
        </w:tc>
        <w:tc>
          <w:tcPr>
            <w:tcW w:w="731" w:type="dxa"/>
            <w:shd w:val="clear" w:color="auto" w:fill="auto"/>
            <w:vAlign w:val="center"/>
          </w:tcPr>
          <w:p w14:paraId="79B06EB4" w14:textId="77777777" w:rsidR="00375569" w:rsidRPr="008B4696" w:rsidRDefault="00375569" w:rsidP="008B4696">
            <w:pPr>
              <w:pStyle w:val="08-Tabelageral"/>
              <w:ind w:left="113"/>
            </w:pPr>
            <w:r>
              <w:t>33,58</w:t>
            </w:r>
          </w:p>
        </w:tc>
        <w:tc>
          <w:tcPr>
            <w:tcW w:w="338" w:type="dxa"/>
            <w:shd w:val="clear" w:color="auto" w:fill="auto"/>
            <w:vAlign w:val="center"/>
          </w:tcPr>
          <w:p w14:paraId="0093DC31" w14:textId="77777777" w:rsidR="00375569" w:rsidRPr="005A7A8D" w:rsidRDefault="00375569" w:rsidP="00D13DC7">
            <w:pPr>
              <w:pStyle w:val="08-Tabelageral"/>
            </w:pPr>
          </w:p>
        </w:tc>
        <w:tc>
          <w:tcPr>
            <w:tcW w:w="1277" w:type="dxa"/>
            <w:gridSpan w:val="2"/>
            <w:shd w:val="clear" w:color="auto" w:fill="auto"/>
            <w:vAlign w:val="center"/>
          </w:tcPr>
          <w:p w14:paraId="4372ED63" w14:textId="77777777" w:rsidR="00375569" w:rsidRPr="005A7A8D" w:rsidRDefault="00375569" w:rsidP="00D13DC7">
            <w:pPr>
              <w:pStyle w:val="08-Tabelageral"/>
              <w:ind w:left="113"/>
              <w:rPr>
                <w:rFonts w:cs="Arial"/>
                <w:szCs w:val="14"/>
              </w:rPr>
            </w:pPr>
            <w:r w:rsidRPr="005A7A8D">
              <w:t>671.6</w:t>
            </w:r>
            <w:r>
              <w:t>34</w:t>
            </w:r>
            <w:r w:rsidRPr="005A7A8D">
              <w:t>.</w:t>
            </w:r>
            <w:r>
              <w:t>681</w:t>
            </w:r>
          </w:p>
        </w:tc>
        <w:tc>
          <w:tcPr>
            <w:tcW w:w="876" w:type="dxa"/>
            <w:shd w:val="clear" w:color="auto" w:fill="auto"/>
            <w:vAlign w:val="center"/>
          </w:tcPr>
          <w:p w14:paraId="2B09C18A" w14:textId="77777777" w:rsidR="00375569" w:rsidRPr="005A7A8D" w:rsidRDefault="00375569" w:rsidP="00D13DC7">
            <w:pPr>
              <w:pStyle w:val="08-Tabelageral"/>
              <w:ind w:left="113"/>
              <w:rPr>
                <w:rFonts w:cs="Arial"/>
                <w:szCs w:val="14"/>
              </w:rPr>
            </w:pPr>
            <w:r w:rsidRPr="005A7A8D">
              <w:t>33,58</w:t>
            </w:r>
          </w:p>
        </w:tc>
      </w:tr>
      <w:tr w:rsidR="00375569" w:rsidRPr="005A7A8D" w14:paraId="7FF5F8C1" w14:textId="77777777" w:rsidTr="00725333">
        <w:trPr>
          <w:trHeight w:val="238"/>
          <w:jc w:val="center"/>
        </w:trPr>
        <w:tc>
          <w:tcPr>
            <w:tcW w:w="5006" w:type="dxa"/>
            <w:shd w:val="clear" w:color="auto" w:fill="auto"/>
          </w:tcPr>
          <w:p w14:paraId="6A7EF96F" w14:textId="77777777" w:rsidR="00375569" w:rsidRPr="005A7A8D" w:rsidRDefault="00375569" w:rsidP="009E4699">
            <w:pPr>
              <w:pStyle w:val="070-TabelaPadro"/>
              <w:spacing w:line="276" w:lineRule="auto"/>
              <w:ind w:left="318" w:hanging="142"/>
              <w:jc w:val="left"/>
            </w:pPr>
            <w:r w:rsidRPr="005A7A8D">
              <w:t>Ações em Tesouraria</w:t>
            </w:r>
          </w:p>
        </w:tc>
        <w:tc>
          <w:tcPr>
            <w:tcW w:w="1411" w:type="dxa"/>
            <w:shd w:val="clear" w:color="auto" w:fill="auto"/>
            <w:vAlign w:val="bottom"/>
          </w:tcPr>
          <w:p w14:paraId="2433FD3B" w14:textId="77777777" w:rsidR="00375569" w:rsidRPr="005A7A8D" w:rsidRDefault="00375569" w:rsidP="004E544B">
            <w:pPr>
              <w:pStyle w:val="08-Tabelageral"/>
              <w:ind w:left="113"/>
            </w:pPr>
            <w:r w:rsidRPr="004E544B">
              <w:t>3.313.471</w:t>
            </w:r>
          </w:p>
        </w:tc>
        <w:tc>
          <w:tcPr>
            <w:tcW w:w="731" w:type="dxa"/>
            <w:shd w:val="clear" w:color="auto" w:fill="auto"/>
            <w:vAlign w:val="bottom"/>
          </w:tcPr>
          <w:p w14:paraId="7986751B" w14:textId="77777777" w:rsidR="00375569" w:rsidRPr="005A7A8D" w:rsidRDefault="00375569" w:rsidP="008B4696">
            <w:pPr>
              <w:pStyle w:val="08-Tabelageral"/>
              <w:ind w:left="113"/>
            </w:pPr>
            <w:r>
              <w:t>0,17</w:t>
            </w:r>
          </w:p>
        </w:tc>
        <w:tc>
          <w:tcPr>
            <w:tcW w:w="338" w:type="dxa"/>
            <w:shd w:val="clear" w:color="auto" w:fill="auto"/>
            <w:vAlign w:val="center"/>
          </w:tcPr>
          <w:p w14:paraId="36478140" w14:textId="77777777" w:rsidR="00375569" w:rsidRPr="005A7A8D" w:rsidRDefault="00375569" w:rsidP="008B4696">
            <w:pPr>
              <w:pStyle w:val="08-Tabelageral"/>
            </w:pPr>
          </w:p>
        </w:tc>
        <w:tc>
          <w:tcPr>
            <w:tcW w:w="1277" w:type="dxa"/>
            <w:gridSpan w:val="2"/>
            <w:shd w:val="clear" w:color="auto" w:fill="auto"/>
            <w:vAlign w:val="center"/>
          </w:tcPr>
          <w:p w14:paraId="70363237" w14:textId="77777777" w:rsidR="00375569" w:rsidRPr="005A7A8D" w:rsidRDefault="00375569" w:rsidP="008B4696">
            <w:pPr>
              <w:pStyle w:val="08-Tabelageral"/>
              <w:ind w:left="113"/>
              <w:rPr>
                <w:rFonts w:cs="Arial"/>
                <w:szCs w:val="14"/>
              </w:rPr>
            </w:pPr>
            <w:r w:rsidRPr="005A7A8D">
              <w:t>3.3</w:t>
            </w:r>
            <w:r>
              <w:t>65</w:t>
            </w:r>
            <w:r w:rsidRPr="005A7A8D">
              <w:t>.</w:t>
            </w:r>
            <w:r>
              <w:t>319</w:t>
            </w:r>
          </w:p>
        </w:tc>
        <w:tc>
          <w:tcPr>
            <w:tcW w:w="876" w:type="dxa"/>
            <w:shd w:val="clear" w:color="auto" w:fill="auto"/>
            <w:vAlign w:val="center"/>
          </w:tcPr>
          <w:p w14:paraId="6A314A22" w14:textId="77777777" w:rsidR="00375569" w:rsidRPr="005A7A8D" w:rsidRDefault="00375569" w:rsidP="008B4696">
            <w:pPr>
              <w:pStyle w:val="08-Tabelageral"/>
              <w:ind w:left="113"/>
              <w:rPr>
                <w:rFonts w:cs="Arial"/>
                <w:szCs w:val="14"/>
              </w:rPr>
            </w:pPr>
            <w:r>
              <w:t>0,17</w:t>
            </w:r>
          </w:p>
        </w:tc>
      </w:tr>
      <w:tr w:rsidR="00375569" w:rsidRPr="005A7A8D" w14:paraId="4DC3DCB6" w14:textId="77777777" w:rsidTr="00725333">
        <w:trPr>
          <w:trHeight w:val="238"/>
          <w:jc w:val="center"/>
        </w:trPr>
        <w:tc>
          <w:tcPr>
            <w:tcW w:w="5006" w:type="dxa"/>
            <w:shd w:val="clear" w:color="auto" w:fill="auto"/>
          </w:tcPr>
          <w:p w14:paraId="1A54EE5D" w14:textId="77777777" w:rsidR="00375569" w:rsidRPr="005A7A8D" w:rsidRDefault="00375569" w:rsidP="008B4696">
            <w:pPr>
              <w:pStyle w:val="070-TabelaPadro"/>
              <w:spacing w:line="276" w:lineRule="auto"/>
              <w:jc w:val="left"/>
              <w:rPr>
                <w:b/>
              </w:rPr>
            </w:pPr>
            <w:r w:rsidRPr="005A7A8D">
              <w:rPr>
                <w:b/>
              </w:rPr>
              <w:t>Total</w:t>
            </w:r>
          </w:p>
        </w:tc>
        <w:tc>
          <w:tcPr>
            <w:tcW w:w="1411" w:type="dxa"/>
            <w:shd w:val="clear" w:color="auto" w:fill="auto"/>
            <w:vAlign w:val="center"/>
          </w:tcPr>
          <w:p w14:paraId="47492F24" w14:textId="77777777" w:rsidR="00375569" w:rsidRPr="00E56F8B" w:rsidRDefault="00375569" w:rsidP="008B4696">
            <w:pPr>
              <w:pStyle w:val="08-Tabelageral"/>
              <w:ind w:left="113"/>
            </w:pPr>
            <w:r w:rsidRPr="005A7A8D">
              <w:rPr>
                <w:b/>
              </w:rPr>
              <w:t>2.000.000.000</w:t>
            </w:r>
          </w:p>
        </w:tc>
        <w:tc>
          <w:tcPr>
            <w:tcW w:w="731" w:type="dxa"/>
            <w:shd w:val="clear" w:color="auto" w:fill="auto"/>
            <w:vAlign w:val="center"/>
          </w:tcPr>
          <w:p w14:paraId="5DA24B3F" w14:textId="77777777" w:rsidR="00375569" w:rsidRPr="005A1A1D" w:rsidRDefault="00375569" w:rsidP="008B4696">
            <w:pPr>
              <w:pStyle w:val="08-Tabelageral"/>
              <w:ind w:left="113"/>
            </w:pPr>
            <w:r w:rsidRPr="005A7A8D">
              <w:rPr>
                <w:b/>
              </w:rPr>
              <w:t>100</w:t>
            </w:r>
          </w:p>
        </w:tc>
        <w:tc>
          <w:tcPr>
            <w:tcW w:w="338" w:type="dxa"/>
            <w:shd w:val="clear" w:color="auto" w:fill="auto"/>
            <w:vAlign w:val="center"/>
          </w:tcPr>
          <w:p w14:paraId="362DA18E" w14:textId="77777777" w:rsidR="00375569" w:rsidRPr="005A7A8D" w:rsidRDefault="00375569" w:rsidP="008B4696">
            <w:pPr>
              <w:pStyle w:val="08-Tabelageral"/>
              <w:rPr>
                <w:b/>
              </w:rPr>
            </w:pPr>
          </w:p>
        </w:tc>
        <w:tc>
          <w:tcPr>
            <w:tcW w:w="1277" w:type="dxa"/>
            <w:gridSpan w:val="2"/>
            <w:shd w:val="clear" w:color="auto" w:fill="auto"/>
            <w:vAlign w:val="center"/>
          </w:tcPr>
          <w:p w14:paraId="0F9B8D1F" w14:textId="77777777" w:rsidR="00375569" w:rsidRPr="005A7A8D" w:rsidRDefault="00375569" w:rsidP="008B4696">
            <w:pPr>
              <w:pStyle w:val="08-Tabelageral"/>
              <w:ind w:left="113"/>
              <w:rPr>
                <w:rFonts w:cs="Arial"/>
                <w:b/>
                <w:szCs w:val="14"/>
              </w:rPr>
            </w:pPr>
            <w:r w:rsidRPr="005A7A8D">
              <w:rPr>
                <w:b/>
              </w:rPr>
              <w:t>2.000.000.000</w:t>
            </w:r>
          </w:p>
        </w:tc>
        <w:tc>
          <w:tcPr>
            <w:tcW w:w="876" w:type="dxa"/>
            <w:shd w:val="clear" w:color="auto" w:fill="auto"/>
            <w:vAlign w:val="center"/>
          </w:tcPr>
          <w:p w14:paraId="5D818B24" w14:textId="77777777" w:rsidR="00375569" w:rsidRPr="005A7A8D" w:rsidRDefault="00375569" w:rsidP="008B4696">
            <w:pPr>
              <w:pStyle w:val="08-Tabelageral"/>
              <w:ind w:left="113"/>
              <w:rPr>
                <w:rFonts w:cs="Arial"/>
                <w:b/>
                <w:szCs w:val="14"/>
              </w:rPr>
            </w:pPr>
            <w:r w:rsidRPr="005A7A8D">
              <w:rPr>
                <w:b/>
              </w:rPr>
              <w:t>100</w:t>
            </w:r>
          </w:p>
        </w:tc>
      </w:tr>
      <w:tr w:rsidR="00375569" w:rsidRPr="005A7A8D" w14:paraId="3D44E614" w14:textId="77777777" w:rsidTr="00725333">
        <w:trPr>
          <w:trHeight w:val="238"/>
          <w:jc w:val="center"/>
        </w:trPr>
        <w:tc>
          <w:tcPr>
            <w:tcW w:w="5006" w:type="dxa"/>
            <w:tcBorders>
              <w:bottom w:val="nil"/>
            </w:tcBorders>
            <w:shd w:val="clear" w:color="auto" w:fill="auto"/>
          </w:tcPr>
          <w:p w14:paraId="6DF71CE3" w14:textId="77777777" w:rsidR="00375569" w:rsidRPr="005A7A8D" w:rsidRDefault="00375569" w:rsidP="009E4699">
            <w:pPr>
              <w:pStyle w:val="070-TabelaPadro"/>
              <w:spacing w:line="276" w:lineRule="auto"/>
              <w:ind w:left="318" w:hanging="142"/>
              <w:jc w:val="left"/>
            </w:pPr>
            <w:r w:rsidRPr="005A7A8D">
              <w:t>Residentes no país</w:t>
            </w:r>
          </w:p>
        </w:tc>
        <w:tc>
          <w:tcPr>
            <w:tcW w:w="1411" w:type="dxa"/>
            <w:tcBorders>
              <w:bottom w:val="nil"/>
            </w:tcBorders>
            <w:shd w:val="clear" w:color="auto" w:fill="auto"/>
            <w:vAlign w:val="bottom"/>
          </w:tcPr>
          <w:p w14:paraId="3C1C2A73" w14:textId="77777777" w:rsidR="00375569" w:rsidRPr="004E544B" w:rsidRDefault="00375569" w:rsidP="004E544B">
            <w:pPr>
              <w:pStyle w:val="08-Tabelageral"/>
              <w:ind w:left="113"/>
            </w:pPr>
            <w:r w:rsidRPr="004E544B">
              <w:t>1.572.986.959</w:t>
            </w:r>
          </w:p>
        </w:tc>
        <w:tc>
          <w:tcPr>
            <w:tcW w:w="731" w:type="dxa"/>
            <w:tcBorders>
              <w:bottom w:val="nil"/>
            </w:tcBorders>
            <w:shd w:val="clear" w:color="auto" w:fill="auto"/>
            <w:vAlign w:val="bottom"/>
          </w:tcPr>
          <w:p w14:paraId="1F954C87" w14:textId="77777777" w:rsidR="00375569" w:rsidRPr="00904B99" w:rsidRDefault="00375569" w:rsidP="00904B99">
            <w:pPr>
              <w:pStyle w:val="08-Tabelageral"/>
              <w:ind w:left="113"/>
            </w:pPr>
            <w:r w:rsidRPr="00904B99">
              <w:t>78,65</w:t>
            </w:r>
          </w:p>
        </w:tc>
        <w:tc>
          <w:tcPr>
            <w:tcW w:w="338" w:type="dxa"/>
            <w:tcBorders>
              <w:bottom w:val="nil"/>
            </w:tcBorders>
            <w:shd w:val="clear" w:color="auto" w:fill="auto"/>
            <w:vAlign w:val="center"/>
          </w:tcPr>
          <w:p w14:paraId="3DA5AD36" w14:textId="77777777" w:rsidR="00375569" w:rsidRPr="005A7A8D" w:rsidRDefault="00375569" w:rsidP="008B4696">
            <w:pPr>
              <w:pStyle w:val="08-Tabelageral"/>
            </w:pPr>
          </w:p>
        </w:tc>
        <w:tc>
          <w:tcPr>
            <w:tcW w:w="1277" w:type="dxa"/>
            <w:gridSpan w:val="2"/>
            <w:tcBorders>
              <w:bottom w:val="nil"/>
            </w:tcBorders>
            <w:shd w:val="clear" w:color="auto" w:fill="auto"/>
            <w:vAlign w:val="center"/>
          </w:tcPr>
          <w:p w14:paraId="17F2C61D" w14:textId="77777777" w:rsidR="00375569" w:rsidRPr="005A7A8D" w:rsidRDefault="00375569" w:rsidP="008B4696">
            <w:pPr>
              <w:pStyle w:val="08-Tabelageral"/>
              <w:ind w:left="113"/>
              <w:rPr>
                <w:rFonts w:cs="Arial"/>
                <w:szCs w:val="14"/>
              </w:rPr>
            </w:pPr>
            <w:r w:rsidRPr="005A7A8D">
              <w:t>1.4</w:t>
            </w:r>
            <w:r>
              <w:t>64</w:t>
            </w:r>
            <w:r w:rsidRPr="005A7A8D">
              <w:t>.</w:t>
            </w:r>
            <w:r>
              <w:t>036</w:t>
            </w:r>
            <w:r w:rsidRPr="005A7A8D">
              <w:t>.</w:t>
            </w:r>
            <w:r>
              <w:t>514</w:t>
            </w:r>
          </w:p>
        </w:tc>
        <w:tc>
          <w:tcPr>
            <w:tcW w:w="876" w:type="dxa"/>
            <w:tcBorders>
              <w:bottom w:val="nil"/>
            </w:tcBorders>
            <w:shd w:val="clear" w:color="auto" w:fill="auto"/>
            <w:vAlign w:val="center"/>
          </w:tcPr>
          <w:p w14:paraId="57A703AD" w14:textId="77777777" w:rsidR="00375569" w:rsidRPr="005A7A8D" w:rsidRDefault="00375569" w:rsidP="008B4696">
            <w:pPr>
              <w:pStyle w:val="08-Tabelageral"/>
              <w:ind w:left="113"/>
              <w:rPr>
                <w:rFonts w:cs="Arial"/>
                <w:szCs w:val="14"/>
              </w:rPr>
            </w:pPr>
            <w:r w:rsidRPr="005A7A8D">
              <w:t>7</w:t>
            </w:r>
            <w:r>
              <w:t>3</w:t>
            </w:r>
            <w:r w:rsidRPr="005A7A8D">
              <w:t>,</w:t>
            </w:r>
            <w:r>
              <w:t>20</w:t>
            </w:r>
          </w:p>
        </w:tc>
      </w:tr>
      <w:tr w:rsidR="00375569" w:rsidRPr="005A7A8D" w14:paraId="7FDB543A" w14:textId="77777777" w:rsidTr="00725333">
        <w:trPr>
          <w:trHeight w:val="238"/>
          <w:jc w:val="center"/>
        </w:trPr>
        <w:tc>
          <w:tcPr>
            <w:tcW w:w="5006" w:type="dxa"/>
            <w:tcBorders>
              <w:top w:val="nil"/>
              <w:bottom w:val="single" w:sz="2" w:space="0" w:color="1F4E79" w:themeColor="accent1" w:themeShade="80"/>
            </w:tcBorders>
            <w:shd w:val="clear" w:color="auto" w:fill="auto"/>
          </w:tcPr>
          <w:p w14:paraId="173B6C21" w14:textId="77777777" w:rsidR="00375569" w:rsidRPr="005A7A8D" w:rsidRDefault="00375569" w:rsidP="009E4699">
            <w:pPr>
              <w:pStyle w:val="070-TabelaPadro"/>
              <w:spacing w:line="276" w:lineRule="auto"/>
              <w:ind w:left="318" w:hanging="142"/>
              <w:jc w:val="left"/>
            </w:pPr>
            <w:r w:rsidRPr="005A7A8D">
              <w:t>Residentes no exterior</w:t>
            </w:r>
          </w:p>
        </w:tc>
        <w:tc>
          <w:tcPr>
            <w:tcW w:w="1411" w:type="dxa"/>
            <w:tcBorders>
              <w:top w:val="nil"/>
              <w:bottom w:val="single" w:sz="2" w:space="0" w:color="1F4E79" w:themeColor="accent1" w:themeShade="80"/>
            </w:tcBorders>
            <w:shd w:val="clear" w:color="auto" w:fill="auto"/>
            <w:vAlign w:val="bottom"/>
          </w:tcPr>
          <w:p w14:paraId="5DAFDFD0" w14:textId="77777777" w:rsidR="00375569" w:rsidRPr="00904B99" w:rsidRDefault="00375569" w:rsidP="00904B99">
            <w:pPr>
              <w:pStyle w:val="08-Tabelageral"/>
              <w:ind w:left="113"/>
            </w:pPr>
            <w:r w:rsidRPr="00904B99">
              <w:t>427.013.041</w:t>
            </w:r>
          </w:p>
        </w:tc>
        <w:tc>
          <w:tcPr>
            <w:tcW w:w="731" w:type="dxa"/>
            <w:tcBorders>
              <w:top w:val="nil"/>
              <w:bottom w:val="single" w:sz="2" w:space="0" w:color="1F4E79" w:themeColor="accent1" w:themeShade="80"/>
            </w:tcBorders>
            <w:shd w:val="clear" w:color="auto" w:fill="auto"/>
            <w:vAlign w:val="bottom"/>
          </w:tcPr>
          <w:p w14:paraId="3F2A26BF" w14:textId="77777777" w:rsidR="00375569" w:rsidRPr="00904B99" w:rsidRDefault="00375569" w:rsidP="00904B99">
            <w:pPr>
              <w:pStyle w:val="08-Tabelageral"/>
              <w:ind w:left="113"/>
            </w:pPr>
            <w:r w:rsidRPr="00904B99">
              <w:t>21,35</w:t>
            </w:r>
          </w:p>
        </w:tc>
        <w:tc>
          <w:tcPr>
            <w:tcW w:w="338" w:type="dxa"/>
            <w:tcBorders>
              <w:top w:val="nil"/>
              <w:bottom w:val="single" w:sz="2" w:space="0" w:color="1F4E79" w:themeColor="accent1" w:themeShade="80"/>
            </w:tcBorders>
            <w:shd w:val="clear" w:color="auto" w:fill="auto"/>
            <w:vAlign w:val="center"/>
          </w:tcPr>
          <w:p w14:paraId="4F1D54B6" w14:textId="77777777" w:rsidR="00375569" w:rsidRPr="005A7A8D" w:rsidRDefault="00375569" w:rsidP="008B4696">
            <w:pPr>
              <w:pStyle w:val="08-Tabelageral"/>
            </w:pPr>
          </w:p>
        </w:tc>
        <w:tc>
          <w:tcPr>
            <w:tcW w:w="1277" w:type="dxa"/>
            <w:gridSpan w:val="2"/>
            <w:tcBorders>
              <w:top w:val="nil"/>
              <w:bottom w:val="single" w:sz="2" w:space="0" w:color="1F4E79" w:themeColor="accent1" w:themeShade="80"/>
            </w:tcBorders>
            <w:shd w:val="clear" w:color="auto" w:fill="auto"/>
            <w:vAlign w:val="center"/>
          </w:tcPr>
          <w:p w14:paraId="3347B677" w14:textId="77777777" w:rsidR="00375569" w:rsidRPr="005A7A8D" w:rsidRDefault="00375569" w:rsidP="008B4696">
            <w:pPr>
              <w:pStyle w:val="08-Tabelageral"/>
              <w:ind w:left="113"/>
              <w:rPr>
                <w:rFonts w:cs="Arial"/>
                <w:szCs w:val="14"/>
              </w:rPr>
            </w:pPr>
            <w:r>
              <w:t>535.963.486</w:t>
            </w:r>
          </w:p>
        </w:tc>
        <w:tc>
          <w:tcPr>
            <w:tcW w:w="876" w:type="dxa"/>
            <w:tcBorders>
              <w:top w:val="nil"/>
              <w:bottom w:val="single" w:sz="2" w:space="0" w:color="1F4E79" w:themeColor="accent1" w:themeShade="80"/>
            </w:tcBorders>
            <w:shd w:val="clear" w:color="auto" w:fill="auto"/>
            <w:vAlign w:val="center"/>
          </w:tcPr>
          <w:p w14:paraId="612FBFBB" w14:textId="77777777" w:rsidR="00375569" w:rsidRPr="005A7A8D" w:rsidRDefault="00375569" w:rsidP="008B4696">
            <w:pPr>
              <w:pStyle w:val="08-Tabelageral"/>
              <w:ind w:left="113"/>
              <w:rPr>
                <w:rFonts w:cs="Arial"/>
                <w:szCs w:val="14"/>
              </w:rPr>
            </w:pPr>
            <w:r w:rsidRPr="005A7A8D">
              <w:t>2</w:t>
            </w:r>
            <w:r>
              <w:t>6</w:t>
            </w:r>
            <w:r w:rsidRPr="005A7A8D">
              <w:t>,</w:t>
            </w:r>
            <w:r>
              <w:t>80</w:t>
            </w:r>
          </w:p>
        </w:tc>
      </w:tr>
    </w:tbl>
    <w:p w14:paraId="5072EA2E" w14:textId="77777777" w:rsidR="00725333" w:rsidRDefault="00725333" w:rsidP="00725333">
      <w:pPr>
        <w:pStyle w:val="01-Textonormal"/>
      </w:pPr>
    </w:p>
    <w:p w14:paraId="1C3B3979" w14:textId="05B6CA13" w:rsidR="00375569" w:rsidRPr="00725333" w:rsidRDefault="00375569" w:rsidP="00725333">
      <w:pPr>
        <w:pStyle w:val="03-SubttulodeNota"/>
        <w:rPr>
          <w:color w:val="1F4E79" w:themeColor="accent1" w:themeShade="80"/>
          <w:sz w:val="18"/>
          <w:szCs w:val="18"/>
        </w:rPr>
      </w:pPr>
      <w:r w:rsidRPr="00725333">
        <w:rPr>
          <w:color w:val="1F4E79" w:themeColor="accent1" w:themeShade="80"/>
          <w:sz w:val="18"/>
          <w:szCs w:val="18"/>
        </w:rPr>
        <w:t>g) Ações em Tesouraria</w:t>
      </w:r>
    </w:p>
    <w:p w14:paraId="4D2792F4" w14:textId="77777777" w:rsidR="00725333" w:rsidRDefault="00725333" w:rsidP="00996913">
      <w:pPr>
        <w:pStyle w:val="01-TtulodeNota"/>
        <w:rPr>
          <w:color w:val="1F4E79" w:themeColor="accent1" w:themeShade="80"/>
          <w:sz w:val="18"/>
          <w:szCs w:val="18"/>
        </w:rPr>
      </w:pPr>
    </w:p>
    <w:p w14:paraId="271888F0" w14:textId="27464090" w:rsidR="00375569" w:rsidRPr="007C733B" w:rsidRDefault="00375569" w:rsidP="00996913">
      <w:pPr>
        <w:pStyle w:val="01-TtulodeNota"/>
        <w:rPr>
          <w:color w:val="1F4E79" w:themeColor="accent1" w:themeShade="80"/>
          <w:sz w:val="18"/>
          <w:szCs w:val="18"/>
        </w:rPr>
      </w:pPr>
      <w:r w:rsidRPr="007C733B">
        <w:rPr>
          <w:color w:val="1F4E79" w:themeColor="accent1" w:themeShade="80"/>
          <w:sz w:val="18"/>
          <w:szCs w:val="18"/>
        </w:rPr>
        <w:t>g.1) Pagamento Baseado em Ações – Programa de Remuneração Variável</w:t>
      </w:r>
    </w:p>
    <w:p w14:paraId="734A1894" w14:textId="77777777" w:rsidR="00375569" w:rsidRDefault="00375569" w:rsidP="00FE570E">
      <w:pPr>
        <w:pStyle w:val="01-Textonormal"/>
      </w:pPr>
      <w:r w:rsidRPr="00022C69">
        <w:t xml:space="preserve">O Programa de Remuneração Variável da Diretoria da BB Seguridade </w:t>
      </w:r>
      <w:r>
        <w:t xml:space="preserve">tem periodicidade anual e </w:t>
      </w:r>
      <w:r w:rsidRPr="00022C69">
        <w:t>prevê que</w:t>
      </w:r>
      <w:r>
        <w:t>,</w:t>
      </w:r>
      <w:r w:rsidRPr="00022C69">
        <w:t xml:space="preserve"> do valor total destinado ao pagamento da remuneração variável, 50% será realizado em ações da BB Seguridade (BBSE3). Do total pago em ações, 20% será imediatamente transferido para a titularidade do beneficiário e 80% será diferido pelo prazo de quatro anos.</w:t>
      </w:r>
    </w:p>
    <w:p w14:paraId="7C9DEB36" w14:textId="77777777" w:rsidR="00375569" w:rsidRDefault="00375569" w:rsidP="00105685">
      <w:pPr>
        <w:pStyle w:val="05-Textonormal"/>
      </w:pPr>
      <w:r w:rsidRPr="00C778FE">
        <w:t>Em 13 de novembro de 2014</w:t>
      </w:r>
      <w:r>
        <w:t>,</w:t>
      </w:r>
      <w:r w:rsidRPr="002F4CE3">
        <w:t xml:space="preserve"> a Comissão de Valores Mobiliários (CVM) autorizou a BB Seguridade</w:t>
      </w:r>
      <w:r>
        <w:t xml:space="preserve"> a efetuar a negociação privada de ações de sua própria emissão, com o intuito de suprir, por meio destas, o pagamento de parte da remuneração variável dos membros de sua Diretoria Executiva por meio de ações, </w:t>
      </w:r>
      <w:r w:rsidRPr="00B7250E">
        <w:t>sem a necess</w:t>
      </w:r>
      <w:r>
        <w:t xml:space="preserve">idade de submeter, a cada ano, </w:t>
      </w:r>
      <w:r w:rsidRPr="00B7250E">
        <w:t>novas solicitações</w:t>
      </w:r>
      <w:r w:rsidRPr="008C3914">
        <w:t xml:space="preserve"> </w:t>
      </w:r>
      <w:r>
        <w:t>à</w:t>
      </w:r>
      <w:r w:rsidRPr="00B7250E">
        <w:t xml:space="preserve">quela </w:t>
      </w:r>
      <w:r>
        <w:t>C</w:t>
      </w:r>
      <w:r w:rsidRPr="00B7250E">
        <w:t>omissão</w:t>
      </w:r>
      <w:r>
        <w:t>.</w:t>
      </w:r>
      <w:r w:rsidRPr="00B7250E">
        <w:t xml:space="preserve"> </w:t>
      </w:r>
      <w:r>
        <w:t>T</w:t>
      </w:r>
      <w:r w:rsidRPr="00B7250E">
        <w:t>rata</w:t>
      </w:r>
      <w:r>
        <w:t>-</w:t>
      </w:r>
      <w:r w:rsidRPr="00B7250E">
        <w:t>se, portanto</w:t>
      </w:r>
      <w:r>
        <w:t>,</w:t>
      </w:r>
      <w:r w:rsidRPr="00B7250E">
        <w:t xml:space="preserve"> de </w:t>
      </w:r>
      <w:r>
        <w:t xml:space="preserve">uma </w:t>
      </w:r>
      <w:r w:rsidRPr="00B7250E">
        <w:t>autorização permanente.</w:t>
      </w:r>
    </w:p>
    <w:p w14:paraId="515563C9" w14:textId="77777777" w:rsidR="00375569" w:rsidRDefault="00375569" w:rsidP="00B11E64">
      <w:pPr>
        <w:pStyle w:val="05-Textonormal"/>
        <w:keepNext/>
        <w:keepLines/>
      </w:pPr>
      <w:r w:rsidRPr="005A5112">
        <w:t>Apresentamos</w:t>
      </w:r>
      <w:r>
        <w:t xml:space="preserve"> abaixo,</w:t>
      </w:r>
      <w:r w:rsidRPr="005A5112">
        <w:t xml:space="preserve"> o</w:t>
      </w:r>
      <w:r>
        <w:t>s</w:t>
      </w:r>
      <w:r w:rsidRPr="005A5112">
        <w:t xml:space="preserve"> demonstrativo</w:t>
      </w:r>
      <w:r>
        <w:t>s</w:t>
      </w:r>
      <w:r w:rsidRPr="005A5112">
        <w:t xml:space="preserve"> das ações </w:t>
      </w:r>
      <w:r>
        <w:t>distribuídas e</w:t>
      </w:r>
      <w:r w:rsidRPr="005A5112">
        <w:t xml:space="preserve"> a distribui</w:t>
      </w:r>
      <w:r>
        <w:t>r</w:t>
      </w:r>
      <w:r w:rsidRPr="005A5112">
        <w:t>:</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375569" w:rsidRPr="00A84550" w14:paraId="7224E851" w14:textId="77777777" w:rsidTr="00725333">
        <w:trPr>
          <w:trHeight w:val="238"/>
          <w:jc w:val="center"/>
        </w:trPr>
        <w:tc>
          <w:tcPr>
            <w:tcW w:w="2552" w:type="dxa"/>
            <w:tcBorders>
              <w:top w:val="single" w:sz="2" w:space="0" w:color="1F4E79" w:themeColor="accent1" w:themeShade="80"/>
              <w:bottom w:val="single" w:sz="2" w:space="0" w:color="1F4E79" w:themeColor="accent1" w:themeShade="80"/>
            </w:tcBorders>
            <w:shd w:val="clear" w:color="auto" w:fill="auto"/>
            <w:vAlign w:val="center"/>
          </w:tcPr>
          <w:p w14:paraId="53E208E2" w14:textId="77777777" w:rsidR="00375569" w:rsidRPr="00A84550" w:rsidRDefault="00375569" w:rsidP="002A1706">
            <w:pPr>
              <w:pStyle w:val="08-Tabelageral"/>
              <w:jc w:val="center"/>
              <w:rPr>
                <w:b/>
              </w:rPr>
            </w:pPr>
          </w:p>
        </w:tc>
        <w:tc>
          <w:tcPr>
            <w:tcW w:w="1347" w:type="dxa"/>
            <w:tcBorders>
              <w:top w:val="single" w:sz="2" w:space="0" w:color="1F4E79" w:themeColor="accent1" w:themeShade="80"/>
              <w:bottom w:val="single" w:sz="2" w:space="0" w:color="1F4E79" w:themeColor="accent1" w:themeShade="80"/>
            </w:tcBorders>
            <w:shd w:val="clear" w:color="auto" w:fill="auto"/>
          </w:tcPr>
          <w:p w14:paraId="217BB167" w14:textId="77777777" w:rsidR="00375569" w:rsidRPr="00056C3B" w:rsidRDefault="00375569" w:rsidP="002A1706">
            <w:pPr>
              <w:pStyle w:val="08-Tabelageral"/>
              <w:jc w:val="center"/>
              <w:rPr>
                <w:b/>
                <w:bCs/>
              </w:rPr>
            </w:pPr>
            <w:r w:rsidRPr="00056C3B">
              <w:rPr>
                <w:b/>
                <w:bCs/>
              </w:rPr>
              <w:t>Programa 2017</w:t>
            </w:r>
          </w:p>
        </w:tc>
        <w:tc>
          <w:tcPr>
            <w:tcW w:w="1382" w:type="dxa"/>
            <w:tcBorders>
              <w:top w:val="single" w:sz="2" w:space="0" w:color="1F4E79" w:themeColor="accent1" w:themeShade="80"/>
              <w:bottom w:val="single" w:sz="2" w:space="0" w:color="1F4E79" w:themeColor="accent1" w:themeShade="80"/>
            </w:tcBorders>
            <w:shd w:val="clear" w:color="auto" w:fill="auto"/>
          </w:tcPr>
          <w:p w14:paraId="21517418" w14:textId="77777777" w:rsidR="00375569" w:rsidRPr="00056C3B" w:rsidRDefault="00375569" w:rsidP="002A1706">
            <w:pPr>
              <w:pStyle w:val="08-Tabelageral"/>
              <w:jc w:val="center"/>
              <w:rPr>
                <w:b/>
                <w:bCs/>
              </w:rPr>
            </w:pPr>
            <w:r w:rsidRPr="00056C3B">
              <w:rPr>
                <w:b/>
                <w:bCs/>
              </w:rPr>
              <w:t>Programa 2018</w:t>
            </w:r>
          </w:p>
        </w:tc>
        <w:tc>
          <w:tcPr>
            <w:tcW w:w="1343" w:type="dxa"/>
            <w:tcBorders>
              <w:top w:val="single" w:sz="2" w:space="0" w:color="1F4E79" w:themeColor="accent1" w:themeShade="80"/>
              <w:bottom w:val="single" w:sz="2" w:space="0" w:color="1F4E79" w:themeColor="accent1" w:themeShade="80"/>
            </w:tcBorders>
            <w:shd w:val="clear" w:color="auto" w:fill="auto"/>
          </w:tcPr>
          <w:p w14:paraId="4CDF6E9F" w14:textId="77777777" w:rsidR="00375569" w:rsidRPr="00056C3B" w:rsidRDefault="00375569" w:rsidP="002A1706">
            <w:pPr>
              <w:pStyle w:val="08-Tabelageral"/>
              <w:jc w:val="center"/>
              <w:rPr>
                <w:b/>
                <w:bCs/>
              </w:rPr>
            </w:pPr>
            <w:r w:rsidRPr="00056C3B">
              <w:rPr>
                <w:b/>
                <w:bCs/>
              </w:rPr>
              <w:t>Programa 2019</w:t>
            </w:r>
          </w:p>
        </w:tc>
        <w:tc>
          <w:tcPr>
            <w:tcW w:w="1461" w:type="dxa"/>
            <w:tcBorders>
              <w:top w:val="single" w:sz="2" w:space="0" w:color="1F4E79" w:themeColor="accent1" w:themeShade="80"/>
              <w:bottom w:val="single" w:sz="2" w:space="0" w:color="1F4E79" w:themeColor="accent1" w:themeShade="80"/>
            </w:tcBorders>
            <w:shd w:val="clear" w:color="auto" w:fill="auto"/>
          </w:tcPr>
          <w:p w14:paraId="32A3A28E" w14:textId="77777777" w:rsidR="00375569" w:rsidRPr="00056C3B" w:rsidRDefault="00375569" w:rsidP="002A1706">
            <w:pPr>
              <w:pStyle w:val="08-Tabelageral"/>
              <w:jc w:val="center"/>
              <w:rPr>
                <w:b/>
                <w:bCs/>
              </w:rPr>
            </w:pPr>
            <w:r w:rsidRPr="00056C3B">
              <w:rPr>
                <w:b/>
                <w:bCs/>
              </w:rPr>
              <w:t>Programa 2020</w:t>
            </w:r>
          </w:p>
        </w:tc>
        <w:tc>
          <w:tcPr>
            <w:tcW w:w="1271" w:type="dxa"/>
            <w:tcBorders>
              <w:top w:val="single" w:sz="2" w:space="0" w:color="1F4E79" w:themeColor="accent1" w:themeShade="80"/>
              <w:bottom w:val="single" w:sz="2" w:space="0" w:color="1F4E79" w:themeColor="accent1" w:themeShade="80"/>
            </w:tcBorders>
            <w:shd w:val="clear" w:color="auto" w:fill="auto"/>
            <w:vAlign w:val="center"/>
          </w:tcPr>
          <w:p w14:paraId="4A9FDE6D" w14:textId="77777777" w:rsidR="00375569" w:rsidRPr="00056C3B" w:rsidRDefault="00375569" w:rsidP="00EC50E8">
            <w:pPr>
              <w:pStyle w:val="08-Tabelageral"/>
              <w:rPr>
                <w:b/>
                <w:bCs/>
              </w:rPr>
            </w:pPr>
            <w:r>
              <w:rPr>
                <w:b/>
                <w:bCs/>
              </w:rPr>
              <w:t>Total</w:t>
            </w:r>
          </w:p>
        </w:tc>
      </w:tr>
      <w:tr w:rsidR="00375569" w:rsidRPr="0081777C" w14:paraId="310DFE08" w14:textId="77777777" w:rsidTr="00725333">
        <w:trPr>
          <w:trHeight w:val="238"/>
          <w:jc w:val="center"/>
        </w:trPr>
        <w:tc>
          <w:tcPr>
            <w:tcW w:w="2552" w:type="dxa"/>
            <w:tcBorders>
              <w:top w:val="single" w:sz="2" w:space="0" w:color="1F4E79" w:themeColor="accent1" w:themeShade="80"/>
            </w:tcBorders>
            <w:shd w:val="clear" w:color="auto" w:fill="auto"/>
            <w:vAlign w:val="center"/>
          </w:tcPr>
          <w:p w14:paraId="0CF15AC6" w14:textId="77777777" w:rsidR="00375569" w:rsidRPr="0081777C" w:rsidRDefault="00375569" w:rsidP="009E4699">
            <w:pPr>
              <w:pStyle w:val="070-TabelaPadro"/>
              <w:spacing w:line="276" w:lineRule="auto"/>
              <w:ind w:firstLine="176"/>
              <w:jc w:val="left"/>
              <w:rPr>
                <w:bCs/>
              </w:rPr>
            </w:pPr>
            <w:r w:rsidRPr="0081777C">
              <w:rPr>
                <w:bCs/>
              </w:rPr>
              <w:t>Ações Distribuídas</w:t>
            </w:r>
          </w:p>
        </w:tc>
        <w:tc>
          <w:tcPr>
            <w:tcW w:w="1347" w:type="dxa"/>
            <w:tcBorders>
              <w:top w:val="single" w:sz="2" w:space="0" w:color="1F4E79" w:themeColor="accent1" w:themeShade="80"/>
            </w:tcBorders>
            <w:shd w:val="clear" w:color="auto" w:fill="auto"/>
          </w:tcPr>
          <w:p w14:paraId="22340E69" w14:textId="77777777" w:rsidR="00375569" w:rsidRPr="0081777C" w:rsidRDefault="00375569" w:rsidP="00EE5B01">
            <w:pPr>
              <w:pStyle w:val="08-Tabelageral"/>
              <w:ind w:left="113"/>
              <w:rPr>
                <w:rFonts w:cs="Arial"/>
                <w:bCs/>
                <w:szCs w:val="14"/>
              </w:rPr>
            </w:pPr>
            <w:r w:rsidRPr="0081777C">
              <w:rPr>
                <w:rFonts w:cs="Arial"/>
                <w:bCs/>
                <w:szCs w:val="14"/>
              </w:rPr>
              <w:t>15.489</w:t>
            </w:r>
          </w:p>
        </w:tc>
        <w:tc>
          <w:tcPr>
            <w:tcW w:w="1382" w:type="dxa"/>
            <w:tcBorders>
              <w:top w:val="single" w:sz="2" w:space="0" w:color="1F4E79" w:themeColor="accent1" w:themeShade="80"/>
            </w:tcBorders>
            <w:shd w:val="clear" w:color="auto" w:fill="auto"/>
          </w:tcPr>
          <w:p w14:paraId="421999A0" w14:textId="77777777" w:rsidR="00375569" w:rsidRPr="0081777C" w:rsidRDefault="00375569" w:rsidP="00EE5B01">
            <w:pPr>
              <w:pStyle w:val="08-Tabelageral"/>
              <w:ind w:left="113"/>
              <w:rPr>
                <w:rFonts w:cs="Arial"/>
                <w:bCs/>
                <w:szCs w:val="14"/>
              </w:rPr>
            </w:pPr>
            <w:r w:rsidRPr="0081777C">
              <w:rPr>
                <w:rFonts w:cs="Arial"/>
                <w:bCs/>
                <w:szCs w:val="14"/>
              </w:rPr>
              <w:t>9.841</w:t>
            </w:r>
          </w:p>
        </w:tc>
        <w:tc>
          <w:tcPr>
            <w:tcW w:w="1343" w:type="dxa"/>
            <w:tcBorders>
              <w:top w:val="single" w:sz="2" w:space="0" w:color="1F4E79" w:themeColor="accent1" w:themeShade="80"/>
            </w:tcBorders>
            <w:shd w:val="clear" w:color="auto" w:fill="auto"/>
          </w:tcPr>
          <w:p w14:paraId="6B2773E7" w14:textId="77777777" w:rsidR="00375569" w:rsidRPr="0081777C" w:rsidRDefault="00375569" w:rsidP="00EE5B01">
            <w:pPr>
              <w:pStyle w:val="08-Tabelageral"/>
              <w:ind w:left="113"/>
              <w:rPr>
                <w:rFonts w:cs="Arial"/>
                <w:bCs/>
                <w:szCs w:val="14"/>
              </w:rPr>
            </w:pPr>
            <w:r w:rsidRPr="0081777C">
              <w:rPr>
                <w:rFonts w:cs="Arial"/>
                <w:bCs/>
                <w:szCs w:val="14"/>
              </w:rPr>
              <w:t>11.338</w:t>
            </w:r>
          </w:p>
        </w:tc>
        <w:tc>
          <w:tcPr>
            <w:tcW w:w="1461" w:type="dxa"/>
            <w:tcBorders>
              <w:top w:val="single" w:sz="2" w:space="0" w:color="1F4E79" w:themeColor="accent1" w:themeShade="80"/>
            </w:tcBorders>
            <w:shd w:val="clear" w:color="auto" w:fill="auto"/>
          </w:tcPr>
          <w:p w14:paraId="63964A85" w14:textId="77777777" w:rsidR="00375569" w:rsidRPr="0081777C" w:rsidRDefault="00375569" w:rsidP="00EE5B01">
            <w:pPr>
              <w:pStyle w:val="08-Tabelageral"/>
              <w:ind w:left="113"/>
              <w:rPr>
                <w:rFonts w:cs="Arial"/>
                <w:bCs/>
                <w:szCs w:val="14"/>
              </w:rPr>
            </w:pPr>
            <w:r w:rsidRPr="0081777C">
              <w:rPr>
                <w:rFonts w:cs="Arial"/>
                <w:bCs/>
                <w:szCs w:val="14"/>
              </w:rPr>
              <w:t>4.512</w:t>
            </w:r>
          </w:p>
        </w:tc>
        <w:tc>
          <w:tcPr>
            <w:tcW w:w="1271" w:type="dxa"/>
            <w:tcBorders>
              <w:top w:val="single" w:sz="2" w:space="0" w:color="1F4E79" w:themeColor="accent1" w:themeShade="80"/>
            </w:tcBorders>
            <w:shd w:val="clear" w:color="auto" w:fill="auto"/>
          </w:tcPr>
          <w:p w14:paraId="17B5B5D9" w14:textId="77777777" w:rsidR="00375569" w:rsidRPr="0081777C" w:rsidRDefault="00375569" w:rsidP="00EE5B01">
            <w:pPr>
              <w:pStyle w:val="08-Tabelageral"/>
              <w:ind w:left="113"/>
              <w:rPr>
                <w:rFonts w:cs="Arial"/>
                <w:b/>
                <w:szCs w:val="14"/>
              </w:rPr>
            </w:pPr>
            <w:r w:rsidRPr="0081777C">
              <w:rPr>
                <w:rFonts w:cs="Arial"/>
                <w:b/>
                <w:szCs w:val="14"/>
              </w:rPr>
              <w:t>41.180</w:t>
            </w:r>
          </w:p>
        </w:tc>
      </w:tr>
      <w:tr w:rsidR="00375569" w:rsidRPr="0081777C" w14:paraId="6FFC7F10" w14:textId="77777777" w:rsidTr="00725333">
        <w:trPr>
          <w:trHeight w:val="238"/>
          <w:jc w:val="center"/>
        </w:trPr>
        <w:tc>
          <w:tcPr>
            <w:tcW w:w="2552" w:type="dxa"/>
            <w:shd w:val="clear" w:color="auto" w:fill="auto"/>
          </w:tcPr>
          <w:p w14:paraId="00D7353A" w14:textId="77777777" w:rsidR="00375569" w:rsidRPr="0081777C" w:rsidRDefault="00375569" w:rsidP="009E4699">
            <w:pPr>
              <w:pStyle w:val="070-TabelaPadro"/>
              <w:spacing w:line="276" w:lineRule="auto"/>
              <w:ind w:left="-108" w:firstLine="284"/>
              <w:jc w:val="left"/>
              <w:rPr>
                <w:bCs/>
              </w:rPr>
            </w:pPr>
            <w:r w:rsidRPr="0081777C">
              <w:rPr>
                <w:bCs/>
              </w:rPr>
              <w:t>Ações a Distribuir</w:t>
            </w:r>
          </w:p>
        </w:tc>
        <w:tc>
          <w:tcPr>
            <w:tcW w:w="1347" w:type="dxa"/>
            <w:shd w:val="clear" w:color="auto" w:fill="auto"/>
          </w:tcPr>
          <w:p w14:paraId="5B21AE03" w14:textId="77777777" w:rsidR="00375569" w:rsidRPr="0081777C" w:rsidRDefault="00375569" w:rsidP="00EE5B01">
            <w:pPr>
              <w:pStyle w:val="08-Tabelageral"/>
              <w:ind w:left="113"/>
              <w:rPr>
                <w:rFonts w:cs="Arial"/>
                <w:bCs/>
                <w:szCs w:val="14"/>
              </w:rPr>
            </w:pPr>
            <w:r w:rsidRPr="0081777C">
              <w:rPr>
                <w:rFonts w:cs="Arial"/>
                <w:bCs/>
                <w:szCs w:val="14"/>
              </w:rPr>
              <w:t>3.870</w:t>
            </w:r>
          </w:p>
        </w:tc>
        <w:tc>
          <w:tcPr>
            <w:tcW w:w="1382" w:type="dxa"/>
            <w:shd w:val="clear" w:color="auto" w:fill="auto"/>
          </w:tcPr>
          <w:p w14:paraId="361D8EEB" w14:textId="77777777" w:rsidR="00375569" w:rsidRPr="0081777C" w:rsidRDefault="00375569" w:rsidP="00EE5B01">
            <w:pPr>
              <w:pStyle w:val="08-Tabelageral"/>
              <w:ind w:left="113"/>
              <w:rPr>
                <w:rFonts w:cs="Arial"/>
                <w:bCs/>
                <w:szCs w:val="14"/>
              </w:rPr>
            </w:pPr>
            <w:r w:rsidRPr="0081777C">
              <w:rPr>
                <w:rFonts w:cs="Arial"/>
                <w:bCs/>
                <w:szCs w:val="14"/>
              </w:rPr>
              <w:t>6.552</w:t>
            </w:r>
          </w:p>
        </w:tc>
        <w:tc>
          <w:tcPr>
            <w:tcW w:w="1343" w:type="dxa"/>
            <w:shd w:val="clear" w:color="auto" w:fill="auto"/>
          </w:tcPr>
          <w:p w14:paraId="2700ACE8" w14:textId="77777777" w:rsidR="00375569" w:rsidRPr="0081777C" w:rsidRDefault="00375569" w:rsidP="00EE5B01">
            <w:pPr>
              <w:pStyle w:val="08-Tabelageral"/>
              <w:ind w:left="113"/>
              <w:rPr>
                <w:rFonts w:cs="Arial"/>
                <w:bCs/>
                <w:szCs w:val="14"/>
              </w:rPr>
            </w:pPr>
            <w:r w:rsidRPr="0081777C">
              <w:rPr>
                <w:rFonts w:cs="Arial"/>
                <w:bCs/>
                <w:szCs w:val="14"/>
              </w:rPr>
              <w:t>16.995</w:t>
            </w:r>
          </w:p>
        </w:tc>
        <w:tc>
          <w:tcPr>
            <w:tcW w:w="1461" w:type="dxa"/>
            <w:shd w:val="clear" w:color="auto" w:fill="auto"/>
          </w:tcPr>
          <w:p w14:paraId="5FF60A75" w14:textId="77777777" w:rsidR="00375569" w:rsidRPr="0081777C" w:rsidRDefault="00375569" w:rsidP="00EE5B01">
            <w:pPr>
              <w:pStyle w:val="08-Tabelageral"/>
              <w:ind w:left="113"/>
              <w:rPr>
                <w:rFonts w:cs="Arial"/>
                <w:bCs/>
                <w:szCs w:val="14"/>
              </w:rPr>
            </w:pPr>
            <w:r w:rsidRPr="0081777C">
              <w:rPr>
                <w:rFonts w:cs="Arial"/>
                <w:bCs/>
                <w:szCs w:val="14"/>
              </w:rPr>
              <w:t>17.948</w:t>
            </w:r>
          </w:p>
        </w:tc>
        <w:tc>
          <w:tcPr>
            <w:tcW w:w="1271" w:type="dxa"/>
            <w:shd w:val="clear" w:color="auto" w:fill="auto"/>
          </w:tcPr>
          <w:p w14:paraId="7CFC23F6" w14:textId="77777777" w:rsidR="00375569" w:rsidRPr="0081777C" w:rsidRDefault="00375569" w:rsidP="00EE5B01">
            <w:pPr>
              <w:pStyle w:val="08-Tabelageral"/>
              <w:ind w:left="113"/>
              <w:rPr>
                <w:rFonts w:cs="Arial"/>
                <w:b/>
                <w:szCs w:val="14"/>
              </w:rPr>
            </w:pPr>
            <w:r w:rsidRPr="0081777C">
              <w:rPr>
                <w:rFonts w:cs="Arial"/>
                <w:b/>
                <w:szCs w:val="14"/>
              </w:rPr>
              <w:t>45.365</w:t>
            </w:r>
          </w:p>
        </w:tc>
      </w:tr>
      <w:tr w:rsidR="00375569" w:rsidRPr="004B1E10" w14:paraId="369B3B40" w14:textId="77777777" w:rsidTr="00725333">
        <w:trPr>
          <w:trHeight w:val="238"/>
          <w:jc w:val="center"/>
        </w:trPr>
        <w:tc>
          <w:tcPr>
            <w:tcW w:w="2552" w:type="dxa"/>
            <w:shd w:val="clear" w:color="auto" w:fill="auto"/>
          </w:tcPr>
          <w:p w14:paraId="44A37BD4" w14:textId="77777777" w:rsidR="00375569" w:rsidRPr="004B1E10" w:rsidRDefault="00375569" w:rsidP="00803971">
            <w:pPr>
              <w:pStyle w:val="070-TabelaPadro"/>
              <w:spacing w:line="276" w:lineRule="auto"/>
              <w:ind w:left="-108"/>
              <w:jc w:val="left"/>
              <w:rPr>
                <w:b/>
              </w:rPr>
            </w:pPr>
            <w:r w:rsidRPr="004B1E10">
              <w:rPr>
                <w:b/>
              </w:rPr>
              <w:t>Total de Ações do Programa</w:t>
            </w:r>
          </w:p>
        </w:tc>
        <w:tc>
          <w:tcPr>
            <w:tcW w:w="1347" w:type="dxa"/>
            <w:shd w:val="clear" w:color="auto" w:fill="auto"/>
          </w:tcPr>
          <w:p w14:paraId="4ED246F6" w14:textId="77777777" w:rsidR="00375569" w:rsidRPr="004B1E10" w:rsidRDefault="00375569" w:rsidP="002A1706">
            <w:pPr>
              <w:pStyle w:val="08-Tabelageral"/>
              <w:ind w:left="113"/>
              <w:rPr>
                <w:rFonts w:cs="Arial"/>
                <w:b/>
                <w:szCs w:val="14"/>
              </w:rPr>
            </w:pPr>
            <w:r w:rsidRPr="004B1E10">
              <w:rPr>
                <w:rFonts w:cs="Arial"/>
                <w:b/>
                <w:szCs w:val="14"/>
              </w:rPr>
              <w:t>19.359</w:t>
            </w:r>
          </w:p>
        </w:tc>
        <w:tc>
          <w:tcPr>
            <w:tcW w:w="1382" w:type="dxa"/>
            <w:shd w:val="clear" w:color="auto" w:fill="auto"/>
          </w:tcPr>
          <w:p w14:paraId="73F92820" w14:textId="77777777" w:rsidR="00375569" w:rsidRPr="004B1E10" w:rsidRDefault="00375569" w:rsidP="002A1706">
            <w:pPr>
              <w:pStyle w:val="08-Tabelageral"/>
              <w:ind w:left="113"/>
              <w:rPr>
                <w:rFonts w:cs="Arial"/>
                <w:b/>
                <w:szCs w:val="14"/>
              </w:rPr>
            </w:pPr>
            <w:r w:rsidRPr="004B1E10">
              <w:rPr>
                <w:rFonts w:cs="Arial"/>
                <w:b/>
                <w:szCs w:val="14"/>
              </w:rPr>
              <w:t>16.393</w:t>
            </w:r>
          </w:p>
        </w:tc>
        <w:tc>
          <w:tcPr>
            <w:tcW w:w="1343" w:type="dxa"/>
            <w:shd w:val="clear" w:color="auto" w:fill="auto"/>
          </w:tcPr>
          <w:p w14:paraId="38854EE2" w14:textId="77777777" w:rsidR="00375569" w:rsidRPr="004B1E10" w:rsidRDefault="00375569" w:rsidP="002A1706">
            <w:pPr>
              <w:pStyle w:val="08-Tabelageral"/>
              <w:ind w:left="113"/>
              <w:rPr>
                <w:rFonts w:cs="Arial"/>
                <w:b/>
                <w:szCs w:val="14"/>
              </w:rPr>
            </w:pPr>
            <w:r w:rsidRPr="004B1E10">
              <w:rPr>
                <w:rFonts w:cs="Arial"/>
                <w:b/>
                <w:szCs w:val="14"/>
              </w:rPr>
              <w:t>28.333</w:t>
            </w:r>
          </w:p>
        </w:tc>
        <w:tc>
          <w:tcPr>
            <w:tcW w:w="1461" w:type="dxa"/>
            <w:shd w:val="clear" w:color="auto" w:fill="auto"/>
          </w:tcPr>
          <w:p w14:paraId="6D30064C" w14:textId="77777777" w:rsidR="00375569" w:rsidRPr="004B1E10" w:rsidRDefault="00375569" w:rsidP="002A1706">
            <w:pPr>
              <w:pStyle w:val="08-Tabelageral"/>
              <w:ind w:left="113"/>
              <w:rPr>
                <w:rFonts w:cs="Arial"/>
                <w:b/>
                <w:szCs w:val="14"/>
              </w:rPr>
            </w:pPr>
            <w:r w:rsidRPr="004B1E10">
              <w:rPr>
                <w:rFonts w:cs="Arial"/>
                <w:b/>
                <w:szCs w:val="14"/>
              </w:rPr>
              <w:t>22.460</w:t>
            </w:r>
          </w:p>
        </w:tc>
        <w:tc>
          <w:tcPr>
            <w:tcW w:w="1271" w:type="dxa"/>
            <w:shd w:val="clear" w:color="auto" w:fill="auto"/>
          </w:tcPr>
          <w:p w14:paraId="666E7569" w14:textId="77777777" w:rsidR="00375569" w:rsidRPr="004B1E10" w:rsidRDefault="00375569" w:rsidP="002A1706">
            <w:pPr>
              <w:pStyle w:val="08-Tabelageral"/>
              <w:ind w:left="113"/>
              <w:rPr>
                <w:rFonts w:cs="Arial"/>
                <w:b/>
                <w:szCs w:val="14"/>
              </w:rPr>
            </w:pPr>
            <w:r w:rsidRPr="004B1E10">
              <w:rPr>
                <w:rFonts w:cs="Arial"/>
                <w:b/>
                <w:szCs w:val="14"/>
              </w:rPr>
              <w:t>86.545</w:t>
            </w:r>
          </w:p>
        </w:tc>
      </w:tr>
      <w:tr w:rsidR="00375569" w:rsidRPr="0081777C" w14:paraId="7B049A3A" w14:textId="77777777" w:rsidTr="00725333">
        <w:trPr>
          <w:trHeight w:val="215"/>
          <w:jc w:val="center"/>
        </w:trPr>
        <w:tc>
          <w:tcPr>
            <w:tcW w:w="2552" w:type="dxa"/>
            <w:shd w:val="clear" w:color="auto" w:fill="auto"/>
          </w:tcPr>
          <w:p w14:paraId="7C3CD49F" w14:textId="77777777" w:rsidR="00375569" w:rsidRPr="0081777C" w:rsidRDefault="00375569" w:rsidP="00673B43">
            <w:pPr>
              <w:pStyle w:val="070-TabelaPadro"/>
              <w:spacing w:line="276" w:lineRule="auto"/>
              <w:ind w:left="-108"/>
              <w:jc w:val="left"/>
              <w:rPr>
                <w:b/>
              </w:rPr>
            </w:pPr>
          </w:p>
        </w:tc>
        <w:tc>
          <w:tcPr>
            <w:tcW w:w="1347" w:type="dxa"/>
            <w:shd w:val="clear" w:color="auto" w:fill="auto"/>
          </w:tcPr>
          <w:p w14:paraId="44B5D7D0" w14:textId="77777777" w:rsidR="00375569" w:rsidRPr="0081777C" w:rsidRDefault="00375569" w:rsidP="002A1706">
            <w:pPr>
              <w:pStyle w:val="08-Tabelageral"/>
              <w:ind w:left="113"/>
              <w:rPr>
                <w:rFonts w:cs="Arial"/>
                <w:szCs w:val="14"/>
              </w:rPr>
            </w:pPr>
          </w:p>
        </w:tc>
        <w:tc>
          <w:tcPr>
            <w:tcW w:w="1382" w:type="dxa"/>
            <w:shd w:val="clear" w:color="auto" w:fill="auto"/>
          </w:tcPr>
          <w:p w14:paraId="0F2530BD" w14:textId="77777777" w:rsidR="00375569" w:rsidRPr="0081777C" w:rsidRDefault="00375569" w:rsidP="002A1706">
            <w:pPr>
              <w:pStyle w:val="08-Tabelageral"/>
              <w:ind w:left="113"/>
              <w:rPr>
                <w:rFonts w:cs="Arial"/>
                <w:szCs w:val="14"/>
              </w:rPr>
            </w:pPr>
          </w:p>
        </w:tc>
        <w:tc>
          <w:tcPr>
            <w:tcW w:w="1343" w:type="dxa"/>
            <w:shd w:val="clear" w:color="auto" w:fill="auto"/>
          </w:tcPr>
          <w:p w14:paraId="20CB84E6" w14:textId="77777777" w:rsidR="00375569" w:rsidRPr="0081777C" w:rsidRDefault="00375569" w:rsidP="002A1706">
            <w:pPr>
              <w:pStyle w:val="08-Tabelageral"/>
              <w:ind w:left="113"/>
              <w:rPr>
                <w:rFonts w:cs="Arial"/>
                <w:szCs w:val="14"/>
              </w:rPr>
            </w:pPr>
          </w:p>
        </w:tc>
        <w:tc>
          <w:tcPr>
            <w:tcW w:w="1461" w:type="dxa"/>
            <w:shd w:val="clear" w:color="auto" w:fill="auto"/>
          </w:tcPr>
          <w:p w14:paraId="3AB634E9" w14:textId="77777777" w:rsidR="00375569" w:rsidRPr="0081777C" w:rsidRDefault="00375569" w:rsidP="002A1706">
            <w:pPr>
              <w:pStyle w:val="08-Tabelageral"/>
              <w:ind w:left="113"/>
              <w:rPr>
                <w:rFonts w:cs="Arial"/>
                <w:szCs w:val="14"/>
              </w:rPr>
            </w:pPr>
          </w:p>
        </w:tc>
        <w:tc>
          <w:tcPr>
            <w:tcW w:w="1271" w:type="dxa"/>
            <w:shd w:val="clear" w:color="auto" w:fill="auto"/>
          </w:tcPr>
          <w:p w14:paraId="7B18A1D0" w14:textId="77777777" w:rsidR="00375569" w:rsidRPr="0081777C" w:rsidRDefault="00375569" w:rsidP="002A1706">
            <w:pPr>
              <w:pStyle w:val="08-Tabelageral"/>
              <w:ind w:left="113"/>
              <w:rPr>
                <w:rFonts w:cs="Arial"/>
                <w:b/>
                <w:szCs w:val="14"/>
              </w:rPr>
            </w:pPr>
          </w:p>
        </w:tc>
      </w:tr>
      <w:tr w:rsidR="00375569" w:rsidRPr="0081777C" w14:paraId="0FA150D6" w14:textId="77777777" w:rsidTr="00725333">
        <w:trPr>
          <w:trHeight w:val="238"/>
          <w:jc w:val="center"/>
        </w:trPr>
        <w:tc>
          <w:tcPr>
            <w:tcW w:w="2552" w:type="dxa"/>
            <w:shd w:val="clear" w:color="auto" w:fill="auto"/>
          </w:tcPr>
          <w:p w14:paraId="7A9D9209" w14:textId="77777777" w:rsidR="00375569" w:rsidRPr="0081777C" w:rsidRDefault="00375569" w:rsidP="00673B43">
            <w:pPr>
              <w:pStyle w:val="070-TabelaPadro"/>
              <w:spacing w:line="276" w:lineRule="auto"/>
              <w:ind w:left="-108"/>
              <w:jc w:val="left"/>
              <w:rPr>
                <w:bCs/>
              </w:rPr>
            </w:pPr>
            <w:r w:rsidRPr="0081777C">
              <w:rPr>
                <w:bCs/>
              </w:rPr>
              <w:t>Custo mínimo</w:t>
            </w:r>
          </w:p>
        </w:tc>
        <w:tc>
          <w:tcPr>
            <w:tcW w:w="1347" w:type="dxa"/>
            <w:shd w:val="clear" w:color="auto" w:fill="auto"/>
          </w:tcPr>
          <w:p w14:paraId="09F863ED" w14:textId="77777777" w:rsidR="00375569" w:rsidRPr="0081777C" w:rsidRDefault="00375569" w:rsidP="002A1706">
            <w:pPr>
              <w:pStyle w:val="08-Tabelageral"/>
              <w:ind w:left="113"/>
              <w:rPr>
                <w:rFonts w:cs="Arial"/>
                <w:b/>
                <w:szCs w:val="14"/>
              </w:rPr>
            </w:pPr>
            <w:r w:rsidRPr="0081777C">
              <w:rPr>
                <w:rFonts w:cs="Arial"/>
                <w:szCs w:val="14"/>
              </w:rPr>
              <w:t>28,92</w:t>
            </w:r>
          </w:p>
        </w:tc>
        <w:tc>
          <w:tcPr>
            <w:tcW w:w="1382" w:type="dxa"/>
            <w:shd w:val="clear" w:color="auto" w:fill="auto"/>
          </w:tcPr>
          <w:p w14:paraId="191E29EE" w14:textId="77777777" w:rsidR="00375569" w:rsidRPr="0081777C" w:rsidRDefault="00375569" w:rsidP="002A1706">
            <w:pPr>
              <w:pStyle w:val="08-Tabelageral"/>
              <w:ind w:left="113"/>
              <w:rPr>
                <w:rFonts w:cs="Arial"/>
                <w:b/>
                <w:szCs w:val="14"/>
              </w:rPr>
            </w:pPr>
            <w:r w:rsidRPr="0081777C">
              <w:rPr>
                <w:rFonts w:cs="Arial"/>
                <w:szCs w:val="14"/>
              </w:rPr>
              <w:t>27,78</w:t>
            </w:r>
          </w:p>
        </w:tc>
        <w:tc>
          <w:tcPr>
            <w:tcW w:w="1343" w:type="dxa"/>
            <w:shd w:val="clear" w:color="auto" w:fill="auto"/>
          </w:tcPr>
          <w:p w14:paraId="353B5718" w14:textId="77777777" w:rsidR="00375569" w:rsidRPr="0081777C" w:rsidRDefault="00375569" w:rsidP="002A1706">
            <w:pPr>
              <w:pStyle w:val="08-Tabelageral"/>
              <w:ind w:left="113"/>
              <w:rPr>
                <w:rFonts w:cs="Arial"/>
                <w:b/>
                <w:szCs w:val="14"/>
              </w:rPr>
            </w:pPr>
            <w:r w:rsidRPr="0081777C">
              <w:rPr>
                <w:rFonts w:cs="Arial"/>
                <w:szCs w:val="14"/>
              </w:rPr>
              <w:t>31,93</w:t>
            </w:r>
          </w:p>
        </w:tc>
        <w:tc>
          <w:tcPr>
            <w:tcW w:w="1461" w:type="dxa"/>
            <w:shd w:val="clear" w:color="auto" w:fill="auto"/>
          </w:tcPr>
          <w:p w14:paraId="40890012" w14:textId="77777777" w:rsidR="00375569" w:rsidRPr="0081777C" w:rsidRDefault="00375569" w:rsidP="002A1706">
            <w:pPr>
              <w:pStyle w:val="08-Tabelageral"/>
              <w:ind w:left="113"/>
              <w:rPr>
                <w:rFonts w:cs="Arial"/>
                <w:b/>
                <w:szCs w:val="14"/>
              </w:rPr>
            </w:pPr>
            <w:r w:rsidRPr="0081777C">
              <w:rPr>
                <w:rFonts w:cs="Arial"/>
                <w:szCs w:val="14"/>
              </w:rPr>
              <w:t>24,37</w:t>
            </w:r>
          </w:p>
        </w:tc>
        <w:tc>
          <w:tcPr>
            <w:tcW w:w="1271" w:type="dxa"/>
            <w:shd w:val="clear" w:color="auto" w:fill="auto"/>
          </w:tcPr>
          <w:p w14:paraId="62D48FE6" w14:textId="77777777" w:rsidR="00375569" w:rsidRPr="00A71DB7" w:rsidRDefault="00375569" w:rsidP="002A1706">
            <w:pPr>
              <w:pStyle w:val="08-Tabelageral"/>
              <w:ind w:left="113"/>
              <w:rPr>
                <w:rFonts w:cs="Arial"/>
                <w:bCs/>
                <w:szCs w:val="14"/>
              </w:rPr>
            </w:pPr>
            <w:r w:rsidRPr="00A71DB7">
              <w:rPr>
                <w:rFonts w:cs="Arial"/>
                <w:bCs/>
                <w:szCs w:val="14"/>
              </w:rPr>
              <w:t>--</w:t>
            </w:r>
          </w:p>
        </w:tc>
      </w:tr>
      <w:tr w:rsidR="00375569" w:rsidRPr="0081777C" w14:paraId="71F015EC" w14:textId="77777777" w:rsidTr="00725333">
        <w:trPr>
          <w:trHeight w:val="238"/>
          <w:jc w:val="center"/>
        </w:trPr>
        <w:tc>
          <w:tcPr>
            <w:tcW w:w="2552" w:type="dxa"/>
            <w:tcBorders>
              <w:bottom w:val="nil"/>
            </w:tcBorders>
            <w:shd w:val="clear" w:color="auto" w:fill="auto"/>
          </w:tcPr>
          <w:p w14:paraId="3AA6D2E5" w14:textId="77777777" w:rsidR="00375569" w:rsidRPr="0081777C" w:rsidRDefault="00375569" w:rsidP="00673B43">
            <w:pPr>
              <w:pStyle w:val="070-TabelaPadro"/>
              <w:spacing w:line="276" w:lineRule="auto"/>
              <w:ind w:left="-108"/>
              <w:jc w:val="left"/>
              <w:rPr>
                <w:bCs/>
              </w:rPr>
            </w:pPr>
            <w:r w:rsidRPr="0081777C">
              <w:rPr>
                <w:bCs/>
              </w:rPr>
              <w:t>Custo médio</w:t>
            </w:r>
          </w:p>
        </w:tc>
        <w:tc>
          <w:tcPr>
            <w:tcW w:w="1347" w:type="dxa"/>
            <w:tcBorders>
              <w:bottom w:val="nil"/>
            </w:tcBorders>
            <w:shd w:val="clear" w:color="auto" w:fill="auto"/>
          </w:tcPr>
          <w:p w14:paraId="2CF57B07" w14:textId="77777777" w:rsidR="00375569" w:rsidRPr="0081777C" w:rsidRDefault="00375569" w:rsidP="002A1706">
            <w:pPr>
              <w:pStyle w:val="08-Tabelageral"/>
              <w:ind w:left="113"/>
              <w:rPr>
                <w:rFonts w:cs="Arial"/>
                <w:szCs w:val="14"/>
              </w:rPr>
            </w:pPr>
            <w:r w:rsidRPr="0081777C">
              <w:rPr>
                <w:rFonts w:cs="Arial"/>
                <w:szCs w:val="14"/>
              </w:rPr>
              <w:t>29,02</w:t>
            </w:r>
          </w:p>
        </w:tc>
        <w:tc>
          <w:tcPr>
            <w:tcW w:w="1382" w:type="dxa"/>
            <w:tcBorders>
              <w:bottom w:val="nil"/>
            </w:tcBorders>
            <w:shd w:val="clear" w:color="auto" w:fill="auto"/>
          </w:tcPr>
          <w:p w14:paraId="607D7B3B" w14:textId="77777777" w:rsidR="00375569" w:rsidRPr="0081777C" w:rsidRDefault="00375569" w:rsidP="002A1706">
            <w:pPr>
              <w:pStyle w:val="08-Tabelageral"/>
              <w:ind w:left="113"/>
              <w:rPr>
                <w:rFonts w:cs="Arial"/>
                <w:szCs w:val="14"/>
              </w:rPr>
            </w:pPr>
            <w:r w:rsidRPr="0081777C">
              <w:rPr>
                <w:rFonts w:cs="Arial"/>
                <w:szCs w:val="14"/>
              </w:rPr>
              <w:t>27,78</w:t>
            </w:r>
          </w:p>
        </w:tc>
        <w:tc>
          <w:tcPr>
            <w:tcW w:w="1343" w:type="dxa"/>
            <w:tcBorders>
              <w:bottom w:val="nil"/>
            </w:tcBorders>
            <w:shd w:val="clear" w:color="auto" w:fill="auto"/>
          </w:tcPr>
          <w:p w14:paraId="48ED6F68" w14:textId="77777777" w:rsidR="00375569" w:rsidRPr="0081777C" w:rsidRDefault="00375569" w:rsidP="002A1706">
            <w:pPr>
              <w:pStyle w:val="08-Tabelageral"/>
              <w:ind w:left="113"/>
              <w:rPr>
                <w:rFonts w:cs="Arial"/>
                <w:szCs w:val="14"/>
              </w:rPr>
            </w:pPr>
            <w:r w:rsidRPr="0081777C">
              <w:rPr>
                <w:rFonts w:cs="Arial"/>
                <w:szCs w:val="14"/>
              </w:rPr>
              <w:t>31,93</w:t>
            </w:r>
          </w:p>
        </w:tc>
        <w:tc>
          <w:tcPr>
            <w:tcW w:w="1461" w:type="dxa"/>
            <w:tcBorders>
              <w:bottom w:val="nil"/>
            </w:tcBorders>
            <w:shd w:val="clear" w:color="auto" w:fill="auto"/>
          </w:tcPr>
          <w:p w14:paraId="57D7D4FA" w14:textId="77777777" w:rsidR="00375569" w:rsidRPr="0081777C" w:rsidRDefault="00375569" w:rsidP="002A1706">
            <w:pPr>
              <w:pStyle w:val="08-Tabelageral"/>
              <w:ind w:left="113"/>
              <w:rPr>
                <w:rFonts w:cs="Arial"/>
                <w:szCs w:val="14"/>
              </w:rPr>
            </w:pPr>
            <w:r w:rsidRPr="0081777C">
              <w:rPr>
                <w:rFonts w:cs="Arial"/>
                <w:szCs w:val="14"/>
              </w:rPr>
              <w:t>24,37</w:t>
            </w:r>
          </w:p>
        </w:tc>
        <w:tc>
          <w:tcPr>
            <w:tcW w:w="1271" w:type="dxa"/>
            <w:tcBorders>
              <w:bottom w:val="nil"/>
            </w:tcBorders>
            <w:shd w:val="clear" w:color="auto" w:fill="auto"/>
          </w:tcPr>
          <w:p w14:paraId="0E125FC1" w14:textId="77777777" w:rsidR="00375569" w:rsidRPr="00A71DB7" w:rsidRDefault="00375569" w:rsidP="002A1706">
            <w:pPr>
              <w:pStyle w:val="08-Tabelageral"/>
              <w:ind w:left="113"/>
              <w:rPr>
                <w:rFonts w:cs="Arial"/>
                <w:bCs/>
                <w:szCs w:val="14"/>
              </w:rPr>
            </w:pPr>
            <w:r w:rsidRPr="00A71DB7">
              <w:rPr>
                <w:rFonts w:cs="Arial"/>
                <w:bCs/>
                <w:szCs w:val="14"/>
              </w:rPr>
              <w:t>--</w:t>
            </w:r>
          </w:p>
        </w:tc>
      </w:tr>
      <w:tr w:rsidR="00375569" w:rsidRPr="0081777C" w14:paraId="02DCB7B3" w14:textId="77777777" w:rsidTr="00725333">
        <w:trPr>
          <w:trHeight w:val="238"/>
          <w:jc w:val="center"/>
        </w:trPr>
        <w:tc>
          <w:tcPr>
            <w:tcW w:w="2552" w:type="dxa"/>
            <w:tcBorders>
              <w:top w:val="nil"/>
              <w:bottom w:val="single" w:sz="2" w:space="0" w:color="1F4E79" w:themeColor="accent1" w:themeShade="80"/>
            </w:tcBorders>
            <w:shd w:val="clear" w:color="auto" w:fill="auto"/>
          </w:tcPr>
          <w:p w14:paraId="22860263" w14:textId="77777777" w:rsidR="00375569" w:rsidRPr="0081777C" w:rsidRDefault="00375569" w:rsidP="00673B43">
            <w:pPr>
              <w:pStyle w:val="070-TabelaPadro"/>
              <w:spacing w:line="276" w:lineRule="auto"/>
              <w:ind w:left="-108"/>
              <w:jc w:val="left"/>
              <w:rPr>
                <w:bCs/>
              </w:rPr>
            </w:pPr>
            <w:r w:rsidRPr="0081777C">
              <w:rPr>
                <w:bCs/>
              </w:rPr>
              <w:t>Custo máximo</w:t>
            </w:r>
          </w:p>
        </w:tc>
        <w:tc>
          <w:tcPr>
            <w:tcW w:w="1347" w:type="dxa"/>
            <w:tcBorders>
              <w:top w:val="nil"/>
              <w:bottom w:val="single" w:sz="2" w:space="0" w:color="1F4E79" w:themeColor="accent1" w:themeShade="80"/>
            </w:tcBorders>
            <w:shd w:val="clear" w:color="auto" w:fill="auto"/>
          </w:tcPr>
          <w:p w14:paraId="0A1648FD" w14:textId="77777777" w:rsidR="00375569" w:rsidRPr="0081777C" w:rsidRDefault="00375569" w:rsidP="002A1706">
            <w:pPr>
              <w:pStyle w:val="08-Tabelageral"/>
              <w:ind w:left="113"/>
              <w:rPr>
                <w:rFonts w:cs="Arial"/>
                <w:szCs w:val="14"/>
              </w:rPr>
            </w:pPr>
            <w:r w:rsidRPr="0081777C">
              <w:rPr>
                <w:rFonts w:cs="Arial"/>
                <w:szCs w:val="14"/>
              </w:rPr>
              <w:t>29,15</w:t>
            </w:r>
          </w:p>
        </w:tc>
        <w:tc>
          <w:tcPr>
            <w:tcW w:w="1382" w:type="dxa"/>
            <w:tcBorders>
              <w:top w:val="nil"/>
              <w:bottom w:val="single" w:sz="2" w:space="0" w:color="1F4E79" w:themeColor="accent1" w:themeShade="80"/>
            </w:tcBorders>
            <w:shd w:val="clear" w:color="auto" w:fill="auto"/>
          </w:tcPr>
          <w:p w14:paraId="13FACE28" w14:textId="77777777" w:rsidR="00375569" w:rsidRPr="0081777C" w:rsidRDefault="00375569" w:rsidP="002A1706">
            <w:pPr>
              <w:pStyle w:val="08-Tabelageral"/>
              <w:ind w:left="113"/>
              <w:rPr>
                <w:rFonts w:cs="Arial"/>
                <w:szCs w:val="14"/>
              </w:rPr>
            </w:pPr>
            <w:r w:rsidRPr="0081777C">
              <w:rPr>
                <w:rFonts w:cs="Arial"/>
                <w:szCs w:val="14"/>
              </w:rPr>
              <w:t>27,78</w:t>
            </w:r>
          </w:p>
        </w:tc>
        <w:tc>
          <w:tcPr>
            <w:tcW w:w="1343" w:type="dxa"/>
            <w:tcBorders>
              <w:top w:val="nil"/>
              <w:bottom w:val="single" w:sz="2" w:space="0" w:color="1F4E79" w:themeColor="accent1" w:themeShade="80"/>
            </w:tcBorders>
            <w:shd w:val="clear" w:color="auto" w:fill="auto"/>
          </w:tcPr>
          <w:p w14:paraId="17C38982" w14:textId="77777777" w:rsidR="00375569" w:rsidRPr="0081777C" w:rsidRDefault="00375569" w:rsidP="002A1706">
            <w:pPr>
              <w:pStyle w:val="08-Tabelageral"/>
              <w:ind w:left="113"/>
              <w:rPr>
                <w:rFonts w:cs="Arial"/>
                <w:szCs w:val="14"/>
              </w:rPr>
            </w:pPr>
            <w:r w:rsidRPr="0081777C">
              <w:rPr>
                <w:rFonts w:cs="Arial"/>
                <w:szCs w:val="14"/>
              </w:rPr>
              <w:t>31,93</w:t>
            </w:r>
          </w:p>
        </w:tc>
        <w:tc>
          <w:tcPr>
            <w:tcW w:w="1461" w:type="dxa"/>
            <w:tcBorders>
              <w:top w:val="nil"/>
              <w:bottom w:val="single" w:sz="2" w:space="0" w:color="1F4E79" w:themeColor="accent1" w:themeShade="80"/>
            </w:tcBorders>
            <w:shd w:val="clear" w:color="auto" w:fill="auto"/>
          </w:tcPr>
          <w:p w14:paraId="437F03D0" w14:textId="77777777" w:rsidR="00375569" w:rsidRPr="0081777C" w:rsidRDefault="00375569" w:rsidP="002A1706">
            <w:pPr>
              <w:pStyle w:val="08-Tabelageral"/>
              <w:ind w:left="113"/>
              <w:rPr>
                <w:rFonts w:cs="Arial"/>
                <w:szCs w:val="14"/>
              </w:rPr>
            </w:pPr>
            <w:r w:rsidRPr="0081777C">
              <w:rPr>
                <w:rFonts w:cs="Arial"/>
                <w:szCs w:val="14"/>
              </w:rPr>
              <w:t>24,37</w:t>
            </w:r>
          </w:p>
        </w:tc>
        <w:tc>
          <w:tcPr>
            <w:tcW w:w="1271" w:type="dxa"/>
            <w:tcBorders>
              <w:top w:val="nil"/>
              <w:bottom w:val="single" w:sz="2" w:space="0" w:color="1F4E79" w:themeColor="accent1" w:themeShade="80"/>
            </w:tcBorders>
            <w:shd w:val="clear" w:color="auto" w:fill="auto"/>
          </w:tcPr>
          <w:p w14:paraId="7AC21641" w14:textId="77777777" w:rsidR="00375569" w:rsidRPr="00A71DB7" w:rsidRDefault="00375569" w:rsidP="002A1706">
            <w:pPr>
              <w:pStyle w:val="08-Tabelageral"/>
              <w:ind w:left="113"/>
              <w:rPr>
                <w:rFonts w:cs="Arial"/>
                <w:bCs/>
                <w:szCs w:val="14"/>
              </w:rPr>
            </w:pPr>
            <w:r w:rsidRPr="00A71DB7">
              <w:rPr>
                <w:rFonts w:cs="Arial"/>
                <w:bCs/>
                <w:szCs w:val="14"/>
              </w:rPr>
              <w:t>--</w:t>
            </w:r>
          </w:p>
        </w:tc>
      </w:tr>
    </w:tbl>
    <w:p w14:paraId="687FF9B5" w14:textId="77777777" w:rsidR="00375569" w:rsidRPr="0081777C" w:rsidRDefault="00375569" w:rsidP="005948DC">
      <w:pPr>
        <w:pStyle w:val="01-TtulodeNota"/>
        <w:shd w:val="clear" w:color="auto" w:fill="FFFFFF" w:themeFill="background1"/>
        <w:rPr>
          <w:color w:val="1F4E79" w:themeColor="accent1" w:themeShade="80"/>
        </w:rPr>
      </w:pP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1985"/>
        <w:gridCol w:w="906"/>
        <w:gridCol w:w="1362"/>
        <w:gridCol w:w="1417"/>
        <w:gridCol w:w="1413"/>
        <w:gridCol w:w="1414"/>
        <w:gridCol w:w="1142"/>
      </w:tblGrid>
      <w:tr w:rsidR="00375569" w:rsidRPr="0081777C" w14:paraId="3B160A89" w14:textId="77777777" w:rsidTr="00725333">
        <w:trPr>
          <w:trHeight w:val="238"/>
          <w:jc w:val="center"/>
        </w:trPr>
        <w:tc>
          <w:tcPr>
            <w:tcW w:w="9639" w:type="dxa"/>
            <w:gridSpan w:val="7"/>
            <w:tcBorders>
              <w:top w:val="single" w:sz="2" w:space="0" w:color="1F4E79" w:themeColor="accent1" w:themeShade="80"/>
              <w:bottom w:val="single" w:sz="2" w:space="0" w:color="1F4E79" w:themeColor="accent1" w:themeShade="80"/>
            </w:tcBorders>
            <w:shd w:val="clear" w:color="auto" w:fill="auto"/>
          </w:tcPr>
          <w:p w14:paraId="109B90FE" w14:textId="77777777" w:rsidR="00375569" w:rsidRPr="0081777C" w:rsidRDefault="00375569" w:rsidP="00617852">
            <w:pPr>
              <w:pStyle w:val="08-Tabelageral"/>
              <w:ind w:left="113"/>
              <w:jc w:val="center"/>
              <w:rPr>
                <w:b/>
              </w:rPr>
            </w:pPr>
            <w:r w:rsidRPr="0081777C">
              <w:rPr>
                <w:b/>
              </w:rPr>
              <w:t>Cronograma Estimado de Transferências</w:t>
            </w:r>
          </w:p>
        </w:tc>
      </w:tr>
      <w:tr w:rsidR="00375569" w:rsidRPr="0081777C" w14:paraId="20B4C70B" w14:textId="77777777" w:rsidTr="00725333">
        <w:trPr>
          <w:trHeight w:val="238"/>
          <w:jc w:val="center"/>
        </w:trPr>
        <w:tc>
          <w:tcPr>
            <w:tcW w:w="1985" w:type="dxa"/>
            <w:tcBorders>
              <w:top w:val="single" w:sz="2" w:space="0" w:color="1F4E79" w:themeColor="accent1" w:themeShade="80"/>
            </w:tcBorders>
            <w:shd w:val="clear" w:color="auto" w:fill="auto"/>
          </w:tcPr>
          <w:p w14:paraId="579EEE54" w14:textId="77777777" w:rsidR="00375569" w:rsidRPr="0081777C" w:rsidRDefault="00375569" w:rsidP="00617852">
            <w:pPr>
              <w:pStyle w:val="070-TabelaPadro"/>
              <w:spacing w:line="276" w:lineRule="auto"/>
              <w:jc w:val="left"/>
            </w:pPr>
          </w:p>
        </w:tc>
        <w:tc>
          <w:tcPr>
            <w:tcW w:w="906" w:type="dxa"/>
            <w:tcBorders>
              <w:top w:val="single" w:sz="2" w:space="0" w:color="1F4E79" w:themeColor="accent1" w:themeShade="80"/>
            </w:tcBorders>
            <w:shd w:val="clear" w:color="auto" w:fill="auto"/>
          </w:tcPr>
          <w:p w14:paraId="0729EE13" w14:textId="77777777" w:rsidR="00375569" w:rsidRPr="0081777C" w:rsidRDefault="00375569" w:rsidP="00617852">
            <w:pPr>
              <w:pStyle w:val="08-Tabelageral"/>
              <w:ind w:left="113"/>
              <w:rPr>
                <w:rFonts w:cs="Arial"/>
                <w:b/>
                <w:bCs/>
                <w:szCs w:val="14"/>
              </w:rPr>
            </w:pPr>
            <w:r w:rsidRPr="0081777C">
              <w:rPr>
                <w:rFonts w:cs="Arial"/>
                <w:b/>
                <w:bCs/>
                <w:szCs w:val="14"/>
              </w:rPr>
              <w:t>Período</w:t>
            </w:r>
          </w:p>
        </w:tc>
        <w:tc>
          <w:tcPr>
            <w:tcW w:w="1362" w:type="dxa"/>
            <w:tcBorders>
              <w:top w:val="single" w:sz="2" w:space="0" w:color="1F4E79" w:themeColor="accent1" w:themeShade="80"/>
            </w:tcBorders>
            <w:shd w:val="clear" w:color="auto" w:fill="auto"/>
          </w:tcPr>
          <w:p w14:paraId="6E9F1568" w14:textId="77777777" w:rsidR="00375569" w:rsidRPr="0081777C" w:rsidRDefault="00375569" w:rsidP="00617852">
            <w:pPr>
              <w:pStyle w:val="08-Tabelageral"/>
              <w:ind w:left="113"/>
              <w:rPr>
                <w:rFonts w:cs="Arial"/>
                <w:szCs w:val="14"/>
              </w:rPr>
            </w:pPr>
            <w:r w:rsidRPr="0081777C">
              <w:rPr>
                <w:b/>
                <w:bCs/>
              </w:rPr>
              <w:t>Programa 2017</w:t>
            </w:r>
          </w:p>
        </w:tc>
        <w:tc>
          <w:tcPr>
            <w:tcW w:w="1417" w:type="dxa"/>
            <w:tcBorders>
              <w:top w:val="single" w:sz="2" w:space="0" w:color="1F4E79" w:themeColor="accent1" w:themeShade="80"/>
            </w:tcBorders>
            <w:shd w:val="clear" w:color="auto" w:fill="auto"/>
          </w:tcPr>
          <w:p w14:paraId="6805340F" w14:textId="77777777" w:rsidR="00375569" w:rsidRPr="0081777C" w:rsidRDefault="00375569" w:rsidP="00617852">
            <w:pPr>
              <w:pStyle w:val="08-Tabelageral"/>
              <w:ind w:left="113"/>
              <w:rPr>
                <w:rFonts w:cs="Arial"/>
                <w:szCs w:val="14"/>
              </w:rPr>
            </w:pPr>
            <w:r w:rsidRPr="0081777C">
              <w:rPr>
                <w:b/>
                <w:bCs/>
              </w:rPr>
              <w:t>Programa 2018</w:t>
            </w:r>
          </w:p>
        </w:tc>
        <w:tc>
          <w:tcPr>
            <w:tcW w:w="1413" w:type="dxa"/>
            <w:tcBorders>
              <w:top w:val="single" w:sz="2" w:space="0" w:color="1F4E79" w:themeColor="accent1" w:themeShade="80"/>
            </w:tcBorders>
            <w:shd w:val="clear" w:color="auto" w:fill="auto"/>
          </w:tcPr>
          <w:p w14:paraId="2AAB1844" w14:textId="77777777" w:rsidR="00375569" w:rsidRPr="0081777C" w:rsidRDefault="00375569" w:rsidP="00617852">
            <w:pPr>
              <w:pStyle w:val="08-Tabelageral"/>
              <w:ind w:left="113"/>
              <w:rPr>
                <w:rFonts w:cs="Arial"/>
                <w:szCs w:val="14"/>
              </w:rPr>
            </w:pPr>
            <w:r w:rsidRPr="0081777C">
              <w:rPr>
                <w:b/>
                <w:bCs/>
              </w:rPr>
              <w:t>Programa 2019</w:t>
            </w:r>
          </w:p>
        </w:tc>
        <w:tc>
          <w:tcPr>
            <w:tcW w:w="1414" w:type="dxa"/>
            <w:tcBorders>
              <w:top w:val="single" w:sz="2" w:space="0" w:color="1F4E79" w:themeColor="accent1" w:themeShade="80"/>
            </w:tcBorders>
            <w:shd w:val="clear" w:color="auto" w:fill="auto"/>
          </w:tcPr>
          <w:p w14:paraId="00CEA300" w14:textId="77777777" w:rsidR="00375569" w:rsidRPr="0081777C" w:rsidRDefault="00375569" w:rsidP="00617852">
            <w:pPr>
              <w:pStyle w:val="08-Tabelageral"/>
              <w:ind w:left="113"/>
              <w:rPr>
                <w:rFonts w:cs="Arial"/>
                <w:szCs w:val="14"/>
              </w:rPr>
            </w:pPr>
            <w:r w:rsidRPr="0081777C">
              <w:rPr>
                <w:b/>
                <w:bCs/>
              </w:rPr>
              <w:t>Programa 2020</w:t>
            </w:r>
          </w:p>
        </w:tc>
        <w:tc>
          <w:tcPr>
            <w:tcW w:w="1142" w:type="dxa"/>
            <w:tcBorders>
              <w:top w:val="single" w:sz="2" w:space="0" w:color="1F4E79" w:themeColor="accent1" w:themeShade="80"/>
            </w:tcBorders>
            <w:shd w:val="clear" w:color="auto" w:fill="auto"/>
          </w:tcPr>
          <w:p w14:paraId="124FF69E" w14:textId="77777777" w:rsidR="00375569" w:rsidRPr="0081777C" w:rsidRDefault="00375569" w:rsidP="00617852">
            <w:pPr>
              <w:pStyle w:val="08-Tabelageral"/>
              <w:ind w:left="113"/>
              <w:rPr>
                <w:b/>
                <w:bCs/>
              </w:rPr>
            </w:pPr>
            <w:r w:rsidRPr="0081777C">
              <w:rPr>
                <w:b/>
                <w:bCs/>
              </w:rPr>
              <w:t>Total</w:t>
            </w:r>
          </w:p>
        </w:tc>
      </w:tr>
      <w:tr w:rsidR="00375569" w:rsidRPr="0081777C" w14:paraId="79E4B5A7" w14:textId="77777777" w:rsidTr="00725333">
        <w:trPr>
          <w:trHeight w:val="238"/>
          <w:jc w:val="center"/>
        </w:trPr>
        <w:tc>
          <w:tcPr>
            <w:tcW w:w="1985" w:type="dxa"/>
            <w:shd w:val="clear" w:color="auto" w:fill="auto"/>
          </w:tcPr>
          <w:p w14:paraId="5244C673" w14:textId="77777777" w:rsidR="00375569" w:rsidRPr="0081777C" w:rsidRDefault="00375569" w:rsidP="0013618F">
            <w:pPr>
              <w:pStyle w:val="070-TabelaPadro"/>
              <w:spacing w:line="276" w:lineRule="auto"/>
              <w:ind w:firstLine="176"/>
              <w:jc w:val="left"/>
              <w:rPr>
                <w:b/>
              </w:rPr>
            </w:pPr>
            <w:r w:rsidRPr="0081777C">
              <w:rPr>
                <w:bCs/>
              </w:rPr>
              <w:t>Ações a Distribuir</w:t>
            </w:r>
          </w:p>
        </w:tc>
        <w:tc>
          <w:tcPr>
            <w:tcW w:w="906" w:type="dxa"/>
            <w:shd w:val="clear" w:color="auto" w:fill="auto"/>
          </w:tcPr>
          <w:p w14:paraId="337E1CFB" w14:textId="77777777" w:rsidR="00375569" w:rsidRPr="0081777C" w:rsidRDefault="00375569" w:rsidP="00617852">
            <w:pPr>
              <w:pStyle w:val="08-Tabelageral"/>
              <w:ind w:left="113"/>
              <w:rPr>
                <w:rFonts w:cs="Arial"/>
                <w:bCs/>
                <w:szCs w:val="14"/>
              </w:rPr>
            </w:pPr>
            <w:r w:rsidRPr="0081777C">
              <w:rPr>
                <w:rFonts w:cs="Arial"/>
                <w:bCs/>
                <w:szCs w:val="14"/>
              </w:rPr>
              <w:t>03.2022</w:t>
            </w:r>
          </w:p>
        </w:tc>
        <w:tc>
          <w:tcPr>
            <w:tcW w:w="1362" w:type="dxa"/>
            <w:shd w:val="clear" w:color="auto" w:fill="auto"/>
          </w:tcPr>
          <w:p w14:paraId="082A9A42" w14:textId="77777777" w:rsidR="00375569" w:rsidRPr="0081777C" w:rsidRDefault="00375569" w:rsidP="00617852">
            <w:pPr>
              <w:pStyle w:val="08-Tabelageral"/>
              <w:ind w:left="113"/>
              <w:rPr>
                <w:rFonts w:cs="Arial"/>
                <w:bCs/>
                <w:szCs w:val="14"/>
              </w:rPr>
            </w:pPr>
            <w:r w:rsidRPr="0081777C">
              <w:rPr>
                <w:rFonts w:cs="Arial"/>
                <w:bCs/>
                <w:szCs w:val="14"/>
              </w:rPr>
              <w:t>3.870</w:t>
            </w:r>
          </w:p>
        </w:tc>
        <w:tc>
          <w:tcPr>
            <w:tcW w:w="1417" w:type="dxa"/>
            <w:shd w:val="clear" w:color="auto" w:fill="auto"/>
          </w:tcPr>
          <w:p w14:paraId="656C9DFB" w14:textId="77777777" w:rsidR="00375569" w:rsidRPr="0081777C" w:rsidRDefault="00375569" w:rsidP="00617852">
            <w:pPr>
              <w:pStyle w:val="08-Tabelageral"/>
              <w:ind w:left="113"/>
              <w:rPr>
                <w:rFonts w:cs="Arial"/>
                <w:bCs/>
                <w:szCs w:val="14"/>
              </w:rPr>
            </w:pPr>
            <w:r w:rsidRPr="0081777C">
              <w:rPr>
                <w:rFonts w:cs="Arial"/>
                <w:bCs/>
                <w:szCs w:val="14"/>
              </w:rPr>
              <w:t>3.276</w:t>
            </w:r>
          </w:p>
        </w:tc>
        <w:tc>
          <w:tcPr>
            <w:tcW w:w="1413" w:type="dxa"/>
            <w:shd w:val="clear" w:color="auto" w:fill="auto"/>
          </w:tcPr>
          <w:p w14:paraId="12F59561" w14:textId="77777777" w:rsidR="00375569" w:rsidRPr="0081777C" w:rsidRDefault="00375569" w:rsidP="00617852">
            <w:pPr>
              <w:pStyle w:val="08-Tabelageral"/>
              <w:ind w:left="113"/>
              <w:rPr>
                <w:rFonts w:cs="Arial"/>
                <w:bCs/>
                <w:szCs w:val="14"/>
              </w:rPr>
            </w:pPr>
            <w:r w:rsidRPr="0081777C">
              <w:rPr>
                <w:rFonts w:cs="Arial"/>
                <w:bCs/>
                <w:szCs w:val="14"/>
              </w:rPr>
              <w:t>5.665</w:t>
            </w:r>
          </w:p>
        </w:tc>
        <w:tc>
          <w:tcPr>
            <w:tcW w:w="1414" w:type="dxa"/>
            <w:shd w:val="clear" w:color="auto" w:fill="auto"/>
          </w:tcPr>
          <w:p w14:paraId="727072FE" w14:textId="77777777" w:rsidR="00375569" w:rsidRPr="0081777C" w:rsidRDefault="00375569" w:rsidP="00617852">
            <w:pPr>
              <w:pStyle w:val="08-Tabelageral"/>
              <w:ind w:left="113"/>
              <w:rPr>
                <w:rFonts w:cs="Arial"/>
                <w:bCs/>
                <w:szCs w:val="14"/>
              </w:rPr>
            </w:pPr>
            <w:r w:rsidRPr="0081777C">
              <w:rPr>
                <w:rFonts w:cs="Arial"/>
                <w:bCs/>
                <w:szCs w:val="14"/>
              </w:rPr>
              <w:t>4.487</w:t>
            </w:r>
          </w:p>
        </w:tc>
        <w:tc>
          <w:tcPr>
            <w:tcW w:w="1142" w:type="dxa"/>
            <w:shd w:val="clear" w:color="auto" w:fill="auto"/>
          </w:tcPr>
          <w:p w14:paraId="5EF8626C" w14:textId="77777777" w:rsidR="00375569" w:rsidRPr="0081777C" w:rsidRDefault="00375569" w:rsidP="00617852">
            <w:pPr>
              <w:pStyle w:val="08-Tabelageral"/>
              <w:ind w:left="113"/>
              <w:rPr>
                <w:rFonts w:cs="Arial"/>
                <w:b/>
                <w:szCs w:val="14"/>
              </w:rPr>
            </w:pPr>
            <w:r w:rsidRPr="0081777C">
              <w:rPr>
                <w:rFonts w:cs="Arial"/>
                <w:b/>
                <w:szCs w:val="14"/>
              </w:rPr>
              <w:t>17.298</w:t>
            </w:r>
          </w:p>
        </w:tc>
      </w:tr>
      <w:tr w:rsidR="00375569" w:rsidRPr="0081777C" w14:paraId="0F33597E" w14:textId="77777777" w:rsidTr="00725333">
        <w:trPr>
          <w:trHeight w:val="238"/>
          <w:jc w:val="center"/>
        </w:trPr>
        <w:tc>
          <w:tcPr>
            <w:tcW w:w="1985" w:type="dxa"/>
            <w:shd w:val="clear" w:color="auto" w:fill="auto"/>
          </w:tcPr>
          <w:p w14:paraId="5619C180" w14:textId="77777777" w:rsidR="00375569" w:rsidRPr="0081777C" w:rsidRDefault="00375569" w:rsidP="0013618F">
            <w:pPr>
              <w:pStyle w:val="070-TabelaPadro"/>
              <w:spacing w:line="276" w:lineRule="auto"/>
              <w:ind w:firstLine="176"/>
              <w:jc w:val="left"/>
            </w:pPr>
            <w:r w:rsidRPr="0081777C">
              <w:rPr>
                <w:bCs/>
              </w:rPr>
              <w:t>Ações a Distribuir</w:t>
            </w:r>
          </w:p>
        </w:tc>
        <w:tc>
          <w:tcPr>
            <w:tcW w:w="906" w:type="dxa"/>
            <w:shd w:val="clear" w:color="auto" w:fill="auto"/>
          </w:tcPr>
          <w:p w14:paraId="352132D4" w14:textId="77777777" w:rsidR="00375569" w:rsidRPr="0081777C" w:rsidRDefault="00375569" w:rsidP="00617852">
            <w:pPr>
              <w:pStyle w:val="08-Tabelageral"/>
              <w:ind w:left="113"/>
              <w:rPr>
                <w:rFonts w:cs="Arial"/>
                <w:bCs/>
                <w:szCs w:val="14"/>
              </w:rPr>
            </w:pPr>
            <w:r w:rsidRPr="0081777C">
              <w:rPr>
                <w:rFonts w:cs="Arial"/>
                <w:bCs/>
                <w:szCs w:val="14"/>
              </w:rPr>
              <w:t>03.2023</w:t>
            </w:r>
          </w:p>
        </w:tc>
        <w:tc>
          <w:tcPr>
            <w:tcW w:w="1362" w:type="dxa"/>
            <w:shd w:val="clear" w:color="auto" w:fill="auto"/>
          </w:tcPr>
          <w:p w14:paraId="55A7B4FF"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7" w:type="dxa"/>
            <w:shd w:val="clear" w:color="auto" w:fill="auto"/>
          </w:tcPr>
          <w:p w14:paraId="1DD78D81" w14:textId="77777777" w:rsidR="00375569" w:rsidRPr="0081777C" w:rsidRDefault="00375569" w:rsidP="00617852">
            <w:pPr>
              <w:pStyle w:val="08-Tabelageral"/>
              <w:ind w:left="113"/>
              <w:rPr>
                <w:rFonts w:cs="Arial"/>
                <w:bCs/>
                <w:szCs w:val="14"/>
              </w:rPr>
            </w:pPr>
            <w:r w:rsidRPr="0081777C">
              <w:rPr>
                <w:rFonts w:cs="Arial"/>
                <w:bCs/>
                <w:szCs w:val="14"/>
              </w:rPr>
              <w:t>3.276</w:t>
            </w:r>
          </w:p>
        </w:tc>
        <w:tc>
          <w:tcPr>
            <w:tcW w:w="1413" w:type="dxa"/>
            <w:shd w:val="clear" w:color="auto" w:fill="auto"/>
          </w:tcPr>
          <w:p w14:paraId="715C52CB" w14:textId="77777777" w:rsidR="00375569" w:rsidRPr="0081777C" w:rsidRDefault="00375569" w:rsidP="00617852">
            <w:pPr>
              <w:pStyle w:val="08-Tabelageral"/>
              <w:ind w:left="113"/>
              <w:rPr>
                <w:rFonts w:cs="Arial"/>
                <w:bCs/>
                <w:szCs w:val="14"/>
              </w:rPr>
            </w:pPr>
            <w:r w:rsidRPr="0081777C">
              <w:rPr>
                <w:rFonts w:cs="Arial"/>
                <w:bCs/>
                <w:szCs w:val="14"/>
              </w:rPr>
              <w:t>5.665</w:t>
            </w:r>
          </w:p>
        </w:tc>
        <w:tc>
          <w:tcPr>
            <w:tcW w:w="1414" w:type="dxa"/>
            <w:shd w:val="clear" w:color="auto" w:fill="auto"/>
          </w:tcPr>
          <w:p w14:paraId="7DE13A24" w14:textId="77777777" w:rsidR="00375569" w:rsidRPr="0081777C" w:rsidRDefault="00375569" w:rsidP="00617852">
            <w:pPr>
              <w:pStyle w:val="08-Tabelageral"/>
              <w:ind w:left="113"/>
              <w:rPr>
                <w:rFonts w:cs="Arial"/>
                <w:bCs/>
                <w:szCs w:val="14"/>
              </w:rPr>
            </w:pPr>
            <w:r w:rsidRPr="0081777C">
              <w:rPr>
                <w:rFonts w:cs="Arial"/>
                <w:bCs/>
                <w:szCs w:val="14"/>
              </w:rPr>
              <w:t>4.487</w:t>
            </w:r>
          </w:p>
        </w:tc>
        <w:tc>
          <w:tcPr>
            <w:tcW w:w="1142" w:type="dxa"/>
            <w:shd w:val="clear" w:color="auto" w:fill="auto"/>
          </w:tcPr>
          <w:p w14:paraId="448075C8" w14:textId="77777777" w:rsidR="00375569" w:rsidRPr="0081777C" w:rsidRDefault="00375569" w:rsidP="00617852">
            <w:pPr>
              <w:pStyle w:val="08-Tabelageral"/>
              <w:ind w:left="113"/>
              <w:rPr>
                <w:rFonts w:cs="Arial"/>
                <w:b/>
                <w:szCs w:val="14"/>
              </w:rPr>
            </w:pPr>
            <w:r w:rsidRPr="0081777C">
              <w:rPr>
                <w:rFonts w:cs="Arial"/>
                <w:b/>
                <w:szCs w:val="14"/>
              </w:rPr>
              <w:t>13.428</w:t>
            </w:r>
          </w:p>
        </w:tc>
      </w:tr>
      <w:tr w:rsidR="00375569" w:rsidRPr="0081777C" w14:paraId="50F43F1F" w14:textId="77777777" w:rsidTr="00725333">
        <w:trPr>
          <w:trHeight w:val="238"/>
          <w:jc w:val="center"/>
        </w:trPr>
        <w:tc>
          <w:tcPr>
            <w:tcW w:w="1985" w:type="dxa"/>
            <w:shd w:val="clear" w:color="auto" w:fill="auto"/>
          </w:tcPr>
          <w:p w14:paraId="3FFCF676" w14:textId="77777777" w:rsidR="00375569" w:rsidRPr="0081777C" w:rsidRDefault="00375569" w:rsidP="0013618F">
            <w:pPr>
              <w:pStyle w:val="070-TabelaPadro"/>
              <w:spacing w:line="276" w:lineRule="auto"/>
              <w:ind w:firstLine="176"/>
              <w:jc w:val="left"/>
              <w:rPr>
                <w:b/>
              </w:rPr>
            </w:pPr>
            <w:r w:rsidRPr="0081777C">
              <w:rPr>
                <w:bCs/>
              </w:rPr>
              <w:t>Ações a Distribuir</w:t>
            </w:r>
          </w:p>
        </w:tc>
        <w:tc>
          <w:tcPr>
            <w:tcW w:w="906" w:type="dxa"/>
            <w:shd w:val="clear" w:color="auto" w:fill="auto"/>
          </w:tcPr>
          <w:p w14:paraId="6687F5D7" w14:textId="77777777" w:rsidR="00375569" w:rsidRPr="0081777C" w:rsidRDefault="00375569" w:rsidP="00617852">
            <w:pPr>
              <w:pStyle w:val="08-Tabelageral"/>
              <w:ind w:left="113"/>
              <w:rPr>
                <w:rFonts w:cs="Arial"/>
                <w:bCs/>
                <w:szCs w:val="14"/>
              </w:rPr>
            </w:pPr>
            <w:r w:rsidRPr="0081777C">
              <w:rPr>
                <w:rFonts w:cs="Arial"/>
                <w:bCs/>
                <w:szCs w:val="14"/>
              </w:rPr>
              <w:t>03.2024</w:t>
            </w:r>
          </w:p>
        </w:tc>
        <w:tc>
          <w:tcPr>
            <w:tcW w:w="1362" w:type="dxa"/>
            <w:shd w:val="clear" w:color="auto" w:fill="auto"/>
          </w:tcPr>
          <w:p w14:paraId="08EF254E"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7" w:type="dxa"/>
            <w:shd w:val="clear" w:color="auto" w:fill="auto"/>
          </w:tcPr>
          <w:p w14:paraId="5976DFE6"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3" w:type="dxa"/>
            <w:shd w:val="clear" w:color="auto" w:fill="auto"/>
          </w:tcPr>
          <w:p w14:paraId="40786E18" w14:textId="77777777" w:rsidR="00375569" w:rsidRPr="0081777C" w:rsidRDefault="00375569" w:rsidP="00617852">
            <w:pPr>
              <w:pStyle w:val="08-Tabelageral"/>
              <w:ind w:left="113"/>
              <w:rPr>
                <w:rFonts w:cs="Arial"/>
                <w:bCs/>
                <w:szCs w:val="14"/>
              </w:rPr>
            </w:pPr>
            <w:r w:rsidRPr="0081777C">
              <w:rPr>
                <w:rFonts w:cs="Arial"/>
                <w:bCs/>
                <w:szCs w:val="14"/>
              </w:rPr>
              <w:t>5.665</w:t>
            </w:r>
          </w:p>
        </w:tc>
        <w:tc>
          <w:tcPr>
            <w:tcW w:w="1414" w:type="dxa"/>
            <w:shd w:val="clear" w:color="auto" w:fill="auto"/>
          </w:tcPr>
          <w:p w14:paraId="67246C01" w14:textId="77777777" w:rsidR="00375569" w:rsidRPr="0081777C" w:rsidRDefault="00375569" w:rsidP="00617852">
            <w:pPr>
              <w:pStyle w:val="08-Tabelageral"/>
              <w:ind w:left="113"/>
              <w:rPr>
                <w:rFonts w:cs="Arial"/>
                <w:bCs/>
                <w:szCs w:val="14"/>
              </w:rPr>
            </w:pPr>
            <w:r w:rsidRPr="0081777C">
              <w:rPr>
                <w:rFonts w:cs="Arial"/>
                <w:bCs/>
                <w:szCs w:val="14"/>
              </w:rPr>
              <w:t>4.487</w:t>
            </w:r>
          </w:p>
        </w:tc>
        <w:tc>
          <w:tcPr>
            <w:tcW w:w="1142" w:type="dxa"/>
            <w:shd w:val="clear" w:color="auto" w:fill="auto"/>
          </w:tcPr>
          <w:p w14:paraId="7B5041AB" w14:textId="77777777" w:rsidR="00375569" w:rsidRPr="0081777C" w:rsidRDefault="00375569" w:rsidP="00617852">
            <w:pPr>
              <w:pStyle w:val="08-Tabelageral"/>
              <w:ind w:left="113"/>
              <w:rPr>
                <w:rFonts w:cs="Arial"/>
                <w:b/>
                <w:szCs w:val="14"/>
              </w:rPr>
            </w:pPr>
            <w:r w:rsidRPr="0081777C">
              <w:rPr>
                <w:rFonts w:cs="Arial"/>
                <w:b/>
                <w:szCs w:val="14"/>
              </w:rPr>
              <w:t>10.152</w:t>
            </w:r>
          </w:p>
        </w:tc>
      </w:tr>
      <w:tr w:rsidR="00375569" w:rsidRPr="0081777C" w14:paraId="64A46D10" w14:textId="77777777" w:rsidTr="00725333">
        <w:trPr>
          <w:trHeight w:val="238"/>
          <w:jc w:val="center"/>
        </w:trPr>
        <w:tc>
          <w:tcPr>
            <w:tcW w:w="1985" w:type="dxa"/>
            <w:shd w:val="clear" w:color="auto" w:fill="auto"/>
          </w:tcPr>
          <w:p w14:paraId="452667CC" w14:textId="77777777" w:rsidR="00375569" w:rsidRPr="0081777C" w:rsidRDefault="00375569" w:rsidP="0013618F">
            <w:pPr>
              <w:pStyle w:val="070-TabelaPadro"/>
              <w:spacing w:line="276" w:lineRule="auto"/>
              <w:ind w:firstLine="176"/>
              <w:jc w:val="left"/>
              <w:rPr>
                <w:b/>
              </w:rPr>
            </w:pPr>
            <w:r w:rsidRPr="0081777C">
              <w:rPr>
                <w:bCs/>
              </w:rPr>
              <w:t>Ações a Distribuir</w:t>
            </w:r>
          </w:p>
        </w:tc>
        <w:tc>
          <w:tcPr>
            <w:tcW w:w="906" w:type="dxa"/>
            <w:shd w:val="clear" w:color="auto" w:fill="auto"/>
          </w:tcPr>
          <w:p w14:paraId="6D68C749" w14:textId="77777777" w:rsidR="00375569" w:rsidRPr="0081777C" w:rsidRDefault="00375569" w:rsidP="00617852">
            <w:pPr>
              <w:pStyle w:val="08-Tabelageral"/>
              <w:ind w:left="113"/>
              <w:rPr>
                <w:rFonts w:cs="Arial"/>
                <w:bCs/>
                <w:szCs w:val="14"/>
              </w:rPr>
            </w:pPr>
            <w:r w:rsidRPr="0081777C">
              <w:rPr>
                <w:rFonts w:cs="Arial"/>
                <w:bCs/>
                <w:szCs w:val="14"/>
              </w:rPr>
              <w:t>03.2025</w:t>
            </w:r>
          </w:p>
        </w:tc>
        <w:tc>
          <w:tcPr>
            <w:tcW w:w="1362" w:type="dxa"/>
            <w:shd w:val="clear" w:color="auto" w:fill="auto"/>
          </w:tcPr>
          <w:p w14:paraId="67B234FA"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7" w:type="dxa"/>
            <w:shd w:val="clear" w:color="auto" w:fill="auto"/>
          </w:tcPr>
          <w:p w14:paraId="3AA74598"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3" w:type="dxa"/>
            <w:shd w:val="clear" w:color="auto" w:fill="auto"/>
          </w:tcPr>
          <w:p w14:paraId="3E25ABD7" w14:textId="77777777" w:rsidR="00375569" w:rsidRPr="0081777C" w:rsidRDefault="00375569" w:rsidP="00617852">
            <w:pPr>
              <w:pStyle w:val="08-Tabelageral"/>
              <w:ind w:left="113"/>
              <w:rPr>
                <w:rFonts w:cs="Arial"/>
                <w:bCs/>
                <w:szCs w:val="14"/>
              </w:rPr>
            </w:pPr>
            <w:r w:rsidRPr="0081777C">
              <w:rPr>
                <w:rFonts w:cs="Arial"/>
                <w:bCs/>
                <w:szCs w:val="14"/>
              </w:rPr>
              <w:t>--</w:t>
            </w:r>
          </w:p>
        </w:tc>
        <w:tc>
          <w:tcPr>
            <w:tcW w:w="1414" w:type="dxa"/>
            <w:shd w:val="clear" w:color="auto" w:fill="auto"/>
          </w:tcPr>
          <w:p w14:paraId="463E25DB" w14:textId="77777777" w:rsidR="00375569" w:rsidRPr="0081777C" w:rsidRDefault="00375569" w:rsidP="00617852">
            <w:pPr>
              <w:pStyle w:val="08-Tabelageral"/>
              <w:ind w:left="113"/>
              <w:rPr>
                <w:rFonts w:cs="Arial"/>
                <w:bCs/>
                <w:szCs w:val="14"/>
              </w:rPr>
            </w:pPr>
            <w:r w:rsidRPr="0081777C">
              <w:rPr>
                <w:rFonts w:cs="Arial"/>
                <w:bCs/>
                <w:szCs w:val="14"/>
              </w:rPr>
              <w:t>4.487</w:t>
            </w:r>
          </w:p>
        </w:tc>
        <w:tc>
          <w:tcPr>
            <w:tcW w:w="1142" w:type="dxa"/>
            <w:shd w:val="clear" w:color="auto" w:fill="auto"/>
          </w:tcPr>
          <w:p w14:paraId="593F18BA" w14:textId="77777777" w:rsidR="00375569" w:rsidRPr="0081777C" w:rsidRDefault="00375569" w:rsidP="00617852">
            <w:pPr>
              <w:pStyle w:val="08-Tabelageral"/>
              <w:ind w:left="113"/>
              <w:rPr>
                <w:rFonts w:cs="Arial"/>
                <w:b/>
                <w:szCs w:val="14"/>
              </w:rPr>
            </w:pPr>
            <w:r w:rsidRPr="0081777C">
              <w:rPr>
                <w:rFonts w:cs="Arial"/>
                <w:b/>
                <w:szCs w:val="14"/>
              </w:rPr>
              <w:t>4.487</w:t>
            </w:r>
          </w:p>
        </w:tc>
      </w:tr>
      <w:tr w:rsidR="00375569" w:rsidRPr="00733251" w14:paraId="29299E21" w14:textId="77777777" w:rsidTr="00725333">
        <w:trPr>
          <w:trHeight w:val="238"/>
          <w:jc w:val="center"/>
        </w:trPr>
        <w:tc>
          <w:tcPr>
            <w:tcW w:w="1985" w:type="dxa"/>
            <w:tcBorders>
              <w:bottom w:val="single" w:sz="2" w:space="0" w:color="1F4E79" w:themeColor="accent1" w:themeShade="80"/>
            </w:tcBorders>
            <w:shd w:val="clear" w:color="auto" w:fill="auto"/>
          </w:tcPr>
          <w:p w14:paraId="12F8E252" w14:textId="77777777" w:rsidR="00375569" w:rsidRPr="0081777C" w:rsidRDefault="00375569" w:rsidP="00803971">
            <w:pPr>
              <w:pStyle w:val="070-TabelaPadro"/>
              <w:spacing w:line="276" w:lineRule="auto"/>
              <w:ind w:left="-108"/>
              <w:jc w:val="left"/>
              <w:rPr>
                <w:b/>
              </w:rPr>
            </w:pPr>
            <w:r w:rsidRPr="0081777C">
              <w:rPr>
                <w:b/>
              </w:rPr>
              <w:t>Total de ações a distribuir</w:t>
            </w:r>
          </w:p>
        </w:tc>
        <w:tc>
          <w:tcPr>
            <w:tcW w:w="906" w:type="dxa"/>
            <w:tcBorders>
              <w:bottom w:val="single" w:sz="2" w:space="0" w:color="1F4E79" w:themeColor="accent1" w:themeShade="80"/>
            </w:tcBorders>
            <w:shd w:val="clear" w:color="auto" w:fill="auto"/>
          </w:tcPr>
          <w:p w14:paraId="710F1FA7" w14:textId="77777777" w:rsidR="00375569" w:rsidRPr="0081777C" w:rsidRDefault="00375569" w:rsidP="00617852">
            <w:pPr>
              <w:pStyle w:val="08-Tabelageral"/>
              <w:ind w:left="113"/>
              <w:rPr>
                <w:rFonts w:cs="Arial"/>
                <w:b/>
                <w:szCs w:val="14"/>
              </w:rPr>
            </w:pPr>
          </w:p>
        </w:tc>
        <w:tc>
          <w:tcPr>
            <w:tcW w:w="1362" w:type="dxa"/>
            <w:tcBorders>
              <w:bottom w:val="single" w:sz="2" w:space="0" w:color="1F4E79" w:themeColor="accent1" w:themeShade="80"/>
            </w:tcBorders>
            <w:shd w:val="clear" w:color="auto" w:fill="auto"/>
          </w:tcPr>
          <w:p w14:paraId="6C3E4EE3" w14:textId="77777777" w:rsidR="00375569" w:rsidRPr="0081777C" w:rsidRDefault="00375569" w:rsidP="00617852">
            <w:pPr>
              <w:pStyle w:val="08-Tabelageral"/>
              <w:ind w:left="113"/>
              <w:rPr>
                <w:rFonts w:cs="Arial"/>
                <w:b/>
                <w:szCs w:val="14"/>
              </w:rPr>
            </w:pPr>
            <w:r w:rsidRPr="0081777C">
              <w:rPr>
                <w:rFonts w:cs="Arial"/>
                <w:b/>
                <w:szCs w:val="14"/>
              </w:rPr>
              <w:t>3.870</w:t>
            </w:r>
          </w:p>
        </w:tc>
        <w:tc>
          <w:tcPr>
            <w:tcW w:w="1417" w:type="dxa"/>
            <w:tcBorders>
              <w:bottom w:val="single" w:sz="2" w:space="0" w:color="1F4E79" w:themeColor="accent1" w:themeShade="80"/>
            </w:tcBorders>
            <w:shd w:val="clear" w:color="auto" w:fill="auto"/>
          </w:tcPr>
          <w:p w14:paraId="2D65592C" w14:textId="77777777" w:rsidR="00375569" w:rsidRPr="0081777C" w:rsidRDefault="00375569" w:rsidP="00617852">
            <w:pPr>
              <w:pStyle w:val="08-Tabelageral"/>
              <w:ind w:left="113"/>
              <w:rPr>
                <w:rFonts w:cs="Arial"/>
                <w:b/>
                <w:szCs w:val="14"/>
              </w:rPr>
            </w:pPr>
            <w:r w:rsidRPr="0081777C">
              <w:rPr>
                <w:rFonts w:cs="Arial"/>
                <w:b/>
                <w:szCs w:val="14"/>
              </w:rPr>
              <w:t>6.552</w:t>
            </w:r>
          </w:p>
        </w:tc>
        <w:tc>
          <w:tcPr>
            <w:tcW w:w="1413" w:type="dxa"/>
            <w:tcBorders>
              <w:bottom w:val="single" w:sz="2" w:space="0" w:color="1F4E79" w:themeColor="accent1" w:themeShade="80"/>
            </w:tcBorders>
            <w:shd w:val="clear" w:color="auto" w:fill="auto"/>
          </w:tcPr>
          <w:p w14:paraId="241AA675" w14:textId="77777777" w:rsidR="00375569" w:rsidRPr="0081777C" w:rsidRDefault="00375569" w:rsidP="00617852">
            <w:pPr>
              <w:pStyle w:val="08-Tabelageral"/>
              <w:ind w:left="113"/>
              <w:rPr>
                <w:rFonts w:cs="Arial"/>
                <w:b/>
                <w:szCs w:val="14"/>
              </w:rPr>
            </w:pPr>
            <w:r w:rsidRPr="0081777C">
              <w:rPr>
                <w:rFonts w:cs="Arial"/>
                <w:b/>
                <w:szCs w:val="14"/>
              </w:rPr>
              <w:t>16.995</w:t>
            </w:r>
          </w:p>
        </w:tc>
        <w:tc>
          <w:tcPr>
            <w:tcW w:w="1414" w:type="dxa"/>
            <w:tcBorders>
              <w:bottom w:val="single" w:sz="2" w:space="0" w:color="1F4E79" w:themeColor="accent1" w:themeShade="80"/>
            </w:tcBorders>
            <w:shd w:val="clear" w:color="auto" w:fill="auto"/>
          </w:tcPr>
          <w:p w14:paraId="2D709632" w14:textId="77777777" w:rsidR="00375569" w:rsidRPr="0081777C" w:rsidRDefault="00375569" w:rsidP="00617852">
            <w:pPr>
              <w:pStyle w:val="08-Tabelageral"/>
              <w:ind w:left="113"/>
              <w:rPr>
                <w:rFonts w:cs="Arial"/>
                <w:b/>
                <w:szCs w:val="14"/>
              </w:rPr>
            </w:pPr>
            <w:r w:rsidRPr="0081777C">
              <w:rPr>
                <w:rFonts w:cs="Arial"/>
                <w:b/>
                <w:szCs w:val="14"/>
              </w:rPr>
              <w:t>17.948</w:t>
            </w:r>
          </w:p>
        </w:tc>
        <w:tc>
          <w:tcPr>
            <w:tcW w:w="1142" w:type="dxa"/>
            <w:tcBorders>
              <w:bottom w:val="single" w:sz="2" w:space="0" w:color="1F4E79" w:themeColor="accent1" w:themeShade="80"/>
            </w:tcBorders>
            <w:shd w:val="clear" w:color="auto" w:fill="auto"/>
          </w:tcPr>
          <w:p w14:paraId="533EBEC6" w14:textId="77777777" w:rsidR="00375569" w:rsidRPr="0081777C" w:rsidRDefault="00375569" w:rsidP="00617852">
            <w:pPr>
              <w:pStyle w:val="08-Tabelageral"/>
              <w:ind w:left="113"/>
              <w:rPr>
                <w:rFonts w:cs="Arial"/>
                <w:b/>
                <w:szCs w:val="14"/>
              </w:rPr>
            </w:pPr>
            <w:r w:rsidRPr="0081777C">
              <w:rPr>
                <w:rFonts w:cs="Arial"/>
                <w:b/>
                <w:szCs w:val="14"/>
              </w:rPr>
              <w:t>45.365</w:t>
            </w:r>
          </w:p>
        </w:tc>
      </w:tr>
    </w:tbl>
    <w:p w14:paraId="2098F6F1" w14:textId="77777777" w:rsidR="00725333" w:rsidRDefault="00725333" w:rsidP="004B1E10">
      <w:pPr>
        <w:pStyle w:val="01-Textonormal"/>
        <w:rPr>
          <w:b/>
          <w:bCs/>
          <w:color w:val="1F4E79" w:themeColor="accent1" w:themeShade="80"/>
        </w:rPr>
      </w:pPr>
    </w:p>
    <w:p w14:paraId="3CA4168E" w14:textId="0F613E1F" w:rsidR="00375569" w:rsidRPr="004B1E10" w:rsidRDefault="00375569" w:rsidP="004B1E10">
      <w:pPr>
        <w:pStyle w:val="01-Textonormal"/>
        <w:rPr>
          <w:b/>
          <w:bCs/>
          <w:color w:val="1F4E79" w:themeColor="accent1" w:themeShade="80"/>
        </w:rPr>
      </w:pPr>
      <w:r w:rsidRPr="004B1E10">
        <w:rPr>
          <w:b/>
          <w:bCs/>
          <w:color w:val="1F4E79" w:themeColor="accent1" w:themeShade="80"/>
        </w:rPr>
        <w:t>g.2) Programa de Recompra</w:t>
      </w:r>
    </w:p>
    <w:p w14:paraId="7E0212C2" w14:textId="77777777" w:rsidR="00375569" w:rsidRPr="00353602" w:rsidRDefault="00375569" w:rsidP="006406C5">
      <w:pPr>
        <w:spacing w:before="120" w:after="120"/>
        <w:jc w:val="both"/>
        <w:rPr>
          <w:rFonts w:eastAsia="Times New Roman" w:cs="Times New Roman"/>
          <w:spacing w:val="-2"/>
          <w:szCs w:val="18"/>
          <w:lang w:eastAsia="pt-BR"/>
        </w:rPr>
      </w:pPr>
      <w:r w:rsidRPr="00532403">
        <w:rPr>
          <w:rFonts w:eastAsia="Times New Roman" w:cs="Times New Roman"/>
          <w:spacing w:val="-2"/>
          <w:szCs w:val="18"/>
          <w:lang w:eastAsia="pt-BR"/>
        </w:rPr>
        <w:t xml:space="preserve">Em 15 de outubro de 2015, o Conselho de Administração aprovou o Programa de Recompra de até 10.000.000 de ações de própria emissão da </w:t>
      </w:r>
      <w:r>
        <w:rPr>
          <w:rFonts w:eastAsia="Times New Roman" w:cs="Times New Roman"/>
          <w:spacing w:val="-2"/>
          <w:szCs w:val="18"/>
          <w:lang w:eastAsia="pt-BR"/>
        </w:rPr>
        <w:t>C</w:t>
      </w:r>
      <w:r w:rsidRPr="00532403">
        <w:rPr>
          <w:rFonts w:eastAsia="Times New Roman" w:cs="Times New Roman"/>
          <w:spacing w:val="-2"/>
          <w:szCs w:val="18"/>
          <w:lang w:eastAsia="pt-BR"/>
        </w:rPr>
        <w:t>ompanhia para permanência em tesouraria e posterior alienação ou cancelamento. O prazo de vigência foi de até 365 dias contados a partir da data de aprovação, em consonância com o limite estipulado pela Instrução CVM 567. O Programa de Recompra se encerrou em 14.10.2016 e foram adquiridas 3.360.000 ações no montante de R$ 82.201 mil, com custo mínimo, médio e máximo por ação de R$ 21,09, R$ 24,46 e R$ 27,76, respectivamente.</w:t>
      </w:r>
    </w:p>
    <w:p w14:paraId="3096A020" w14:textId="77777777" w:rsidR="00375569" w:rsidRPr="00353602" w:rsidRDefault="00375569" w:rsidP="006406C5">
      <w:pPr>
        <w:spacing w:before="120" w:after="120"/>
        <w:jc w:val="both"/>
        <w:rPr>
          <w:rFonts w:eastAsia="Times New Roman" w:cs="Times New Roman"/>
          <w:spacing w:val="-2"/>
          <w:szCs w:val="18"/>
          <w:lang w:eastAsia="pt-BR"/>
        </w:rPr>
      </w:pPr>
      <w:r w:rsidRPr="00353602">
        <w:rPr>
          <w:rFonts w:eastAsia="Times New Roman" w:cs="Times New Roman"/>
          <w:spacing w:val="-2"/>
          <w:szCs w:val="18"/>
          <w:lang w:eastAsia="pt-BR"/>
        </w:rPr>
        <w:t xml:space="preserve">Em 27 de outubro de 2016, o Conselho de Administração aprovou o II Programa de Recompra de até 10.000.000 de ações de própria emissão da </w:t>
      </w:r>
      <w:r>
        <w:rPr>
          <w:rFonts w:eastAsia="Times New Roman" w:cs="Times New Roman"/>
          <w:spacing w:val="-2"/>
          <w:szCs w:val="18"/>
          <w:lang w:eastAsia="pt-BR"/>
        </w:rPr>
        <w:t>C</w:t>
      </w:r>
      <w:r w:rsidRPr="00353602">
        <w:rPr>
          <w:rFonts w:eastAsia="Times New Roman" w:cs="Times New Roman"/>
          <w:spacing w:val="-2"/>
          <w:szCs w:val="18"/>
          <w:lang w:eastAsia="pt-BR"/>
        </w:rPr>
        <w:t>ompanhia para permanência em tesouraria e posterior alienação ou cancelamento. O prazo de vigência foi de até 365 dias contado da data de aprovação. O II Programa se encerrou em 26.10.2017 e não foram efetuadas aquisições de ações.</w:t>
      </w:r>
    </w:p>
    <w:p w14:paraId="1D89CB03" w14:textId="77777777" w:rsidR="00375569" w:rsidRPr="00353602" w:rsidRDefault="00375569" w:rsidP="006406C5">
      <w:pPr>
        <w:spacing w:before="120" w:after="120"/>
        <w:jc w:val="both"/>
        <w:rPr>
          <w:rFonts w:eastAsia="Times New Roman" w:cs="Times New Roman"/>
          <w:spacing w:val="-2"/>
          <w:szCs w:val="18"/>
          <w:lang w:eastAsia="pt-BR"/>
        </w:rPr>
      </w:pPr>
      <w:r w:rsidRPr="00353602">
        <w:rPr>
          <w:rFonts w:eastAsia="Times New Roman" w:cs="Times New Roman"/>
          <w:spacing w:val="-2"/>
          <w:szCs w:val="18"/>
          <w:lang w:eastAsia="pt-BR"/>
        </w:rPr>
        <w:t xml:space="preserve">Em 26 de outubro de 2017, o Conselho de Administração aprovou o III Programa de Recompra de até 10.000.000 de ações de própria emissão da </w:t>
      </w:r>
      <w:r>
        <w:rPr>
          <w:rFonts w:eastAsia="Times New Roman" w:cs="Times New Roman"/>
          <w:spacing w:val="-2"/>
          <w:szCs w:val="18"/>
          <w:lang w:eastAsia="pt-BR"/>
        </w:rPr>
        <w:t>C</w:t>
      </w:r>
      <w:r w:rsidRPr="00353602">
        <w:rPr>
          <w:rFonts w:eastAsia="Times New Roman" w:cs="Times New Roman"/>
          <w:spacing w:val="-2"/>
          <w:szCs w:val="18"/>
          <w:lang w:eastAsia="pt-BR"/>
        </w:rPr>
        <w:t xml:space="preserve">ompanhia para permanência em tesouraria e posterior alienação ou cancelamento. O prazo </w:t>
      </w:r>
      <w:r w:rsidRPr="00353602">
        <w:rPr>
          <w:rFonts w:eastAsia="Times New Roman" w:cs="Times New Roman"/>
          <w:spacing w:val="-2"/>
          <w:szCs w:val="18"/>
          <w:lang w:eastAsia="pt-BR"/>
        </w:rPr>
        <w:lastRenderedPageBreak/>
        <w:t>de vigência é de até 365 dias contado da data de aprovação. O II</w:t>
      </w:r>
      <w:r>
        <w:rPr>
          <w:rFonts w:eastAsia="Times New Roman" w:cs="Times New Roman"/>
          <w:spacing w:val="-2"/>
          <w:szCs w:val="18"/>
          <w:lang w:eastAsia="pt-BR"/>
        </w:rPr>
        <w:t>I</w:t>
      </w:r>
      <w:r w:rsidRPr="00353602">
        <w:rPr>
          <w:rFonts w:eastAsia="Times New Roman" w:cs="Times New Roman"/>
          <w:spacing w:val="-2"/>
          <w:szCs w:val="18"/>
          <w:lang w:eastAsia="pt-BR"/>
        </w:rPr>
        <w:t xml:space="preserve"> Programa se encerrou em 25.10.2018 e não foram efetuadas aquisições de ações.</w:t>
      </w:r>
    </w:p>
    <w:p w14:paraId="4A3DEE55" w14:textId="77777777" w:rsidR="00375569" w:rsidRPr="00353602" w:rsidRDefault="00375569" w:rsidP="006406C5">
      <w:pPr>
        <w:spacing w:before="120" w:after="120"/>
        <w:jc w:val="both"/>
        <w:rPr>
          <w:rFonts w:eastAsia="Times New Roman" w:cs="Times New Roman"/>
          <w:spacing w:val="-2"/>
          <w:szCs w:val="18"/>
          <w:lang w:eastAsia="pt-BR"/>
        </w:rPr>
      </w:pPr>
      <w:r w:rsidRPr="00353602">
        <w:rPr>
          <w:rFonts w:eastAsia="Times New Roman" w:cs="Times New Roman"/>
          <w:spacing w:val="-2"/>
          <w:szCs w:val="18"/>
          <w:lang w:eastAsia="pt-BR"/>
        </w:rPr>
        <w:t xml:space="preserve">No dia primeiro de novembro de 2018, o Conselho de Administração aprovou o IV Programa de Recompra de até 10.000.000 de ações de própria emissão da </w:t>
      </w:r>
      <w:r>
        <w:rPr>
          <w:rFonts w:eastAsia="Times New Roman" w:cs="Times New Roman"/>
          <w:spacing w:val="-2"/>
          <w:szCs w:val="18"/>
          <w:lang w:eastAsia="pt-BR"/>
        </w:rPr>
        <w:t>C</w:t>
      </w:r>
      <w:r w:rsidRPr="00353602">
        <w:rPr>
          <w:rFonts w:eastAsia="Times New Roman" w:cs="Times New Roman"/>
          <w:spacing w:val="-2"/>
          <w:szCs w:val="18"/>
          <w:lang w:eastAsia="pt-BR"/>
        </w:rPr>
        <w:t>ompanhia para permanência em tesouraria e posterior alienação ou cancelamento. O prazo de vigência é de até 365 dias contado da data de aprovação</w:t>
      </w:r>
      <w:r>
        <w:rPr>
          <w:rFonts w:eastAsia="Times New Roman" w:cs="Times New Roman"/>
          <w:spacing w:val="-2"/>
          <w:szCs w:val="18"/>
          <w:lang w:eastAsia="pt-BR"/>
        </w:rPr>
        <w:t xml:space="preserve">, sendo que </w:t>
      </w:r>
      <w:r w:rsidRPr="00353602">
        <w:rPr>
          <w:rFonts w:eastAsia="Times New Roman" w:cs="Times New Roman"/>
          <w:spacing w:val="-2"/>
          <w:szCs w:val="18"/>
          <w:lang w:eastAsia="pt-BR"/>
        </w:rPr>
        <w:t>não houve aquisição de ações por conta do IV Programa</w:t>
      </w:r>
      <w:r>
        <w:rPr>
          <w:rFonts w:eastAsia="Times New Roman" w:cs="Times New Roman"/>
          <w:spacing w:val="-2"/>
          <w:szCs w:val="18"/>
          <w:lang w:eastAsia="pt-BR"/>
        </w:rPr>
        <w:t xml:space="preserve"> até o seu encerramento em 31.10.2019</w:t>
      </w:r>
      <w:r w:rsidRPr="00353602">
        <w:rPr>
          <w:rFonts w:eastAsia="Times New Roman" w:cs="Times New Roman"/>
          <w:spacing w:val="-2"/>
          <w:szCs w:val="18"/>
          <w:lang w:eastAsia="pt-BR"/>
        </w:rPr>
        <w:t>.</w:t>
      </w:r>
      <w:r>
        <w:rPr>
          <w:rFonts w:eastAsia="Times New Roman" w:cs="Times New Roman"/>
          <w:spacing w:val="-2"/>
          <w:szCs w:val="18"/>
          <w:lang w:eastAsia="pt-BR"/>
        </w:rPr>
        <w:t xml:space="preserve"> A Companhia, até a presenta data, não aprovou um novo Programa de Recompra. </w:t>
      </w:r>
    </w:p>
    <w:p w14:paraId="44ED0E37" w14:textId="77777777" w:rsidR="00375569" w:rsidRDefault="00375569" w:rsidP="006406C5">
      <w:pPr>
        <w:spacing w:before="120" w:after="120"/>
        <w:jc w:val="both"/>
        <w:rPr>
          <w:rFonts w:eastAsia="Times New Roman" w:cs="Times New Roman"/>
          <w:spacing w:val="-2"/>
          <w:szCs w:val="18"/>
          <w:lang w:eastAsia="pt-BR"/>
        </w:rPr>
      </w:pPr>
      <w:r w:rsidRPr="00353602">
        <w:rPr>
          <w:rFonts w:eastAsia="Times New Roman" w:cs="Times New Roman"/>
          <w:spacing w:val="-2"/>
          <w:szCs w:val="18"/>
          <w:lang w:eastAsia="pt-BR"/>
        </w:rPr>
        <w:t>Em 21 de dezembro de 2018 foram distribuídas 450 ações em tesouraria, provenientes do Programa de Recompra realizado em 2015, a todos os funcionários da ativa da BB Seguridade (desconsiderando-se os estatutários) a título de premiação, independentemente do nível hierárquico, onde cada funcionário recebeu 3 ações ordinárias. Os papeis estão custodiados no Banco do Brasil e somente poderão ser comercializados pelo funcionário após o término da relação mantida com a BB Seguridade (fim da cessão decorrente do Convênio de Disponibilidade firmado entre o Banco do Brasil S/A e a BB Seguridade). As ações transferidas totalizaram R$ 12.451,50 considerado o preço de fechamento médio da semana anterior à do pagamento.</w:t>
      </w:r>
    </w:p>
    <w:p w14:paraId="55473DEE" w14:textId="77777777" w:rsidR="00375569" w:rsidRDefault="00375569" w:rsidP="00CD04B8">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30 de outubro de 2019 a Assembleia Geral de Acionistas autorizou a negociação das ações de emissão da BB Seguridade mantidas em tesouraria, especificamente para premiação de empregados e remuneração variável de diretores da Companhia, até o limite de 3.359.550 de ações, e autorizou o Conselho de Administração a definir e implementar a melhor forma e o momento para realizar a referida negociação. </w:t>
      </w:r>
    </w:p>
    <w:p w14:paraId="2D82D63A" w14:textId="77777777" w:rsidR="00725333" w:rsidRDefault="00725333" w:rsidP="004B1E10">
      <w:pPr>
        <w:pStyle w:val="01-Textonormal"/>
        <w:rPr>
          <w:b/>
          <w:bCs/>
          <w:color w:val="1F4E79" w:themeColor="accent1" w:themeShade="80"/>
        </w:rPr>
      </w:pPr>
    </w:p>
    <w:p w14:paraId="291FA728" w14:textId="7FE92023" w:rsidR="00375569" w:rsidRPr="004B1E10" w:rsidRDefault="00375569" w:rsidP="004B1E10">
      <w:pPr>
        <w:pStyle w:val="01-Textonormal"/>
        <w:rPr>
          <w:b/>
          <w:bCs/>
          <w:color w:val="1F4E79" w:themeColor="accent1" w:themeShade="80"/>
        </w:rPr>
      </w:pPr>
      <w:r w:rsidRPr="004B1E10">
        <w:rPr>
          <w:b/>
          <w:bCs/>
          <w:color w:val="1F4E79" w:themeColor="accent1" w:themeShade="80"/>
        </w:rPr>
        <w:t>g.3) Programa de Premiação de Funcionário</w:t>
      </w:r>
    </w:p>
    <w:p w14:paraId="3E5C7F40" w14:textId="77777777" w:rsidR="00375569" w:rsidRDefault="00375569" w:rsidP="00A95BCB">
      <w:pPr>
        <w:spacing w:before="120" w:after="120"/>
        <w:jc w:val="both"/>
        <w:rPr>
          <w:rFonts w:eastAsia="Times New Roman" w:cs="Times New Roman"/>
          <w:spacing w:val="-2"/>
          <w:szCs w:val="18"/>
          <w:lang w:eastAsia="pt-BR"/>
        </w:rPr>
      </w:pPr>
      <w:r>
        <w:rPr>
          <w:rFonts w:eastAsia="Times New Roman" w:cs="Times New Roman"/>
          <w:spacing w:val="-2"/>
          <w:szCs w:val="18"/>
          <w:lang w:eastAsia="pt-BR"/>
        </w:rPr>
        <w:t>E</w:t>
      </w:r>
      <w:r w:rsidRPr="00A95BCB">
        <w:rPr>
          <w:rFonts w:eastAsia="Times New Roman" w:cs="Times New Roman"/>
          <w:spacing w:val="-2"/>
          <w:szCs w:val="18"/>
          <w:lang w:eastAsia="pt-BR"/>
        </w:rPr>
        <w:t>m 18 de dezembro</w:t>
      </w:r>
      <w:r>
        <w:rPr>
          <w:rFonts w:eastAsia="Times New Roman" w:cs="Times New Roman"/>
          <w:spacing w:val="-2"/>
          <w:szCs w:val="18"/>
          <w:lang w:eastAsia="pt-BR"/>
        </w:rPr>
        <w:t xml:space="preserve"> de 2019</w:t>
      </w:r>
      <w:r w:rsidRPr="00A95BCB">
        <w:rPr>
          <w:rFonts w:eastAsia="Times New Roman" w:cs="Times New Roman"/>
          <w:spacing w:val="-2"/>
          <w:szCs w:val="18"/>
          <w:lang w:eastAsia="pt-BR"/>
        </w:rPr>
        <w:t xml:space="preserve"> </w:t>
      </w:r>
      <w:r w:rsidRPr="002F417F">
        <w:rPr>
          <w:rFonts w:eastAsia="Times New Roman" w:cs="Times New Roman"/>
          <w:spacing w:val="-2"/>
          <w:szCs w:val="18"/>
          <w:lang w:eastAsia="pt-BR"/>
        </w:rPr>
        <w:t>o Conselho de Administração aprovou o Programa de Premiação de Funcionários, que tem por objetivo reconhecer funcionários da BB Seguros de cargos não-estatutários</w:t>
      </w:r>
      <w:r>
        <w:rPr>
          <w:rFonts w:eastAsia="Times New Roman" w:cs="Times New Roman"/>
          <w:spacing w:val="-2"/>
          <w:szCs w:val="18"/>
          <w:lang w:eastAsia="pt-BR"/>
        </w:rPr>
        <w:t>,</w:t>
      </w:r>
      <w:r w:rsidRPr="0075155C">
        <w:rPr>
          <w:rFonts w:eastAsia="Times New Roman" w:cs="Times New Roman"/>
          <w:spacing w:val="-2"/>
          <w:szCs w:val="18"/>
          <w:lang w:eastAsia="pt-BR"/>
        </w:rPr>
        <w:t xml:space="preserve"> </w:t>
      </w:r>
      <w:r w:rsidRPr="00797C90">
        <w:rPr>
          <w:rFonts w:eastAsia="Times New Roman" w:cs="Times New Roman"/>
          <w:spacing w:val="-2"/>
          <w:szCs w:val="18"/>
          <w:lang w:eastAsia="pt-BR"/>
        </w:rPr>
        <w:t xml:space="preserve">com desempenho destacado na Comissão de Desenvolvimento e Carreira. </w:t>
      </w:r>
      <w:r w:rsidRPr="00FA25A3">
        <w:rPr>
          <w:rFonts w:eastAsia="Times New Roman" w:cs="Times New Roman"/>
          <w:spacing w:val="-2"/>
          <w:szCs w:val="18"/>
          <w:lang w:eastAsia="pt-BR"/>
        </w:rPr>
        <w:t>Considerando a nova redação do § 4º do art. 457 da CLT, alterado pela Lei nº 13.467/2017, o programa é enquadrado como premiação e não há incidência de encargos trabalhistas e previdenciários.</w:t>
      </w:r>
    </w:p>
    <w:p w14:paraId="7D8A8C4B" w14:textId="77777777" w:rsidR="00375569" w:rsidRPr="002F417F" w:rsidRDefault="00375569" w:rsidP="00A95BCB">
      <w:pPr>
        <w:spacing w:before="120" w:after="120"/>
        <w:jc w:val="both"/>
        <w:rPr>
          <w:szCs w:val="18"/>
        </w:rPr>
      </w:pPr>
      <w:r w:rsidRPr="001813B3">
        <w:rPr>
          <w:rFonts w:eastAsia="Times New Roman" w:cs="Times New Roman"/>
          <w:spacing w:val="-2"/>
          <w:szCs w:val="18"/>
          <w:lang w:eastAsia="pt-BR"/>
        </w:rPr>
        <w:t xml:space="preserve">A ativação </w:t>
      </w:r>
      <w:r>
        <w:rPr>
          <w:rFonts w:eastAsia="Times New Roman" w:cs="Times New Roman"/>
          <w:spacing w:val="-2"/>
          <w:szCs w:val="18"/>
          <w:lang w:eastAsia="pt-BR"/>
        </w:rPr>
        <w:t xml:space="preserve">do programa </w:t>
      </w:r>
      <w:r w:rsidRPr="001813B3">
        <w:rPr>
          <w:rFonts w:eastAsia="Times New Roman" w:cs="Times New Roman"/>
          <w:spacing w:val="-2"/>
          <w:szCs w:val="18"/>
          <w:lang w:eastAsia="pt-BR"/>
        </w:rPr>
        <w:t>ocorre anualmente e está condicionada à superação do Lucro Líquido orçado da Companhia.</w:t>
      </w:r>
      <w:r>
        <w:rPr>
          <w:rFonts w:eastAsia="Times New Roman" w:cs="Times New Roman"/>
          <w:spacing w:val="-2"/>
          <w:szCs w:val="18"/>
          <w:lang w:eastAsia="pt-BR"/>
        </w:rPr>
        <w:t xml:space="preserve"> </w:t>
      </w:r>
      <w:r w:rsidRPr="002F417F">
        <w:rPr>
          <w:rFonts w:eastAsia="Times New Roman" w:cs="Times New Roman"/>
          <w:spacing w:val="-2"/>
          <w:szCs w:val="18"/>
          <w:lang w:eastAsia="pt-BR"/>
        </w:rPr>
        <w:t>O público</w:t>
      </w:r>
      <w:r>
        <w:rPr>
          <w:rFonts w:eastAsia="Times New Roman" w:cs="Times New Roman"/>
          <w:spacing w:val="-2"/>
          <w:szCs w:val="18"/>
          <w:lang w:eastAsia="pt-BR"/>
        </w:rPr>
        <w:t>-</w:t>
      </w:r>
      <w:r w:rsidRPr="002F417F">
        <w:rPr>
          <w:rFonts w:eastAsia="Times New Roman" w:cs="Times New Roman"/>
          <w:spacing w:val="-2"/>
          <w:szCs w:val="18"/>
          <w:lang w:eastAsia="pt-BR"/>
        </w:rPr>
        <w:t>alvo é limitado a, no máximo, 30% dos funcionários por cargo, no caso de funções gerenciais ou equivalentes, e por cargo e por diretoria, no caso de funções técnicas. O critério de escolha dos funcionários envolve avaliação de competências técnicas e comportamentais, atingimento de metas e estilo de gestão.</w:t>
      </w:r>
    </w:p>
    <w:p w14:paraId="4735157A" w14:textId="77777777" w:rsidR="00375569" w:rsidRPr="002F417F" w:rsidRDefault="00375569" w:rsidP="00A95BCB">
      <w:pPr>
        <w:spacing w:before="120" w:after="120"/>
        <w:jc w:val="both"/>
        <w:rPr>
          <w:rFonts w:eastAsia="Times New Roman" w:cs="Times New Roman"/>
          <w:spacing w:val="-2"/>
          <w:szCs w:val="18"/>
          <w:lang w:eastAsia="pt-BR"/>
        </w:rPr>
      </w:pPr>
      <w:r w:rsidRPr="002F417F">
        <w:rPr>
          <w:rFonts w:eastAsia="Times New Roman" w:cs="Times New Roman"/>
          <w:spacing w:val="-2"/>
          <w:szCs w:val="18"/>
          <w:lang w:eastAsia="pt-BR"/>
        </w:rPr>
        <w:t xml:space="preserve">O crédito do prêmio é realizado 100% (cem por cento) em ações da BB Seguridade S.A. (BBSE3), após devido recolhimento de Imposto de Renda, em duas parcelas iguais, a primeira em até 10 dias após a divulgação do resultado e a segunda um ano após o pagamento da primeira. As ações utilizadas serão as já existentes em Tesouraria, oriundos do Programa de Recompra de Ações, cujo custo médio de aquisição foi de R$ 24,46. </w:t>
      </w:r>
    </w:p>
    <w:p w14:paraId="5A85C974" w14:textId="77777777" w:rsidR="00375569" w:rsidRPr="002F417F" w:rsidRDefault="00375569" w:rsidP="00A95BCB">
      <w:pPr>
        <w:spacing w:before="120" w:after="120"/>
        <w:jc w:val="both"/>
        <w:rPr>
          <w:rFonts w:eastAsia="Times New Roman" w:cs="Times New Roman"/>
          <w:spacing w:val="-2"/>
          <w:szCs w:val="18"/>
          <w:lang w:eastAsia="pt-BR"/>
        </w:rPr>
      </w:pPr>
      <w:r w:rsidRPr="002F417F">
        <w:rPr>
          <w:rFonts w:eastAsia="Times New Roman" w:cs="Times New Roman"/>
          <w:spacing w:val="-2"/>
          <w:szCs w:val="18"/>
          <w:lang w:eastAsia="pt-BR"/>
        </w:rPr>
        <w:t>As negociações com ações BBSE3 recebidas no âmbito do Programa de Premiação de Funcionários estão sujeitas às regras da Política de Negociação com Valores Mobiliários da BB Seguridade.</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94"/>
        <w:gridCol w:w="1239"/>
        <w:gridCol w:w="858"/>
        <w:gridCol w:w="840"/>
        <w:gridCol w:w="864"/>
        <w:gridCol w:w="1037"/>
        <w:gridCol w:w="881"/>
        <w:gridCol w:w="1226"/>
      </w:tblGrid>
      <w:tr w:rsidR="00375569" w:rsidRPr="00260E16" w14:paraId="7A91E6FF" w14:textId="77777777" w:rsidTr="00725333">
        <w:trPr>
          <w:trHeight w:val="238"/>
          <w:jc w:val="center"/>
        </w:trPr>
        <w:tc>
          <w:tcPr>
            <w:tcW w:w="2694" w:type="dxa"/>
            <w:tcBorders>
              <w:top w:val="single" w:sz="2" w:space="0" w:color="1F4E79" w:themeColor="accent1" w:themeShade="80"/>
              <w:bottom w:val="single" w:sz="2" w:space="0" w:color="1F4E79" w:themeColor="accent1" w:themeShade="80"/>
            </w:tcBorders>
            <w:shd w:val="clear" w:color="auto" w:fill="auto"/>
            <w:vAlign w:val="center"/>
          </w:tcPr>
          <w:p w14:paraId="598E42B4" w14:textId="77777777" w:rsidR="00375569" w:rsidRPr="00260E16" w:rsidRDefault="00375569" w:rsidP="00260E16">
            <w:pPr>
              <w:pStyle w:val="08-Tabelageral"/>
              <w:jc w:val="center"/>
              <w:rPr>
                <w:b/>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41A1CBE2" w14:textId="77777777" w:rsidR="00375569" w:rsidRPr="00260E16" w:rsidRDefault="00375569" w:rsidP="00260E16">
            <w:pPr>
              <w:pStyle w:val="08-Tabelageral"/>
              <w:jc w:val="center"/>
              <w:rPr>
                <w:b/>
              </w:rPr>
            </w:pPr>
            <w:r w:rsidRPr="00260E16">
              <w:rPr>
                <w:b/>
              </w:rPr>
              <w:t>Total de Ações do Programa</w:t>
            </w:r>
          </w:p>
        </w:tc>
        <w:tc>
          <w:tcPr>
            <w:tcW w:w="858" w:type="dxa"/>
            <w:tcBorders>
              <w:top w:val="single" w:sz="2" w:space="0" w:color="1F4E79" w:themeColor="accent1" w:themeShade="80"/>
              <w:bottom w:val="single" w:sz="2" w:space="0" w:color="1F4E79" w:themeColor="accent1" w:themeShade="80"/>
            </w:tcBorders>
            <w:shd w:val="clear" w:color="auto" w:fill="auto"/>
            <w:vAlign w:val="center"/>
          </w:tcPr>
          <w:p w14:paraId="7717646E" w14:textId="77777777" w:rsidR="00375569" w:rsidRPr="00260E16" w:rsidRDefault="00375569" w:rsidP="00260E16">
            <w:pPr>
              <w:pStyle w:val="08-Tabelageral"/>
              <w:jc w:val="center"/>
              <w:rPr>
                <w:b/>
              </w:rPr>
            </w:pPr>
            <w:r w:rsidRPr="00260E16">
              <w:rPr>
                <w:b/>
              </w:rPr>
              <w:t>Custo mínimo</w:t>
            </w:r>
          </w:p>
        </w:tc>
        <w:tc>
          <w:tcPr>
            <w:tcW w:w="840" w:type="dxa"/>
            <w:tcBorders>
              <w:top w:val="single" w:sz="2" w:space="0" w:color="1F4E79" w:themeColor="accent1" w:themeShade="80"/>
              <w:bottom w:val="single" w:sz="2" w:space="0" w:color="1F4E79" w:themeColor="accent1" w:themeShade="80"/>
            </w:tcBorders>
            <w:shd w:val="clear" w:color="auto" w:fill="auto"/>
            <w:vAlign w:val="center"/>
          </w:tcPr>
          <w:p w14:paraId="5774CD2A" w14:textId="77777777" w:rsidR="00375569" w:rsidRPr="00260E16" w:rsidRDefault="00375569" w:rsidP="00260E16">
            <w:pPr>
              <w:pStyle w:val="08-Tabelageral"/>
              <w:jc w:val="center"/>
              <w:rPr>
                <w:b/>
              </w:rPr>
            </w:pPr>
            <w:r w:rsidRPr="00260E16">
              <w:rPr>
                <w:b/>
              </w:rPr>
              <w:t>Custo médio</w:t>
            </w:r>
          </w:p>
        </w:tc>
        <w:tc>
          <w:tcPr>
            <w:tcW w:w="864" w:type="dxa"/>
            <w:tcBorders>
              <w:top w:val="single" w:sz="2" w:space="0" w:color="1F4E79" w:themeColor="accent1" w:themeShade="80"/>
              <w:bottom w:val="single" w:sz="2" w:space="0" w:color="1F4E79" w:themeColor="accent1" w:themeShade="80"/>
            </w:tcBorders>
            <w:shd w:val="clear" w:color="auto" w:fill="auto"/>
            <w:vAlign w:val="center"/>
          </w:tcPr>
          <w:p w14:paraId="36EFB22E" w14:textId="77777777" w:rsidR="00375569" w:rsidRPr="00260E16" w:rsidRDefault="00375569" w:rsidP="00260E16">
            <w:pPr>
              <w:pStyle w:val="08-Tabelageral"/>
              <w:jc w:val="center"/>
              <w:rPr>
                <w:b/>
              </w:rPr>
            </w:pPr>
            <w:r w:rsidRPr="00260E16">
              <w:rPr>
                <w:b/>
              </w:rPr>
              <w:t>Custo máximo</w:t>
            </w:r>
          </w:p>
        </w:tc>
        <w:tc>
          <w:tcPr>
            <w:tcW w:w="1037" w:type="dxa"/>
            <w:tcBorders>
              <w:top w:val="single" w:sz="2" w:space="0" w:color="1F4E79" w:themeColor="accent1" w:themeShade="80"/>
              <w:bottom w:val="single" w:sz="2" w:space="0" w:color="1F4E79" w:themeColor="accent1" w:themeShade="80"/>
            </w:tcBorders>
            <w:shd w:val="clear" w:color="auto" w:fill="auto"/>
            <w:vAlign w:val="center"/>
          </w:tcPr>
          <w:p w14:paraId="24935419" w14:textId="77777777" w:rsidR="00375569" w:rsidRPr="00260E16" w:rsidRDefault="00375569" w:rsidP="00260E16">
            <w:pPr>
              <w:pStyle w:val="08-Tabelageral"/>
              <w:jc w:val="center"/>
              <w:rPr>
                <w:b/>
              </w:rPr>
            </w:pPr>
            <w:r w:rsidRPr="00260E16">
              <w:rPr>
                <w:b/>
              </w:rPr>
              <w:t>Ações Distribuídas</w:t>
            </w:r>
          </w:p>
        </w:tc>
        <w:tc>
          <w:tcPr>
            <w:tcW w:w="881" w:type="dxa"/>
            <w:tcBorders>
              <w:top w:val="single" w:sz="2" w:space="0" w:color="1F4E79" w:themeColor="accent1" w:themeShade="80"/>
              <w:bottom w:val="single" w:sz="2" w:space="0" w:color="1F4E79" w:themeColor="accent1" w:themeShade="80"/>
            </w:tcBorders>
            <w:shd w:val="clear" w:color="auto" w:fill="auto"/>
            <w:vAlign w:val="center"/>
          </w:tcPr>
          <w:p w14:paraId="430DFE33" w14:textId="77777777" w:rsidR="00375569" w:rsidRPr="00260E16" w:rsidRDefault="00375569" w:rsidP="00260E16">
            <w:pPr>
              <w:pStyle w:val="08-Tabelageral"/>
              <w:jc w:val="center"/>
              <w:rPr>
                <w:b/>
              </w:rPr>
            </w:pPr>
            <w:r w:rsidRPr="00260E16">
              <w:rPr>
                <w:b/>
              </w:rPr>
              <w:t>Ações a Distribuir</w:t>
            </w:r>
          </w:p>
        </w:tc>
        <w:tc>
          <w:tcPr>
            <w:tcW w:w="1226" w:type="dxa"/>
            <w:tcBorders>
              <w:top w:val="single" w:sz="2" w:space="0" w:color="1F4E79" w:themeColor="accent1" w:themeShade="80"/>
              <w:bottom w:val="single" w:sz="2" w:space="0" w:color="1F4E79" w:themeColor="accent1" w:themeShade="80"/>
            </w:tcBorders>
            <w:shd w:val="clear" w:color="auto" w:fill="auto"/>
            <w:vAlign w:val="center"/>
          </w:tcPr>
          <w:p w14:paraId="0ADDD06F" w14:textId="77777777" w:rsidR="00375569" w:rsidRPr="00260E16" w:rsidRDefault="00375569" w:rsidP="00260E16">
            <w:pPr>
              <w:pStyle w:val="08-Tabelageral"/>
              <w:jc w:val="center"/>
              <w:rPr>
                <w:b/>
              </w:rPr>
            </w:pPr>
            <w:r w:rsidRPr="00260E16">
              <w:rPr>
                <w:b/>
              </w:rPr>
              <w:t>Cronograma Estimado de Transferências</w:t>
            </w:r>
          </w:p>
        </w:tc>
      </w:tr>
      <w:tr w:rsidR="00375569" w:rsidRPr="00274EB6" w14:paraId="60D93A98" w14:textId="77777777" w:rsidTr="00725333">
        <w:trPr>
          <w:trHeight w:val="238"/>
          <w:jc w:val="center"/>
        </w:trPr>
        <w:tc>
          <w:tcPr>
            <w:tcW w:w="2694" w:type="dxa"/>
            <w:tcBorders>
              <w:top w:val="single" w:sz="2" w:space="0" w:color="1F4E79" w:themeColor="accent1" w:themeShade="80"/>
              <w:bottom w:val="nil"/>
            </w:tcBorders>
            <w:shd w:val="clear" w:color="auto" w:fill="auto"/>
          </w:tcPr>
          <w:p w14:paraId="4A57B913" w14:textId="77777777" w:rsidR="00375569" w:rsidRPr="00274EB6" w:rsidRDefault="00375569" w:rsidP="0013618F">
            <w:pPr>
              <w:pStyle w:val="070-TabelaPadro"/>
              <w:spacing w:line="276" w:lineRule="auto"/>
              <w:ind w:left="-108" w:firstLine="284"/>
              <w:jc w:val="left"/>
            </w:pPr>
            <w:r w:rsidRPr="00274EB6">
              <w:t>Programa 20</w:t>
            </w:r>
            <w:r>
              <w:t>20</w:t>
            </w:r>
          </w:p>
        </w:tc>
        <w:tc>
          <w:tcPr>
            <w:tcW w:w="1239" w:type="dxa"/>
            <w:tcBorders>
              <w:top w:val="single" w:sz="2" w:space="0" w:color="1F4E79" w:themeColor="accent1" w:themeShade="80"/>
              <w:bottom w:val="nil"/>
            </w:tcBorders>
            <w:shd w:val="clear" w:color="auto" w:fill="auto"/>
          </w:tcPr>
          <w:p w14:paraId="2263F23C" w14:textId="77777777" w:rsidR="00375569" w:rsidRPr="0081777C" w:rsidRDefault="00375569" w:rsidP="002F417F">
            <w:pPr>
              <w:pStyle w:val="08-Tabelageral"/>
              <w:ind w:left="113"/>
              <w:rPr>
                <w:rFonts w:cs="Arial"/>
                <w:szCs w:val="14"/>
              </w:rPr>
            </w:pPr>
            <w:r w:rsidRPr="0081777C">
              <w:rPr>
                <w:rFonts w:cs="Arial"/>
                <w:szCs w:val="14"/>
              </w:rPr>
              <w:t>38.263</w:t>
            </w:r>
          </w:p>
        </w:tc>
        <w:tc>
          <w:tcPr>
            <w:tcW w:w="858" w:type="dxa"/>
            <w:tcBorders>
              <w:top w:val="single" w:sz="2" w:space="0" w:color="1F4E79" w:themeColor="accent1" w:themeShade="80"/>
              <w:bottom w:val="nil"/>
            </w:tcBorders>
            <w:shd w:val="clear" w:color="auto" w:fill="auto"/>
          </w:tcPr>
          <w:p w14:paraId="6F50A396" w14:textId="77777777" w:rsidR="00375569" w:rsidRPr="0081777C" w:rsidRDefault="00375569" w:rsidP="002F417F">
            <w:pPr>
              <w:pStyle w:val="08-Tabelageral"/>
              <w:ind w:left="113"/>
              <w:rPr>
                <w:rFonts w:cs="Arial"/>
                <w:szCs w:val="14"/>
              </w:rPr>
            </w:pPr>
            <w:r w:rsidRPr="0081777C">
              <w:rPr>
                <w:rFonts w:cs="Arial"/>
                <w:szCs w:val="14"/>
              </w:rPr>
              <w:t>24,46</w:t>
            </w:r>
          </w:p>
        </w:tc>
        <w:tc>
          <w:tcPr>
            <w:tcW w:w="840" w:type="dxa"/>
            <w:tcBorders>
              <w:top w:val="single" w:sz="2" w:space="0" w:color="1F4E79" w:themeColor="accent1" w:themeShade="80"/>
              <w:bottom w:val="nil"/>
            </w:tcBorders>
            <w:shd w:val="clear" w:color="auto" w:fill="auto"/>
          </w:tcPr>
          <w:p w14:paraId="03A0AFC0" w14:textId="77777777" w:rsidR="00375569" w:rsidRPr="0081777C" w:rsidRDefault="00375569" w:rsidP="002F417F">
            <w:pPr>
              <w:pStyle w:val="08-Tabelageral"/>
              <w:ind w:left="113"/>
              <w:rPr>
                <w:rFonts w:cs="Arial"/>
                <w:szCs w:val="14"/>
              </w:rPr>
            </w:pPr>
            <w:r w:rsidRPr="0081777C">
              <w:rPr>
                <w:rFonts w:cs="Arial"/>
                <w:szCs w:val="14"/>
              </w:rPr>
              <w:t>24,46</w:t>
            </w:r>
          </w:p>
        </w:tc>
        <w:tc>
          <w:tcPr>
            <w:tcW w:w="864" w:type="dxa"/>
            <w:tcBorders>
              <w:top w:val="single" w:sz="2" w:space="0" w:color="1F4E79" w:themeColor="accent1" w:themeShade="80"/>
              <w:bottom w:val="nil"/>
            </w:tcBorders>
            <w:shd w:val="clear" w:color="auto" w:fill="auto"/>
          </w:tcPr>
          <w:p w14:paraId="46830EC6" w14:textId="77777777" w:rsidR="00375569" w:rsidRPr="0081777C" w:rsidRDefault="00375569" w:rsidP="002F417F">
            <w:pPr>
              <w:pStyle w:val="08-Tabelageral"/>
              <w:ind w:left="113"/>
              <w:rPr>
                <w:rFonts w:cs="Arial"/>
                <w:szCs w:val="14"/>
              </w:rPr>
            </w:pPr>
            <w:r w:rsidRPr="0081777C">
              <w:rPr>
                <w:rFonts w:cs="Arial"/>
                <w:szCs w:val="14"/>
              </w:rPr>
              <w:t>24,46</w:t>
            </w:r>
          </w:p>
        </w:tc>
        <w:tc>
          <w:tcPr>
            <w:tcW w:w="1037" w:type="dxa"/>
            <w:tcBorders>
              <w:top w:val="single" w:sz="2" w:space="0" w:color="1F4E79" w:themeColor="accent1" w:themeShade="80"/>
              <w:bottom w:val="nil"/>
            </w:tcBorders>
            <w:shd w:val="clear" w:color="auto" w:fill="auto"/>
          </w:tcPr>
          <w:p w14:paraId="2CDA9A59" w14:textId="77777777" w:rsidR="00375569" w:rsidRPr="0081777C" w:rsidRDefault="00375569" w:rsidP="002F417F">
            <w:pPr>
              <w:pStyle w:val="08-Tabelageral"/>
              <w:ind w:left="113"/>
              <w:rPr>
                <w:rFonts w:cs="Arial"/>
                <w:szCs w:val="14"/>
              </w:rPr>
            </w:pPr>
            <w:r w:rsidRPr="0081777C">
              <w:rPr>
                <w:rFonts w:cs="Arial"/>
                <w:szCs w:val="14"/>
              </w:rPr>
              <w:t>19.140</w:t>
            </w:r>
          </w:p>
        </w:tc>
        <w:tc>
          <w:tcPr>
            <w:tcW w:w="881" w:type="dxa"/>
            <w:tcBorders>
              <w:top w:val="single" w:sz="2" w:space="0" w:color="1F4E79" w:themeColor="accent1" w:themeShade="80"/>
              <w:bottom w:val="nil"/>
            </w:tcBorders>
            <w:shd w:val="clear" w:color="auto" w:fill="auto"/>
          </w:tcPr>
          <w:p w14:paraId="596008B2" w14:textId="77777777" w:rsidR="00375569" w:rsidRPr="0081777C" w:rsidRDefault="00375569" w:rsidP="002F417F">
            <w:pPr>
              <w:pStyle w:val="08-Tabelageral"/>
              <w:ind w:left="113"/>
              <w:rPr>
                <w:rFonts w:cs="Arial"/>
                <w:szCs w:val="14"/>
              </w:rPr>
            </w:pPr>
            <w:r w:rsidRPr="0081777C">
              <w:rPr>
                <w:rFonts w:cs="Arial"/>
                <w:szCs w:val="14"/>
              </w:rPr>
              <w:t>19.123</w:t>
            </w:r>
          </w:p>
        </w:tc>
        <w:tc>
          <w:tcPr>
            <w:tcW w:w="1226" w:type="dxa"/>
            <w:tcBorders>
              <w:top w:val="single" w:sz="2" w:space="0" w:color="1F4E79" w:themeColor="accent1" w:themeShade="80"/>
              <w:bottom w:val="nil"/>
            </w:tcBorders>
            <w:shd w:val="clear" w:color="auto" w:fill="auto"/>
          </w:tcPr>
          <w:p w14:paraId="543A6FA0" w14:textId="77777777" w:rsidR="00375569" w:rsidRPr="0081777C" w:rsidRDefault="00375569" w:rsidP="002F417F">
            <w:pPr>
              <w:pStyle w:val="08-Tabelageral"/>
              <w:ind w:left="113"/>
              <w:rPr>
                <w:rFonts w:cs="Arial"/>
                <w:szCs w:val="14"/>
              </w:rPr>
            </w:pPr>
            <w:r w:rsidRPr="0081777C">
              <w:rPr>
                <w:rFonts w:cs="Arial"/>
                <w:szCs w:val="14"/>
              </w:rPr>
              <w:t>04.2022</w:t>
            </w:r>
          </w:p>
        </w:tc>
      </w:tr>
      <w:tr w:rsidR="00375569" w:rsidRPr="00260E16" w14:paraId="168984E5" w14:textId="77777777" w:rsidTr="00725333">
        <w:trPr>
          <w:trHeight w:val="238"/>
          <w:jc w:val="center"/>
        </w:trPr>
        <w:tc>
          <w:tcPr>
            <w:tcW w:w="2694" w:type="dxa"/>
            <w:tcBorders>
              <w:top w:val="nil"/>
              <w:bottom w:val="single" w:sz="2" w:space="0" w:color="1F4E79" w:themeColor="accent1" w:themeShade="80"/>
            </w:tcBorders>
            <w:shd w:val="clear" w:color="auto" w:fill="auto"/>
          </w:tcPr>
          <w:p w14:paraId="08A9C186" w14:textId="77777777" w:rsidR="00375569" w:rsidRPr="00260E16" w:rsidRDefault="00375569" w:rsidP="00803971">
            <w:pPr>
              <w:pStyle w:val="070-TabelaPadro"/>
              <w:spacing w:line="276" w:lineRule="auto"/>
              <w:ind w:hanging="108"/>
              <w:jc w:val="left"/>
              <w:rPr>
                <w:b/>
              </w:rPr>
            </w:pPr>
            <w:r w:rsidRPr="00260E16">
              <w:rPr>
                <w:b/>
              </w:rPr>
              <w:t>Total de ações a distribuir</w:t>
            </w:r>
          </w:p>
        </w:tc>
        <w:tc>
          <w:tcPr>
            <w:tcW w:w="1239" w:type="dxa"/>
            <w:tcBorders>
              <w:top w:val="nil"/>
              <w:bottom w:val="single" w:sz="2" w:space="0" w:color="1F4E79" w:themeColor="accent1" w:themeShade="80"/>
            </w:tcBorders>
            <w:shd w:val="clear" w:color="auto" w:fill="auto"/>
          </w:tcPr>
          <w:p w14:paraId="7371DF29" w14:textId="77777777" w:rsidR="00375569" w:rsidRPr="0081777C" w:rsidRDefault="00375569" w:rsidP="002F417F">
            <w:pPr>
              <w:pStyle w:val="08-Tabelageral"/>
              <w:ind w:left="113"/>
              <w:rPr>
                <w:rFonts w:cs="Arial"/>
                <w:b/>
                <w:szCs w:val="14"/>
              </w:rPr>
            </w:pPr>
          </w:p>
        </w:tc>
        <w:tc>
          <w:tcPr>
            <w:tcW w:w="858" w:type="dxa"/>
            <w:tcBorders>
              <w:top w:val="nil"/>
              <w:bottom w:val="single" w:sz="2" w:space="0" w:color="1F4E79" w:themeColor="accent1" w:themeShade="80"/>
            </w:tcBorders>
            <w:shd w:val="clear" w:color="auto" w:fill="auto"/>
          </w:tcPr>
          <w:p w14:paraId="728B0B8C" w14:textId="77777777" w:rsidR="00375569" w:rsidRPr="0081777C" w:rsidRDefault="00375569" w:rsidP="002F417F">
            <w:pPr>
              <w:pStyle w:val="08-Tabelageral"/>
              <w:ind w:left="113"/>
              <w:rPr>
                <w:rFonts w:cs="Arial"/>
                <w:b/>
                <w:szCs w:val="14"/>
              </w:rPr>
            </w:pPr>
          </w:p>
        </w:tc>
        <w:tc>
          <w:tcPr>
            <w:tcW w:w="840" w:type="dxa"/>
            <w:tcBorders>
              <w:top w:val="nil"/>
              <w:bottom w:val="single" w:sz="2" w:space="0" w:color="1F4E79" w:themeColor="accent1" w:themeShade="80"/>
            </w:tcBorders>
            <w:shd w:val="clear" w:color="auto" w:fill="auto"/>
          </w:tcPr>
          <w:p w14:paraId="5B46EA2D" w14:textId="77777777" w:rsidR="00375569" w:rsidRPr="0081777C" w:rsidRDefault="00375569" w:rsidP="002F417F">
            <w:pPr>
              <w:pStyle w:val="08-Tabelageral"/>
              <w:ind w:left="113"/>
              <w:rPr>
                <w:rFonts w:cs="Arial"/>
                <w:b/>
                <w:szCs w:val="14"/>
              </w:rPr>
            </w:pPr>
          </w:p>
        </w:tc>
        <w:tc>
          <w:tcPr>
            <w:tcW w:w="864" w:type="dxa"/>
            <w:tcBorders>
              <w:top w:val="nil"/>
              <w:bottom w:val="single" w:sz="2" w:space="0" w:color="1F4E79" w:themeColor="accent1" w:themeShade="80"/>
            </w:tcBorders>
            <w:shd w:val="clear" w:color="auto" w:fill="auto"/>
          </w:tcPr>
          <w:p w14:paraId="4A92A4FA" w14:textId="77777777" w:rsidR="00375569" w:rsidRPr="0081777C" w:rsidRDefault="00375569" w:rsidP="002F417F">
            <w:pPr>
              <w:pStyle w:val="08-Tabelageral"/>
              <w:ind w:left="113"/>
              <w:rPr>
                <w:rFonts w:cs="Arial"/>
                <w:b/>
                <w:szCs w:val="14"/>
              </w:rPr>
            </w:pPr>
          </w:p>
        </w:tc>
        <w:tc>
          <w:tcPr>
            <w:tcW w:w="1037" w:type="dxa"/>
            <w:tcBorders>
              <w:top w:val="nil"/>
              <w:bottom w:val="single" w:sz="2" w:space="0" w:color="1F4E79" w:themeColor="accent1" w:themeShade="80"/>
            </w:tcBorders>
            <w:shd w:val="clear" w:color="auto" w:fill="auto"/>
          </w:tcPr>
          <w:p w14:paraId="76CFE27C" w14:textId="77777777" w:rsidR="00375569" w:rsidRPr="0081777C" w:rsidRDefault="00375569" w:rsidP="002F417F">
            <w:pPr>
              <w:pStyle w:val="08-Tabelageral"/>
              <w:ind w:left="113"/>
              <w:rPr>
                <w:rFonts w:cs="Arial"/>
                <w:b/>
                <w:szCs w:val="14"/>
              </w:rPr>
            </w:pPr>
          </w:p>
        </w:tc>
        <w:tc>
          <w:tcPr>
            <w:tcW w:w="881" w:type="dxa"/>
            <w:tcBorders>
              <w:top w:val="nil"/>
              <w:bottom w:val="single" w:sz="2" w:space="0" w:color="1F4E79" w:themeColor="accent1" w:themeShade="80"/>
            </w:tcBorders>
            <w:shd w:val="clear" w:color="auto" w:fill="auto"/>
          </w:tcPr>
          <w:p w14:paraId="20309CD2" w14:textId="77777777" w:rsidR="00375569" w:rsidRPr="0081777C" w:rsidRDefault="00375569" w:rsidP="002F417F">
            <w:pPr>
              <w:pStyle w:val="08-Tabelageral"/>
              <w:ind w:left="113"/>
              <w:rPr>
                <w:rFonts w:cs="Arial"/>
                <w:b/>
                <w:szCs w:val="14"/>
              </w:rPr>
            </w:pPr>
            <w:r w:rsidRPr="0081777C">
              <w:rPr>
                <w:rFonts w:cs="Arial"/>
                <w:b/>
                <w:szCs w:val="14"/>
              </w:rPr>
              <w:t>19.123</w:t>
            </w:r>
          </w:p>
        </w:tc>
        <w:tc>
          <w:tcPr>
            <w:tcW w:w="1226" w:type="dxa"/>
            <w:tcBorders>
              <w:top w:val="nil"/>
              <w:bottom w:val="single" w:sz="2" w:space="0" w:color="1F4E79" w:themeColor="accent1" w:themeShade="80"/>
            </w:tcBorders>
            <w:shd w:val="clear" w:color="auto" w:fill="auto"/>
          </w:tcPr>
          <w:p w14:paraId="03FCDBD1" w14:textId="77777777" w:rsidR="00375569" w:rsidRPr="0081777C" w:rsidRDefault="00375569" w:rsidP="002F417F">
            <w:pPr>
              <w:pStyle w:val="08-Tabelageral"/>
              <w:ind w:left="113"/>
              <w:rPr>
                <w:rFonts w:cs="Arial"/>
                <w:b/>
                <w:szCs w:val="14"/>
              </w:rPr>
            </w:pPr>
          </w:p>
        </w:tc>
      </w:tr>
      <w:bookmarkEnd w:id="107"/>
    </w:tbl>
    <w:p w14:paraId="7A072A27" w14:textId="77777777" w:rsidR="00725333" w:rsidRDefault="00725333" w:rsidP="005D03D8">
      <w:pPr>
        <w:pStyle w:val="01-Textonormal"/>
        <w:rPr>
          <w:b/>
          <w:bCs/>
          <w:color w:val="1F4E79" w:themeColor="accent1" w:themeShade="80"/>
        </w:rPr>
      </w:pPr>
    </w:p>
    <w:p w14:paraId="34BBFFDC" w14:textId="638ED827" w:rsidR="00375569" w:rsidRPr="005D03D8" w:rsidRDefault="00375569" w:rsidP="005D03D8">
      <w:pPr>
        <w:pStyle w:val="01-Textonormal"/>
        <w:rPr>
          <w:rFonts w:cs="Arial"/>
          <w:b/>
          <w:bCs/>
          <w:color w:val="1F4E79" w:themeColor="accent1" w:themeShade="80"/>
          <w:sz w:val="14"/>
        </w:rPr>
      </w:pPr>
      <w:r w:rsidRPr="005D03D8">
        <w:rPr>
          <w:b/>
          <w:bCs/>
          <w:color w:val="1F4E79" w:themeColor="accent1" w:themeShade="80"/>
        </w:rPr>
        <w:t>g.4) Quantidade de Ações em Tesouraria</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375569" w:rsidRPr="00091A72" w14:paraId="6DADC267" w14:textId="77777777" w:rsidTr="00725333">
        <w:trPr>
          <w:trHeight w:val="238"/>
          <w:jc w:val="center"/>
        </w:trPr>
        <w:tc>
          <w:tcPr>
            <w:tcW w:w="7088" w:type="dxa"/>
            <w:vMerge w:val="restart"/>
            <w:tcBorders>
              <w:top w:val="single" w:sz="2" w:space="0" w:color="1F4E79" w:themeColor="accent1" w:themeShade="80"/>
              <w:bottom w:val="nil"/>
            </w:tcBorders>
            <w:shd w:val="clear" w:color="auto" w:fill="auto"/>
            <w:vAlign w:val="center"/>
          </w:tcPr>
          <w:p w14:paraId="2B537D61" w14:textId="77777777" w:rsidR="00375569" w:rsidRPr="00091A72" w:rsidRDefault="00375569" w:rsidP="002F417F">
            <w:pPr>
              <w:spacing w:after="0"/>
              <w:rPr>
                <w:rFonts w:cs="Arial"/>
                <w:b/>
                <w:sz w:val="14"/>
                <w:szCs w:val="14"/>
              </w:rPr>
            </w:pPr>
            <w:r w:rsidRPr="00091A72">
              <w:rPr>
                <w:rFonts w:cs="Arial"/>
                <w:b/>
                <w:kern w:val="2"/>
                <w:sz w:val="14"/>
                <w:szCs w:val="14"/>
              </w:rPr>
              <w:t>Descrição</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3CFDBFA4" w14:textId="77777777" w:rsidR="00375569" w:rsidRPr="00091A72" w:rsidRDefault="00375569" w:rsidP="002F417F">
            <w:pPr>
              <w:spacing w:after="0"/>
              <w:jc w:val="center"/>
              <w:rPr>
                <w:rFonts w:cs="Arial"/>
                <w:b/>
                <w:szCs w:val="18"/>
              </w:rPr>
            </w:pPr>
            <w:r w:rsidRPr="00091A72">
              <w:rPr>
                <w:rFonts w:cs="Arial"/>
                <w:b/>
                <w:sz w:val="14"/>
                <w:szCs w:val="18"/>
              </w:rPr>
              <w:t>Controlador e Consolidado</w:t>
            </w:r>
          </w:p>
        </w:tc>
      </w:tr>
      <w:tr w:rsidR="00375569" w:rsidRPr="00091A72" w14:paraId="7BBF9AF0" w14:textId="77777777" w:rsidTr="00725333">
        <w:trPr>
          <w:trHeight w:val="238"/>
          <w:jc w:val="center"/>
        </w:trPr>
        <w:tc>
          <w:tcPr>
            <w:tcW w:w="7088" w:type="dxa"/>
            <w:vMerge/>
            <w:tcBorders>
              <w:top w:val="nil"/>
              <w:bottom w:val="single" w:sz="2" w:space="0" w:color="1F4E79" w:themeColor="accent1" w:themeShade="80"/>
            </w:tcBorders>
            <w:shd w:val="clear" w:color="auto" w:fill="auto"/>
          </w:tcPr>
          <w:p w14:paraId="3E07E2BA" w14:textId="77777777" w:rsidR="00375569" w:rsidRPr="00091A72" w:rsidRDefault="00375569" w:rsidP="002F417F">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tcPr>
          <w:p w14:paraId="4F91D668" w14:textId="77777777" w:rsidR="00375569" w:rsidRPr="00091A72" w:rsidRDefault="00375569" w:rsidP="002F417F">
            <w:pPr>
              <w:pStyle w:val="08-Tabelageral"/>
              <w:rPr>
                <w:rFonts w:cs="Arial"/>
                <w:b/>
              </w:rPr>
            </w:pPr>
            <w:r w:rsidRPr="00091A72">
              <w:rPr>
                <w:rFonts w:cs="Arial"/>
                <w:b/>
              </w:rPr>
              <w:t>3</w:t>
            </w:r>
            <w:r>
              <w:rPr>
                <w:rFonts w:cs="Arial"/>
                <w:b/>
              </w:rPr>
              <w:t>1</w:t>
            </w:r>
            <w:r w:rsidRPr="00091A72">
              <w:rPr>
                <w:rFonts w:cs="Arial"/>
                <w:b/>
              </w:rPr>
              <w:t>.</w:t>
            </w:r>
            <w:r>
              <w:rPr>
                <w:rFonts w:cs="Arial"/>
                <w:b/>
              </w:rPr>
              <w:t>12</w:t>
            </w:r>
            <w:r w:rsidRPr="00091A72">
              <w:rPr>
                <w:rFonts w:cs="Arial"/>
                <w:b/>
              </w:rPr>
              <w:t>.202</w:t>
            </w:r>
            <w:r>
              <w:rPr>
                <w:rFonts w:cs="Arial"/>
                <w:b/>
              </w:rPr>
              <w:t>1</w:t>
            </w:r>
          </w:p>
        </w:tc>
        <w:tc>
          <w:tcPr>
            <w:tcW w:w="1275" w:type="dxa"/>
            <w:tcBorders>
              <w:top w:val="single" w:sz="2" w:space="0" w:color="1F4E79" w:themeColor="accent1" w:themeShade="80"/>
              <w:bottom w:val="single" w:sz="2" w:space="0" w:color="1F4E79" w:themeColor="accent1" w:themeShade="80"/>
            </w:tcBorders>
            <w:shd w:val="clear" w:color="auto" w:fill="auto"/>
          </w:tcPr>
          <w:p w14:paraId="28DB2FA5" w14:textId="77777777" w:rsidR="00375569" w:rsidRPr="00091A72" w:rsidRDefault="00375569" w:rsidP="002F417F">
            <w:pPr>
              <w:pStyle w:val="08-Tabelageral"/>
              <w:rPr>
                <w:rFonts w:cs="Arial"/>
                <w:b/>
              </w:rPr>
            </w:pPr>
            <w:r w:rsidRPr="00091A72">
              <w:rPr>
                <w:rFonts w:cs="Arial"/>
                <w:b/>
              </w:rPr>
              <w:t>31.12.20</w:t>
            </w:r>
            <w:r>
              <w:rPr>
                <w:rFonts w:cs="Arial"/>
                <w:b/>
              </w:rPr>
              <w:t>20</w:t>
            </w:r>
          </w:p>
        </w:tc>
      </w:tr>
      <w:tr w:rsidR="00375569" w:rsidRPr="00091A72" w14:paraId="29A10F25" w14:textId="77777777" w:rsidTr="00725333">
        <w:trPr>
          <w:trHeight w:val="238"/>
          <w:jc w:val="center"/>
        </w:trPr>
        <w:tc>
          <w:tcPr>
            <w:tcW w:w="7088" w:type="dxa"/>
            <w:tcBorders>
              <w:top w:val="single" w:sz="2" w:space="0" w:color="1F4E79" w:themeColor="accent1" w:themeShade="80"/>
            </w:tcBorders>
            <w:shd w:val="clear" w:color="auto" w:fill="auto"/>
          </w:tcPr>
          <w:p w14:paraId="00A7ECC4" w14:textId="77777777" w:rsidR="00375569" w:rsidRPr="00091A72" w:rsidRDefault="00375569" w:rsidP="009C0212">
            <w:pPr>
              <w:pStyle w:val="08-Tabelageral"/>
              <w:ind w:left="-108" w:firstLine="284"/>
              <w:jc w:val="left"/>
              <w:rPr>
                <w:szCs w:val="14"/>
              </w:rPr>
            </w:pPr>
            <w:r w:rsidRPr="00091A72">
              <w:rPr>
                <w:szCs w:val="14"/>
              </w:rPr>
              <w:t>Programa de Remuneração Variável</w:t>
            </w:r>
          </w:p>
        </w:tc>
        <w:tc>
          <w:tcPr>
            <w:tcW w:w="1276" w:type="dxa"/>
            <w:tcBorders>
              <w:top w:val="single" w:sz="2" w:space="0" w:color="1F4E79" w:themeColor="accent1" w:themeShade="80"/>
            </w:tcBorders>
            <w:shd w:val="clear" w:color="auto" w:fill="auto"/>
          </w:tcPr>
          <w:p w14:paraId="4532CD2E" w14:textId="77777777" w:rsidR="00375569" w:rsidRPr="00091A72" w:rsidRDefault="00375569" w:rsidP="009C0212">
            <w:pPr>
              <w:pStyle w:val="08-Tabelageral"/>
              <w:ind w:left="113"/>
              <w:rPr>
                <w:rFonts w:cs="Arial"/>
                <w:szCs w:val="14"/>
              </w:rPr>
            </w:pPr>
            <w:r>
              <w:rPr>
                <w:rFonts w:cs="Arial"/>
                <w:szCs w:val="14"/>
              </w:rPr>
              <w:t>45.365</w:t>
            </w:r>
          </w:p>
        </w:tc>
        <w:tc>
          <w:tcPr>
            <w:tcW w:w="1275" w:type="dxa"/>
            <w:tcBorders>
              <w:top w:val="single" w:sz="2" w:space="0" w:color="1F4E79" w:themeColor="accent1" w:themeShade="80"/>
            </w:tcBorders>
            <w:shd w:val="clear" w:color="auto" w:fill="auto"/>
          </w:tcPr>
          <w:p w14:paraId="48F63D78" w14:textId="77777777" w:rsidR="00375569" w:rsidRPr="00091A72" w:rsidRDefault="00375569" w:rsidP="009C0212">
            <w:pPr>
              <w:pStyle w:val="08-Tabelageral"/>
              <w:ind w:left="113"/>
              <w:rPr>
                <w:rFonts w:cs="Arial"/>
                <w:szCs w:val="14"/>
              </w:rPr>
            </w:pPr>
            <w:r>
              <w:rPr>
                <w:rFonts w:cs="Arial"/>
                <w:szCs w:val="14"/>
              </w:rPr>
              <w:t>45.366</w:t>
            </w:r>
          </w:p>
        </w:tc>
      </w:tr>
      <w:tr w:rsidR="00375569" w:rsidRPr="00091A72" w14:paraId="169E4BAF" w14:textId="77777777" w:rsidTr="00725333">
        <w:trPr>
          <w:trHeight w:val="238"/>
          <w:jc w:val="center"/>
        </w:trPr>
        <w:tc>
          <w:tcPr>
            <w:tcW w:w="7088" w:type="dxa"/>
            <w:shd w:val="clear" w:color="auto" w:fill="auto"/>
          </w:tcPr>
          <w:p w14:paraId="22CEBD29" w14:textId="77777777" w:rsidR="00375569" w:rsidRPr="00091A72" w:rsidRDefault="00375569" w:rsidP="009C0212">
            <w:pPr>
              <w:pStyle w:val="08-Tabelageral"/>
              <w:ind w:left="-108" w:firstLine="284"/>
              <w:jc w:val="left"/>
              <w:rPr>
                <w:kern w:val="2"/>
                <w:szCs w:val="14"/>
              </w:rPr>
            </w:pPr>
            <w:r w:rsidRPr="00091A72">
              <w:rPr>
                <w:kern w:val="2"/>
                <w:szCs w:val="14"/>
              </w:rPr>
              <w:t xml:space="preserve">Programa de </w:t>
            </w:r>
            <w:r w:rsidRPr="005A2043">
              <w:rPr>
                <w:kern w:val="2"/>
                <w:szCs w:val="14"/>
              </w:rPr>
              <w:t xml:space="preserve">Recompra </w:t>
            </w:r>
            <w:r w:rsidRPr="005A2043">
              <w:rPr>
                <w:kern w:val="2"/>
                <w:szCs w:val="14"/>
                <w:vertAlign w:val="superscript"/>
              </w:rPr>
              <w:t>(1)</w:t>
            </w:r>
          </w:p>
        </w:tc>
        <w:tc>
          <w:tcPr>
            <w:tcW w:w="1276" w:type="dxa"/>
            <w:shd w:val="clear" w:color="auto" w:fill="auto"/>
          </w:tcPr>
          <w:p w14:paraId="703B82A4" w14:textId="77777777" w:rsidR="00375569" w:rsidRPr="00091A72" w:rsidRDefault="00375569" w:rsidP="009C0212">
            <w:pPr>
              <w:pStyle w:val="08-Tabelageral"/>
              <w:ind w:left="113"/>
              <w:rPr>
                <w:rFonts w:cs="Arial"/>
                <w:szCs w:val="14"/>
              </w:rPr>
            </w:pPr>
            <w:r>
              <w:rPr>
                <w:rFonts w:cs="Arial"/>
                <w:szCs w:val="14"/>
              </w:rPr>
              <w:t>3.247.991</w:t>
            </w:r>
          </w:p>
        </w:tc>
        <w:tc>
          <w:tcPr>
            <w:tcW w:w="1275" w:type="dxa"/>
            <w:shd w:val="clear" w:color="auto" w:fill="auto"/>
          </w:tcPr>
          <w:p w14:paraId="360FC8FC" w14:textId="77777777" w:rsidR="00375569" w:rsidRPr="00091A72" w:rsidRDefault="00375569" w:rsidP="009C0212">
            <w:pPr>
              <w:pStyle w:val="08-Tabelageral"/>
              <w:ind w:left="113"/>
              <w:rPr>
                <w:rFonts w:cs="Arial"/>
                <w:szCs w:val="14"/>
              </w:rPr>
            </w:pPr>
            <w:r>
              <w:rPr>
                <w:rFonts w:cs="Arial"/>
                <w:szCs w:val="14"/>
              </w:rPr>
              <w:t>3.308.714</w:t>
            </w:r>
          </w:p>
        </w:tc>
      </w:tr>
      <w:tr w:rsidR="00375569" w:rsidRPr="00091A72" w14:paraId="181C7485" w14:textId="77777777" w:rsidTr="00725333">
        <w:trPr>
          <w:trHeight w:val="238"/>
          <w:jc w:val="center"/>
        </w:trPr>
        <w:tc>
          <w:tcPr>
            <w:tcW w:w="7088" w:type="dxa"/>
            <w:tcBorders>
              <w:bottom w:val="nil"/>
            </w:tcBorders>
            <w:shd w:val="clear" w:color="auto" w:fill="auto"/>
          </w:tcPr>
          <w:p w14:paraId="51CA2DC6" w14:textId="77777777" w:rsidR="00375569" w:rsidRPr="00091A72" w:rsidRDefault="00375569" w:rsidP="009C0212">
            <w:pPr>
              <w:pStyle w:val="08-Tabelageral"/>
              <w:ind w:left="-108" w:firstLine="284"/>
              <w:jc w:val="left"/>
              <w:rPr>
                <w:szCs w:val="14"/>
              </w:rPr>
            </w:pPr>
            <w:r w:rsidRPr="00091A72">
              <w:rPr>
                <w:szCs w:val="14"/>
              </w:rPr>
              <w:t>Programa de Premiação por Resultado</w:t>
            </w:r>
          </w:p>
        </w:tc>
        <w:tc>
          <w:tcPr>
            <w:tcW w:w="1276" w:type="dxa"/>
            <w:tcBorders>
              <w:bottom w:val="nil"/>
            </w:tcBorders>
            <w:shd w:val="clear" w:color="auto" w:fill="auto"/>
          </w:tcPr>
          <w:p w14:paraId="544ADD6B" w14:textId="77777777" w:rsidR="00375569" w:rsidRDefault="00375569" w:rsidP="009C0212">
            <w:pPr>
              <w:pStyle w:val="08-Tabelageral"/>
              <w:ind w:left="113"/>
              <w:rPr>
                <w:rFonts w:cs="Arial"/>
                <w:szCs w:val="14"/>
                <w:lang w:eastAsia="en-US"/>
              </w:rPr>
            </w:pPr>
            <w:r>
              <w:rPr>
                <w:rFonts w:cs="Arial"/>
                <w:szCs w:val="14"/>
              </w:rPr>
              <w:t>20.115</w:t>
            </w:r>
          </w:p>
        </w:tc>
        <w:tc>
          <w:tcPr>
            <w:tcW w:w="1275" w:type="dxa"/>
            <w:tcBorders>
              <w:bottom w:val="nil"/>
            </w:tcBorders>
            <w:shd w:val="clear" w:color="auto" w:fill="auto"/>
          </w:tcPr>
          <w:p w14:paraId="571D3F91" w14:textId="77777777" w:rsidR="00375569" w:rsidRDefault="00375569" w:rsidP="009C0212">
            <w:pPr>
              <w:pStyle w:val="08-Tabelageral"/>
              <w:ind w:left="113"/>
              <w:rPr>
                <w:rFonts w:cs="Arial"/>
                <w:szCs w:val="14"/>
              </w:rPr>
            </w:pPr>
            <w:r>
              <w:rPr>
                <w:rFonts w:cs="Arial"/>
                <w:szCs w:val="14"/>
              </w:rPr>
              <w:t>11.239</w:t>
            </w:r>
          </w:p>
        </w:tc>
      </w:tr>
      <w:tr w:rsidR="00375569" w:rsidRPr="00091A72" w14:paraId="4D0656B4" w14:textId="77777777" w:rsidTr="00725333">
        <w:trPr>
          <w:trHeight w:val="238"/>
          <w:jc w:val="center"/>
        </w:trPr>
        <w:tc>
          <w:tcPr>
            <w:tcW w:w="7088" w:type="dxa"/>
            <w:tcBorders>
              <w:top w:val="nil"/>
              <w:bottom w:val="single" w:sz="2" w:space="0" w:color="1F4E79" w:themeColor="accent1" w:themeShade="80"/>
            </w:tcBorders>
            <w:shd w:val="clear" w:color="auto" w:fill="auto"/>
          </w:tcPr>
          <w:p w14:paraId="16AED9CD" w14:textId="77777777" w:rsidR="00375569" w:rsidRPr="002038DF" w:rsidRDefault="00375569" w:rsidP="009C0212">
            <w:pPr>
              <w:pStyle w:val="08-Tabelageral"/>
              <w:ind w:left="-108"/>
              <w:jc w:val="left"/>
              <w:rPr>
                <w:b/>
                <w:szCs w:val="14"/>
              </w:rPr>
            </w:pPr>
            <w:r w:rsidRPr="002038DF">
              <w:rPr>
                <w:b/>
                <w:szCs w:val="14"/>
              </w:rPr>
              <w:t>Total</w:t>
            </w:r>
          </w:p>
        </w:tc>
        <w:tc>
          <w:tcPr>
            <w:tcW w:w="1276" w:type="dxa"/>
            <w:tcBorders>
              <w:top w:val="nil"/>
              <w:bottom w:val="single" w:sz="2" w:space="0" w:color="1F4E79" w:themeColor="accent1" w:themeShade="80"/>
            </w:tcBorders>
            <w:shd w:val="clear" w:color="auto" w:fill="auto"/>
          </w:tcPr>
          <w:p w14:paraId="4CE64BE3" w14:textId="77777777" w:rsidR="00375569" w:rsidRPr="00091A72" w:rsidRDefault="00375569" w:rsidP="009C0212">
            <w:pPr>
              <w:pStyle w:val="08-Tabelageral"/>
              <w:ind w:left="113"/>
              <w:rPr>
                <w:rFonts w:cs="Arial"/>
                <w:szCs w:val="14"/>
              </w:rPr>
            </w:pPr>
            <w:r>
              <w:rPr>
                <w:rFonts w:cs="Arial"/>
                <w:b/>
                <w:szCs w:val="14"/>
              </w:rPr>
              <w:t>3.313.471</w:t>
            </w:r>
          </w:p>
        </w:tc>
        <w:tc>
          <w:tcPr>
            <w:tcW w:w="1275" w:type="dxa"/>
            <w:tcBorders>
              <w:top w:val="nil"/>
              <w:bottom w:val="single" w:sz="2" w:space="0" w:color="1F4E79" w:themeColor="accent1" w:themeShade="80"/>
            </w:tcBorders>
            <w:shd w:val="clear" w:color="auto" w:fill="auto"/>
          </w:tcPr>
          <w:p w14:paraId="39FA2911" w14:textId="77777777" w:rsidR="00375569" w:rsidRPr="00091A72" w:rsidRDefault="00375569" w:rsidP="009C0212">
            <w:pPr>
              <w:pStyle w:val="08-Tabelageral"/>
              <w:ind w:left="113"/>
              <w:rPr>
                <w:rFonts w:cs="Arial"/>
                <w:szCs w:val="14"/>
              </w:rPr>
            </w:pPr>
            <w:r w:rsidRPr="00DD6D6A">
              <w:rPr>
                <w:rFonts w:cs="Arial"/>
                <w:b/>
                <w:bCs/>
                <w:szCs w:val="14"/>
              </w:rPr>
              <w:t>3.365.319</w:t>
            </w:r>
          </w:p>
        </w:tc>
      </w:tr>
    </w:tbl>
    <w:p w14:paraId="073915F4" w14:textId="77777777" w:rsidR="00375569" w:rsidRPr="002F0346" w:rsidRDefault="00375569" w:rsidP="007F4615">
      <w:pPr>
        <w:pStyle w:val="PargrafodaLista"/>
        <w:numPr>
          <w:ilvl w:val="0"/>
          <w:numId w:val="47"/>
        </w:numPr>
        <w:spacing w:after="0"/>
        <w:ind w:left="284" w:hanging="284"/>
        <w:jc w:val="both"/>
        <w:rPr>
          <w:rFonts w:ascii="Arial" w:eastAsia="Times New Roman" w:hAnsi="Arial" w:cs="Times New Roman"/>
          <w:spacing w:val="-2"/>
          <w:sz w:val="14"/>
          <w:szCs w:val="18"/>
          <w:lang w:eastAsia="pt-BR"/>
        </w:rPr>
      </w:pPr>
      <w:r w:rsidRPr="002F0346">
        <w:rPr>
          <w:rFonts w:ascii="Arial" w:eastAsia="Times New Roman" w:hAnsi="Arial" w:cs="Times New Roman"/>
          <w:spacing w:val="-2"/>
          <w:sz w:val="14"/>
          <w:szCs w:val="18"/>
          <w:lang w:eastAsia="pt-BR"/>
        </w:rPr>
        <w:t>A variação do saldo no intervalo resulta das transferências de 38.263 ações do Programa de Recompra para o Programa de Premiação por Resultado de 2020 e 22.460 ações referentes ao Programa de Remuneração Variável de diretores de 2020.</w:t>
      </w:r>
    </w:p>
    <w:p w14:paraId="340BEDF5" w14:textId="15A2E3D9" w:rsidR="00375569" w:rsidRDefault="00375569" w:rsidP="00DF1771">
      <w:pPr>
        <w:pStyle w:val="04-TtuloNegrito"/>
        <w:keepNext/>
        <w:rPr>
          <w:b w:val="0"/>
          <w:sz w:val="18"/>
          <w:szCs w:val="18"/>
        </w:rPr>
      </w:pPr>
      <w:r w:rsidRPr="00837A7D">
        <w:rPr>
          <w:b w:val="0"/>
          <w:sz w:val="18"/>
          <w:szCs w:val="18"/>
        </w:rPr>
        <w:t>O valor de custo das ações em tesouraria é de R$</w:t>
      </w:r>
      <w:r>
        <w:rPr>
          <w:b w:val="0"/>
          <w:sz w:val="18"/>
          <w:szCs w:val="18"/>
        </w:rPr>
        <w:t xml:space="preserve"> </w:t>
      </w:r>
      <w:r w:rsidRPr="00A75A05">
        <w:rPr>
          <w:b w:val="0"/>
          <w:bCs/>
          <w:sz w:val="18"/>
          <w:szCs w:val="18"/>
        </w:rPr>
        <w:t>81.</w:t>
      </w:r>
      <w:r w:rsidR="002E4875">
        <w:rPr>
          <w:b w:val="0"/>
          <w:bCs/>
          <w:sz w:val="18"/>
          <w:szCs w:val="18"/>
        </w:rPr>
        <w:t>063</w:t>
      </w:r>
      <w:r>
        <w:rPr>
          <w:sz w:val="18"/>
          <w:szCs w:val="18"/>
        </w:rPr>
        <w:t xml:space="preserve"> </w:t>
      </w:r>
      <w:r w:rsidRPr="00837A7D">
        <w:rPr>
          <w:b w:val="0"/>
          <w:sz w:val="18"/>
          <w:szCs w:val="18"/>
        </w:rPr>
        <w:t>mil e o valor pela cotação em bolsa em 3</w:t>
      </w:r>
      <w:r>
        <w:rPr>
          <w:b w:val="0"/>
          <w:sz w:val="18"/>
          <w:szCs w:val="18"/>
        </w:rPr>
        <w:t>1</w:t>
      </w:r>
      <w:r w:rsidRPr="00837A7D">
        <w:rPr>
          <w:b w:val="0"/>
          <w:sz w:val="18"/>
          <w:szCs w:val="18"/>
        </w:rPr>
        <w:t>.</w:t>
      </w:r>
      <w:r>
        <w:rPr>
          <w:b w:val="0"/>
          <w:sz w:val="18"/>
          <w:szCs w:val="18"/>
        </w:rPr>
        <w:t>12</w:t>
      </w:r>
      <w:r w:rsidRPr="00837A7D">
        <w:rPr>
          <w:b w:val="0"/>
          <w:sz w:val="18"/>
          <w:szCs w:val="18"/>
        </w:rPr>
        <w:t>.202</w:t>
      </w:r>
      <w:r>
        <w:rPr>
          <w:b w:val="0"/>
          <w:sz w:val="18"/>
          <w:szCs w:val="18"/>
        </w:rPr>
        <w:t>1</w:t>
      </w:r>
      <w:r w:rsidRPr="00837A7D">
        <w:rPr>
          <w:b w:val="0"/>
          <w:sz w:val="18"/>
          <w:szCs w:val="18"/>
        </w:rPr>
        <w:t xml:space="preserve"> é de </w:t>
      </w:r>
      <w:r w:rsidRPr="00A75A05">
        <w:rPr>
          <w:b w:val="0"/>
          <w:sz w:val="18"/>
          <w:szCs w:val="18"/>
        </w:rPr>
        <w:t>R$ 68.755 mil.</w:t>
      </w:r>
    </w:p>
    <w:p w14:paraId="05C1D950" w14:textId="77777777" w:rsidR="00725333" w:rsidRPr="00725333" w:rsidRDefault="00725333" w:rsidP="00725333">
      <w:pPr>
        <w:rPr>
          <w:lang w:eastAsia="pt-BR"/>
        </w:rPr>
      </w:pPr>
    </w:p>
    <w:p w14:paraId="488E8F28" w14:textId="609DFA74" w:rsidR="00A6120B" w:rsidRPr="0004323A" w:rsidRDefault="00A6120B" w:rsidP="00ED130E">
      <w:pPr>
        <w:pStyle w:val="01-TtulodeNota"/>
        <w:spacing w:before="0" w:after="0"/>
        <w:jc w:val="right"/>
        <w:rPr>
          <w:sz w:val="12"/>
          <w:szCs w:val="12"/>
        </w:rPr>
      </w:pPr>
      <w:bookmarkStart w:id="110" w:name="OLE_LINK26"/>
    </w:p>
    <w:p w14:paraId="2016CFCB" w14:textId="77777777" w:rsidR="00A6120B" w:rsidRPr="00A6120B" w:rsidRDefault="00A6120B" w:rsidP="00A6120B">
      <w:pPr>
        <w:pStyle w:val="02-TtulodeNota"/>
        <w:keepNext/>
        <w:keepLines/>
        <w:pageBreakBefore/>
        <w:rPr>
          <w:color w:val="1F4E79" w:themeColor="accent1" w:themeShade="80"/>
        </w:rPr>
      </w:pPr>
      <w:bookmarkStart w:id="111" w:name="_Toc94861084"/>
      <w:r w:rsidRPr="00A6120B">
        <w:rPr>
          <w:color w:val="1F4E79" w:themeColor="accent1" w:themeShade="80"/>
        </w:rPr>
        <w:lastRenderedPageBreak/>
        <w:t>26 – PARTES RELACIONADAS</w:t>
      </w:r>
      <w:bookmarkEnd w:id="111"/>
      <w:r w:rsidRPr="00A6120B">
        <w:rPr>
          <w:color w:val="1F4E79" w:themeColor="accent1" w:themeShade="80"/>
        </w:rPr>
        <w:t xml:space="preserve"> </w:t>
      </w:r>
    </w:p>
    <w:p w14:paraId="262E658E" w14:textId="77777777" w:rsidR="00A6120B" w:rsidRPr="007869F5" w:rsidRDefault="00A6120B" w:rsidP="00ED0DAC">
      <w:pPr>
        <w:pStyle w:val="05-Textonormal"/>
      </w:pPr>
      <w:r w:rsidRPr="007869F5">
        <w:t>A BB Seguridade e suas controladas possuem convênio com o Banco do Brasil S.A.</w:t>
      </w:r>
      <w:r>
        <w:t>, assinado em 09/01/2013, pelo prazo de 20 anos,</w:t>
      </w:r>
      <w:r w:rsidRPr="007869F5">
        <w:t xml:space="preserve"> para rateio e/ou ressarcimento de despesas e custos diretos e indiretos decorrentes da utilização do quadro de pessoal, recursos materiais, tecnológicos e administrativos, necessários para a manutenção das atividades das Companhias e, em especial, </w:t>
      </w:r>
      <w:r>
        <w:t xml:space="preserve">a </w:t>
      </w:r>
      <w:r w:rsidRPr="007869F5">
        <w:t xml:space="preserve">comercialização de produtos no canal bancário. </w:t>
      </w:r>
    </w:p>
    <w:p w14:paraId="5CFAC503" w14:textId="77777777" w:rsidR="00A6120B" w:rsidRDefault="00A6120B" w:rsidP="00ED0DAC">
      <w:pPr>
        <w:pStyle w:val="05-Textonormal"/>
      </w:pPr>
      <w:r w:rsidRPr="007869F5">
        <w:t>O convênio visa capturar sinergias decorrentes do compartilhamento de recursos e seus termos preveem que o ressarcimento siga critérios de rateio com base em metodologias de apuração previstas no referido convênio, observando a efetiva utilização dos recursos. Os valores do rateio são apurados e pagos mensalmente.</w:t>
      </w:r>
      <w:r>
        <w:t xml:space="preserve"> </w:t>
      </w:r>
    </w:p>
    <w:p w14:paraId="1B64E86C" w14:textId="77777777" w:rsidR="00A6120B" w:rsidRPr="007869F5" w:rsidRDefault="00A6120B" w:rsidP="00ED0DAC">
      <w:pPr>
        <w:pStyle w:val="05-Textonormal"/>
      </w:pPr>
      <w:r w:rsidRPr="007869F5">
        <w:t>O quadro a seguir apresenta os custos com remunerações e outros benefícios atribuídos ao Pessoal</w:t>
      </w:r>
      <w:r>
        <w:t>-</w:t>
      </w:r>
      <w:r w:rsidRPr="007869F5">
        <w:t>Chave da Administração da BB Seguridade, formado pela Diretoria Executiva, Comitê de Auditoria e Conselho de Administração e os custos atribuídos ao Conselho Fiscal:</w:t>
      </w:r>
    </w:p>
    <w:p w14:paraId="09353308" w14:textId="77777777" w:rsidR="00A6120B" w:rsidRPr="00DE5A2B" w:rsidRDefault="00A6120B" w:rsidP="00680B15">
      <w:pPr>
        <w:pStyle w:val="05-Textonormal"/>
        <w:spacing w:before="0" w:after="0" w:line="240" w:lineRule="auto"/>
        <w:jc w:val="right"/>
        <w:rPr>
          <w:rFonts w:cs="Arial"/>
          <w:b/>
          <w:sz w:val="14"/>
          <w:szCs w:val="14"/>
        </w:rPr>
      </w:pPr>
      <w:r w:rsidRPr="00DE5A2B">
        <w:rPr>
          <w:rFonts w:cs="Arial"/>
          <w:b/>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46"/>
        <w:gridCol w:w="597"/>
        <w:gridCol w:w="1384"/>
        <w:gridCol w:w="1385"/>
        <w:gridCol w:w="284"/>
        <w:gridCol w:w="1627"/>
        <w:gridCol w:w="1416"/>
      </w:tblGrid>
      <w:tr w:rsidR="00A6120B" w:rsidRPr="00204C30" w14:paraId="10FD2A1D" w14:textId="77777777" w:rsidTr="00584DAB">
        <w:trPr>
          <w:trHeight w:val="227"/>
          <w:jc w:val="center"/>
        </w:trPr>
        <w:tc>
          <w:tcPr>
            <w:tcW w:w="6312" w:type="dxa"/>
            <w:gridSpan w:val="4"/>
            <w:tcBorders>
              <w:top w:val="single" w:sz="2" w:space="0" w:color="1F4E79" w:themeColor="accent1" w:themeShade="80"/>
              <w:bottom w:val="single" w:sz="2" w:space="0" w:color="1F4E79" w:themeColor="accent1" w:themeShade="80"/>
            </w:tcBorders>
            <w:shd w:val="clear" w:color="auto" w:fill="auto"/>
          </w:tcPr>
          <w:p w14:paraId="58F36B6F" w14:textId="77777777" w:rsidR="00A6120B" w:rsidRPr="00204C30" w:rsidRDefault="00A6120B" w:rsidP="0049220F">
            <w:pPr>
              <w:keepNext/>
              <w:keepLines/>
              <w:spacing w:before="40" w:after="40"/>
              <w:jc w:val="right"/>
              <w:rPr>
                <w:rFonts w:cs="Arial"/>
                <w:b/>
                <w:spacing w:val="-2"/>
                <w:sz w:val="14"/>
                <w:szCs w:val="14"/>
              </w:rPr>
            </w:pPr>
          </w:p>
        </w:tc>
        <w:tc>
          <w:tcPr>
            <w:tcW w:w="284" w:type="dxa"/>
            <w:tcBorders>
              <w:top w:val="single" w:sz="2" w:space="0" w:color="1F4E79" w:themeColor="accent1" w:themeShade="80"/>
              <w:bottom w:val="single" w:sz="2" w:space="0" w:color="1F4E79" w:themeColor="accent1" w:themeShade="80"/>
            </w:tcBorders>
            <w:shd w:val="clear" w:color="auto" w:fill="auto"/>
          </w:tcPr>
          <w:p w14:paraId="0D6D5DA4" w14:textId="77777777" w:rsidR="00A6120B" w:rsidRPr="00204C30" w:rsidRDefault="00A6120B" w:rsidP="0049220F">
            <w:pPr>
              <w:keepNext/>
              <w:keepLines/>
              <w:spacing w:before="40" w:after="40"/>
              <w:jc w:val="right"/>
              <w:rPr>
                <w:rFonts w:cs="Arial"/>
                <w:b/>
                <w:spacing w:val="-2"/>
                <w:sz w:val="14"/>
                <w:szCs w:val="14"/>
              </w:rPr>
            </w:pPr>
          </w:p>
        </w:tc>
        <w:tc>
          <w:tcPr>
            <w:tcW w:w="1627" w:type="dxa"/>
            <w:tcBorders>
              <w:top w:val="single" w:sz="2" w:space="0" w:color="1F4E79" w:themeColor="accent1" w:themeShade="80"/>
              <w:bottom w:val="single" w:sz="2" w:space="0" w:color="1F4E79" w:themeColor="accent1" w:themeShade="80"/>
            </w:tcBorders>
            <w:shd w:val="clear" w:color="auto" w:fill="auto"/>
          </w:tcPr>
          <w:p w14:paraId="37AE07AA" w14:textId="77777777" w:rsidR="00A6120B" w:rsidRPr="00204C30" w:rsidRDefault="00A6120B" w:rsidP="00ED0DAC">
            <w:pPr>
              <w:keepNext/>
              <w:keepLines/>
              <w:spacing w:before="40" w:after="40"/>
              <w:jc w:val="right"/>
              <w:rPr>
                <w:rFonts w:cs="Arial"/>
                <w:b/>
                <w:spacing w:val="-2"/>
                <w:sz w:val="14"/>
                <w:szCs w:val="14"/>
              </w:rPr>
            </w:pPr>
            <w:r>
              <w:rPr>
                <w:rFonts w:cs="Arial"/>
                <w:b/>
                <w:spacing w:val="-2"/>
                <w:sz w:val="14"/>
                <w:szCs w:val="14"/>
              </w:rPr>
              <w:t>Exercício 2021</w:t>
            </w:r>
          </w:p>
        </w:tc>
        <w:tc>
          <w:tcPr>
            <w:tcW w:w="1416" w:type="dxa"/>
            <w:tcBorders>
              <w:top w:val="single" w:sz="2" w:space="0" w:color="1F4E79" w:themeColor="accent1" w:themeShade="80"/>
              <w:bottom w:val="single" w:sz="2" w:space="0" w:color="1F4E79" w:themeColor="accent1" w:themeShade="80"/>
            </w:tcBorders>
            <w:shd w:val="clear" w:color="auto" w:fill="auto"/>
          </w:tcPr>
          <w:p w14:paraId="2A68C93E" w14:textId="77777777" w:rsidR="00A6120B" w:rsidRPr="00204C30" w:rsidRDefault="00A6120B" w:rsidP="001E4B30">
            <w:pPr>
              <w:keepNext/>
              <w:keepLines/>
              <w:spacing w:before="40" w:after="40"/>
              <w:jc w:val="right"/>
              <w:rPr>
                <w:rFonts w:cs="Arial"/>
                <w:b/>
                <w:spacing w:val="-2"/>
                <w:sz w:val="14"/>
                <w:szCs w:val="14"/>
              </w:rPr>
            </w:pPr>
            <w:r>
              <w:rPr>
                <w:rFonts w:cs="Arial"/>
                <w:b/>
                <w:spacing w:val="-2"/>
                <w:sz w:val="14"/>
                <w:szCs w:val="14"/>
              </w:rPr>
              <w:t>Exercício 2020</w:t>
            </w:r>
          </w:p>
        </w:tc>
      </w:tr>
      <w:tr w:rsidR="00A6120B" w:rsidRPr="005A6905" w14:paraId="501E3A0A" w14:textId="77777777" w:rsidTr="001D1561">
        <w:trPr>
          <w:trHeight w:val="227"/>
          <w:jc w:val="center"/>
        </w:trPr>
        <w:tc>
          <w:tcPr>
            <w:tcW w:w="2946" w:type="dxa"/>
            <w:tcBorders>
              <w:top w:val="single" w:sz="2" w:space="0" w:color="1F4E79" w:themeColor="accent1" w:themeShade="80"/>
            </w:tcBorders>
            <w:shd w:val="clear" w:color="auto" w:fill="auto"/>
          </w:tcPr>
          <w:p w14:paraId="5B45652A" w14:textId="77777777" w:rsidR="00A6120B" w:rsidRPr="005A6905" w:rsidRDefault="00A6120B" w:rsidP="00FC2B49">
            <w:pPr>
              <w:pStyle w:val="08-Tabelageral"/>
              <w:jc w:val="left"/>
              <w:rPr>
                <w:rFonts w:cs="Arial"/>
                <w:b/>
                <w:szCs w:val="14"/>
              </w:rPr>
            </w:pPr>
            <w:r w:rsidRPr="005A6905">
              <w:rPr>
                <w:rFonts w:cs="Arial"/>
                <w:b/>
                <w:szCs w:val="14"/>
              </w:rPr>
              <w:t>Benefícios de curto prazo</w:t>
            </w:r>
          </w:p>
        </w:tc>
        <w:tc>
          <w:tcPr>
            <w:tcW w:w="597" w:type="dxa"/>
            <w:tcBorders>
              <w:top w:val="single" w:sz="2" w:space="0" w:color="1F4E79" w:themeColor="accent1" w:themeShade="80"/>
            </w:tcBorders>
            <w:shd w:val="clear" w:color="auto" w:fill="auto"/>
          </w:tcPr>
          <w:p w14:paraId="1046D2CE" w14:textId="77777777" w:rsidR="00A6120B" w:rsidRPr="005A6905" w:rsidRDefault="00A6120B" w:rsidP="00FC2B49">
            <w:pPr>
              <w:pStyle w:val="08-Tabelageral"/>
              <w:rPr>
                <w:rFonts w:cs="Arial"/>
                <w:b/>
                <w:szCs w:val="14"/>
              </w:rPr>
            </w:pPr>
          </w:p>
        </w:tc>
        <w:tc>
          <w:tcPr>
            <w:tcW w:w="1384" w:type="dxa"/>
            <w:tcBorders>
              <w:top w:val="single" w:sz="2" w:space="0" w:color="1F4E79" w:themeColor="accent1" w:themeShade="80"/>
            </w:tcBorders>
            <w:shd w:val="clear" w:color="auto" w:fill="auto"/>
          </w:tcPr>
          <w:p w14:paraId="0811D473" w14:textId="77777777" w:rsidR="00A6120B" w:rsidRPr="005A6905" w:rsidRDefault="00A6120B" w:rsidP="00FC2B49">
            <w:pPr>
              <w:pStyle w:val="08-Tabelageral"/>
              <w:rPr>
                <w:rFonts w:cs="Arial"/>
                <w:b/>
                <w:szCs w:val="14"/>
              </w:rPr>
            </w:pPr>
          </w:p>
        </w:tc>
        <w:tc>
          <w:tcPr>
            <w:tcW w:w="1385" w:type="dxa"/>
            <w:tcBorders>
              <w:top w:val="single" w:sz="2" w:space="0" w:color="1F4E79" w:themeColor="accent1" w:themeShade="80"/>
            </w:tcBorders>
            <w:shd w:val="clear" w:color="auto" w:fill="auto"/>
          </w:tcPr>
          <w:p w14:paraId="2F0FE851" w14:textId="77777777" w:rsidR="00A6120B" w:rsidRPr="005A6905" w:rsidRDefault="00A6120B" w:rsidP="00FC2B49">
            <w:pPr>
              <w:pStyle w:val="08-Tabelageral"/>
              <w:rPr>
                <w:rFonts w:cs="Arial"/>
                <w:b/>
                <w:szCs w:val="14"/>
              </w:rPr>
            </w:pPr>
          </w:p>
        </w:tc>
        <w:tc>
          <w:tcPr>
            <w:tcW w:w="284" w:type="dxa"/>
            <w:tcBorders>
              <w:top w:val="single" w:sz="2" w:space="0" w:color="1F4E79" w:themeColor="accent1" w:themeShade="80"/>
            </w:tcBorders>
            <w:shd w:val="clear" w:color="auto" w:fill="auto"/>
          </w:tcPr>
          <w:p w14:paraId="1050292C" w14:textId="77777777" w:rsidR="00A6120B" w:rsidRPr="005A6905" w:rsidRDefault="00A6120B" w:rsidP="00FC2B49">
            <w:pPr>
              <w:pStyle w:val="08-Tabelageral"/>
              <w:rPr>
                <w:rFonts w:cs="Arial"/>
                <w:b/>
                <w:szCs w:val="14"/>
              </w:rPr>
            </w:pPr>
          </w:p>
        </w:tc>
        <w:tc>
          <w:tcPr>
            <w:tcW w:w="1627" w:type="dxa"/>
            <w:tcBorders>
              <w:top w:val="single" w:sz="2" w:space="0" w:color="8EAADB" w:themeColor="accent5" w:themeTint="99"/>
            </w:tcBorders>
            <w:shd w:val="clear" w:color="auto" w:fill="auto"/>
            <w:vAlign w:val="center"/>
          </w:tcPr>
          <w:p w14:paraId="6E4823DF" w14:textId="77777777" w:rsidR="00A6120B" w:rsidRPr="00ED3E42" w:rsidRDefault="00A6120B" w:rsidP="00FC2B49">
            <w:pPr>
              <w:pStyle w:val="08-Tabelageral"/>
              <w:rPr>
                <w:b/>
              </w:rPr>
            </w:pPr>
            <w:r w:rsidRPr="00ED3E42">
              <w:rPr>
                <w:b/>
              </w:rPr>
              <w:t>6.350</w:t>
            </w:r>
          </w:p>
        </w:tc>
        <w:tc>
          <w:tcPr>
            <w:tcW w:w="1416" w:type="dxa"/>
            <w:tcBorders>
              <w:top w:val="single" w:sz="2" w:space="0" w:color="1F4E79" w:themeColor="accent1" w:themeShade="80"/>
            </w:tcBorders>
            <w:shd w:val="clear" w:color="auto" w:fill="auto"/>
          </w:tcPr>
          <w:p w14:paraId="60950644" w14:textId="77777777" w:rsidR="00A6120B" w:rsidRPr="00ED3E42" w:rsidRDefault="00A6120B" w:rsidP="00FC2B49">
            <w:pPr>
              <w:pStyle w:val="08-Tabelageral"/>
              <w:rPr>
                <w:b/>
              </w:rPr>
            </w:pPr>
            <w:r w:rsidRPr="00ED3E42">
              <w:rPr>
                <w:b/>
              </w:rPr>
              <w:t>6.406</w:t>
            </w:r>
          </w:p>
        </w:tc>
      </w:tr>
      <w:tr w:rsidR="00A6120B" w:rsidRPr="005A6905" w14:paraId="35568FCD" w14:textId="77777777" w:rsidTr="001D1561">
        <w:trPr>
          <w:trHeight w:val="227"/>
          <w:jc w:val="center"/>
        </w:trPr>
        <w:tc>
          <w:tcPr>
            <w:tcW w:w="2946" w:type="dxa"/>
            <w:shd w:val="clear" w:color="auto" w:fill="auto"/>
          </w:tcPr>
          <w:p w14:paraId="32A57B95" w14:textId="77777777" w:rsidR="00A6120B" w:rsidRPr="005A6905" w:rsidRDefault="00A6120B" w:rsidP="00FC2B49">
            <w:pPr>
              <w:pStyle w:val="08-Tabelageral"/>
              <w:jc w:val="left"/>
              <w:rPr>
                <w:rFonts w:cs="Arial"/>
                <w:b/>
                <w:szCs w:val="14"/>
              </w:rPr>
            </w:pPr>
            <w:r w:rsidRPr="005A6905">
              <w:rPr>
                <w:rFonts w:cs="Arial"/>
                <w:b/>
                <w:szCs w:val="14"/>
              </w:rPr>
              <w:t xml:space="preserve">  Honorários e encargos sociais</w:t>
            </w:r>
          </w:p>
        </w:tc>
        <w:tc>
          <w:tcPr>
            <w:tcW w:w="597" w:type="dxa"/>
            <w:shd w:val="clear" w:color="auto" w:fill="auto"/>
          </w:tcPr>
          <w:p w14:paraId="1182D6D4" w14:textId="77777777" w:rsidR="00A6120B" w:rsidRPr="005A6905" w:rsidRDefault="00A6120B" w:rsidP="00FC2B49">
            <w:pPr>
              <w:pStyle w:val="08-Tabelageral"/>
              <w:rPr>
                <w:rFonts w:cs="Arial"/>
                <w:b/>
                <w:szCs w:val="14"/>
              </w:rPr>
            </w:pPr>
          </w:p>
        </w:tc>
        <w:tc>
          <w:tcPr>
            <w:tcW w:w="1384" w:type="dxa"/>
            <w:shd w:val="clear" w:color="auto" w:fill="auto"/>
          </w:tcPr>
          <w:p w14:paraId="6378325E" w14:textId="77777777" w:rsidR="00A6120B" w:rsidRPr="005A6905" w:rsidRDefault="00A6120B" w:rsidP="00FC2B49">
            <w:pPr>
              <w:pStyle w:val="08-Tabelageral"/>
              <w:rPr>
                <w:rFonts w:cs="Arial"/>
                <w:b/>
                <w:szCs w:val="14"/>
              </w:rPr>
            </w:pPr>
          </w:p>
        </w:tc>
        <w:tc>
          <w:tcPr>
            <w:tcW w:w="1385" w:type="dxa"/>
            <w:shd w:val="clear" w:color="auto" w:fill="auto"/>
          </w:tcPr>
          <w:p w14:paraId="15313890" w14:textId="77777777" w:rsidR="00A6120B" w:rsidRPr="005A6905" w:rsidRDefault="00A6120B" w:rsidP="00FC2B49">
            <w:pPr>
              <w:pStyle w:val="08-Tabelageral"/>
              <w:rPr>
                <w:rFonts w:cs="Arial"/>
                <w:b/>
                <w:szCs w:val="14"/>
              </w:rPr>
            </w:pPr>
          </w:p>
        </w:tc>
        <w:tc>
          <w:tcPr>
            <w:tcW w:w="284" w:type="dxa"/>
            <w:shd w:val="clear" w:color="auto" w:fill="auto"/>
          </w:tcPr>
          <w:p w14:paraId="1C539BD2" w14:textId="77777777" w:rsidR="00A6120B" w:rsidRPr="005A6905" w:rsidRDefault="00A6120B" w:rsidP="00FC2B49">
            <w:pPr>
              <w:pStyle w:val="08-Tabelageral"/>
              <w:rPr>
                <w:rFonts w:cs="Arial"/>
                <w:b/>
                <w:szCs w:val="14"/>
              </w:rPr>
            </w:pPr>
          </w:p>
        </w:tc>
        <w:tc>
          <w:tcPr>
            <w:tcW w:w="1627" w:type="dxa"/>
            <w:shd w:val="clear" w:color="auto" w:fill="auto"/>
            <w:vAlign w:val="center"/>
          </w:tcPr>
          <w:p w14:paraId="4E8D80E9" w14:textId="77777777" w:rsidR="00A6120B" w:rsidRPr="00ED3E42" w:rsidRDefault="00A6120B" w:rsidP="00FC2B49">
            <w:pPr>
              <w:pStyle w:val="08-Tabelageral"/>
              <w:rPr>
                <w:b/>
              </w:rPr>
            </w:pPr>
            <w:r w:rsidRPr="00ED3E42">
              <w:rPr>
                <w:b/>
              </w:rPr>
              <w:t>5.019</w:t>
            </w:r>
          </w:p>
        </w:tc>
        <w:tc>
          <w:tcPr>
            <w:tcW w:w="1416" w:type="dxa"/>
            <w:shd w:val="clear" w:color="auto" w:fill="auto"/>
          </w:tcPr>
          <w:p w14:paraId="25973846" w14:textId="77777777" w:rsidR="00A6120B" w:rsidRPr="00ED3E42" w:rsidRDefault="00A6120B" w:rsidP="00FC2B49">
            <w:pPr>
              <w:pStyle w:val="08-Tabelageral"/>
              <w:rPr>
                <w:b/>
              </w:rPr>
            </w:pPr>
            <w:r w:rsidRPr="00ED3E42">
              <w:rPr>
                <w:b/>
              </w:rPr>
              <w:t>4.777</w:t>
            </w:r>
          </w:p>
        </w:tc>
      </w:tr>
      <w:tr w:rsidR="00A6120B" w:rsidRPr="00204C30" w14:paraId="6F0533BA" w14:textId="77777777" w:rsidTr="001D1561">
        <w:trPr>
          <w:trHeight w:val="227"/>
          <w:jc w:val="center"/>
        </w:trPr>
        <w:tc>
          <w:tcPr>
            <w:tcW w:w="2946" w:type="dxa"/>
            <w:shd w:val="clear" w:color="auto" w:fill="auto"/>
          </w:tcPr>
          <w:p w14:paraId="54D7720E" w14:textId="77777777" w:rsidR="00A6120B" w:rsidRPr="00204C30" w:rsidRDefault="00A6120B" w:rsidP="00FC2B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Diretoria Executiva</w:t>
            </w:r>
          </w:p>
        </w:tc>
        <w:tc>
          <w:tcPr>
            <w:tcW w:w="597" w:type="dxa"/>
            <w:shd w:val="clear" w:color="auto" w:fill="auto"/>
          </w:tcPr>
          <w:p w14:paraId="683F60F8" w14:textId="77777777" w:rsidR="00A6120B" w:rsidRPr="00204C30" w:rsidRDefault="00A6120B" w:rsidP="00FC2B49">
            <w:pPr>
              <w:pStyle w:val="08-Tabelageral"/>
              <w:rPr>
                <w:rFonts w:cs="Arial"/>
                <w:szCs w:val="14"/>
              </w:rPr>
            </w:pPr>
          </w:p>
        </w:tc>
        <w:tc>
          <w:tcPr>
            <w:tcW w:w="1384" w:type="dxa"/>
            <w:shd w:val="clear" w:color="auto" w:fill="auto"/>
          </w:tcPr>
          <w:p w14:paraId="6277FAC9" w14:textId="77777777" w:rsidR="00A6120B" w:rsidRPr="00204C30" w:rsidRDefault="00A6120B" w:rsidP="00FC2B49">
            <w:pPr>
              <w:pStyle w:val="08-Tabelageral"/>
              <w:rPr>
                <w:rFonts w:cs="Arial"/>
                <w:szCs w:val="14"/>
              </w:rPr>
            </w:pPr>
          </w:p>
        </w:tc>
        <w:tc>
          <w:tcPr>
            <w:tcW w:w="1385" w:type="dxa"/>
            <w:shd w:val="clear" w:color="auto" w:fill="auto"/>
          </w:tcPr>
          <w:p w14:paraId="2FDCD20E" w14:textId="77777777" w:rsidR="00A6120B" w:rsidRPr="00204C30" w:rsidRDefault="00A6120B" w:rsidP="00FC2B49">
            <w:pPr>
              <w:pStyle w:val="08-Tabelageral"/>
              <w:rPr>
                <w:rFonts w:cs="Arial"/>
                <w:szCs w:val="14"/>
              </w:rPr>
            </w:pPr>
          </w:p>
        </w:tc>
        <w:tc>
          <w:tcPr>
            <w:tcW w:w="284" w:type="dxa"/>
            <w:shd w:val="clear" w:color="auto" w:fill="auto"/>
          </w:tcPr>
          <w:p w14:paraId="45731F2E" w14:textId="77777777" w:rsidR="00A6120B" w:rsidRPr="00204C30" w:rsidRDefault="00A6120B" w:rsidP="00FC2B49">
            <w:pPr>
              <w:pStyle w:val="08-Tabelageral"/>
              <w:rPr>
                <w:rFonts w:cs="Arial"/>
                <w:szCs w:val="14"/>
              </w:rPr>
            </w:pPr>
          </w:p>
        </w:tc>
        <w:tc>
          <w:tcPr>
            <w:tcW w:w="1627" w:type="dxa"/>
            <w:shd w:val="clear" w:color="auto" w:fill="auto"/>
            <w:vAlign w:val="center"/>
          </w:tcPr>
          <w:p w14:paraId="6C7FF51C" w14:textId="77777777" w:rsidR="00A6120B" w:rsidRPr="005A6905" w:rsidRDefault="00A6120B" w:rsidP="00FC2B49">
            <w:pPr>
              <w:pStyle w:val="08-Tabelageral"/>
            </w:pPr>
            <w:r>
              <w:rPr>
                <w:bCs/>
              </w:rPr>
              <w:t>3.594</w:t>
            </w:r>
          </w:p>
        </w:tc>
        <w:tc>
          <w:tcPr>
            <w:tcW w:w="1416" w:type="dxa"/>
            <w:shd w:val="clear" w:color="auto" w:fill="auto"/>
          </w:tcPr>
          <w:p w14:paraId="03EB255E" w14:textId="77777777" w:rsidR="00A6120B" w:rsidRPr="006C5515" w:rsidRDefault="00A6120B" w:rsidP="00FC2B49">
            <w:pPr>
              <w:pStyle w:val="08-Tabelageral"/>
            </w:pPr>
            <w:r w:rsidRPr="001157E5">
              <w:t>3.388</w:t>
            </w:r>
          </w:p>
        </w:tc>
      </w:tr>
      <w:tr w:rsidR="00A6120B" w:rsidRPr="00204C30" w14:paraId="20356DD5" w14:textId="77777777" w:rsidTr="001D1561">
        <w:trPr>
          <w:trHeight w:val="227"/>
          <w:jc w:val="center"/>
        </w:trPr>
        <w:tc>
          <w:tcPr>
            <w:tcW w:w="2946" w:type="dxa"/>
            <w:shd w:val="clear" w:color="auto" w:fill="auto"/>
          </w:tcPr>
          <w:p w14:paraId="359E69B2" w14:textId="77777777" w:rsidR="00A6120B" w:rsidRPr="00204C30" w:rsidRDefault="00A6120B" w:rsidP="00FC2B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Comitê de Auditoria</w:t>
            </w:r>
          </w:p>
        </w:tc>
        <w:tc>
          <w:tcPr>
            <w:tcW w:w="597" w:type="dxa"/>
            <w:shd w:val="clear" w:color="auto" w:fill="auto"/>
          </w:tcPr>
          <w:p w14:paraId="1949A6B6" w14:textId="77777777" w:rsidR="00A6120B" w:rsidRPr="00204C30" w:rsidRDefault="00A6120B" w:rsidP="00FC2B49">
            <w:pPr>
              <w:pStyle w:val="08-Tabelageral"/>
              <w:rPr>
                <w:rFonts w:cs="Arial"/>
                <w:szCs w:val="14"/>
              </w:rPr>
            </w:pPr>
          </w:p>
        </w:tc>
        <w:tc>
          <w:tcPr>
            <w:tcW w:w="1384" w:type="dxa"/>
            <w:shd w:val="clear" w:color="auto" w:fill="auto"/>
          </w:tcPr>
          <w:p w14:paraId="398D4DD0" w14:textId="77777777" w:rsidR="00A6120B" w:rsidRPr="00204C30" w:rsidRDefault="00A6120B" w:rsidP="00FC2B49">
            <w:pPr>
              <w:pStyle w:val="08-Tabelageral"/>
              <w:rPr>
                <w:rFonts w:cs="Arial"/>
                <w:szCs w:val="14"/>
              </w:rPr>
            </w:pPr>
          </w:p>
        </w:tc>
        <w:tc>
          <w:tcPr>
            <w:tcW w:w="1385" w:type="dxa"/>
            <w:shd w:val="clear" w:color="auto" w:fill="auto"/>
          </w:tcPr>
          <w:p w14:paraId="7CEEF927" w14:textId="77777777" w:rsidR="00A6120B" w:rsidRPr="00204C30" w:rsidRDefault="00A6120B" w:rsidP="00FC2B49">
            <w:pPr>
              <w:pStyle w:val="08-Tabelageral"/>
              <w:rPr>
                <w:rFonts w:cs="Arial"/>
                <w:szCs w:val="14"/>
              </w:rPr>
            </w:pPr>
          </w:p>
        </w:tc>
        <w:tc>
          <w:tcPr>
            <w:tcW w:w="284" w:type="dxa"/>
            <w:shd w:val="clear" w:color="auto" w:fill="auto"/>
          </w:tcPr>
          <w:p w14:paraId="76D95024" w14:textId="77777777" w:rsidR="00A6120B" w:rsidRPr="00204C30" w:rsidRDefault="00A6120B" w:rsidP="00FC2B49">
            <w:pPr>
              <w:pStyle w:val="08-Tabelageral"/>
              <w:rPr>
                <w:rFonts w:cs="Arial"/>
                <w:szCs w:val="14"/>
              </w:rPr>
            </w:pPr>
          </w:p>
        </w:tc>
        <w:tc>
          <w:tcPr>
            <w:tcW w:w="1627" w:type="dxa"/>
            <w:shd w:val="clear" w:color="auto" w:fill="auto"/>
            <w:vAlign w:val="center"/>
          </w:tcPr>
          <w:p w14:paraId="09E46267" w14:textId="77777777" w:rsidR="00A6120B" w:rsidRPr="005A6905" w:rsidRDefault="00A6120B" w:rsidP="00FC2B49">
            <w:pPr>
              <w:pStyle w:val="08-Tabelageral"/>
            </w:pPr>
            <w:r>
              <w:rPr>
                <w:bCs/>
              </w:rPr>
              <w:t>725</w:t>
            </w:r>
          </w:p>
        </w:tc>
        <w:tc>
          <w:tcPr>
            <w:tcW w:w="1416" w:type="dxa"/>
            <w:shd w:val="clear" w:color="auto" w:fill="auto"/>
          </w:tcPr>
          <w:p w14:paraId="199FBD7F" w14:textId="77777777" w:rsidR="00A6120B" w:rsidRPr="006C5515" w:rsidRDefault="00A6120B" w:rsidP="00FC2B49">
            <w:pPr>
              <w:pStyle w:val="08-Tabelageral"/>
            </w:pPr>
            <w:r w:rsidRPr="001157E5">
              <w:t>719</w:t>
            </w:r>
          </w:p>
        </w:tc>
      </w:tr>
      <w:tr w:rsidR="00A6120B" w:rsidRPr="00204C30" w14:paraId="6EBAEC4B" w14:textId="77777777" w:rsidTr="001D1561">
        <w:trPr>
          <w:trHeight w:val="227"/>
          <w:jc w:val="center"/>
        </w:trPr>
        <w:tc>
          <w:tcPr>
            <w:tcW w:w="2946" w:type="dxa"/>
            <w:shd w:val="clear" w:color="auto" w:fill="auto"/>
          </w:tcPr>
          <w:p w14:paraId="3CC33CCD" w14:textId="77777777" w:rsidR="00A6120B" w:rsidRPr="00204C30" w:rsidRDefault="00A6120B" w:rsidP="00FC2B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de Administração</w:t>
            </w:r>
          </w:p>
        </w:tc>
        <w:tc>
          <w:tcPr>
            <w:tcW w:w="597" w:type="dxa"/>
            <w:shd w:val="clear" w:color="auto" w:fill="auto"/>
          </w:tcPr>
          <w:p w14:paraId="290055B2" w14:textId="77777777" w:rsidR="00A6120B" w:rsidRPr="00204C30" w:rsidRDefault="00A6120B" w:rsidP="00FC2B49">
            <w:pPr>
              <w:pStyle w:val="08-Tabelageral"/>
              <w:rPr>
                <w:rFonts w:cs="Arial"/>
                <w:szCs w:val="14"/>
              </w:rPr>
            </w:pPr>
          </w:p>
        </w:tc>
        <w:tc>
          <w:tcPr>
            <w:tcW w:w="1384" w:type="dxa"/>
            <w:shd w:val="clear" w:color="auto" w:fill="auto"/>
          </w:tcPr>
          <w:p w14:paraId="0CE4639C" w14:textId="77777777" w:rsidR="00A6120B" w:rsidRPr="00204C30" w:rsidRDefault="00A6120B" w:rsidP="00FC2B49">
            <w:pPr>
              <w:pStyle w:val="08-Tabelageral"/>
              <w:rPr>
                <w:rFonts w:cs="Arial"/>
                <w:szCs w:val="14"/>
              </w:rPr>
            </w:pPr>
          </w:p>
        </w:tc>
        <w:tc>
          <w:tcPr>
            <w:tcW w:w="1385" w:type="dxa"/>
            <w:shd w:val="clear" w:color="auto" w:fill="auto"/>
          </w:tcPr>
          <w:p w14:paraId="30CE1843" w14:textId="77777777" w:rsidR="00A6120B" w:rsidRPr="00204C30" w:rsidRDefault="00A6120B" w:rsidP="00FC2B49">
            <w:pPr>
              <w:pStyle w:val="08-Tabelageral"/>
              <w:rPr>
                <w:rFonts w:cs="Arial"/>
                <w:szCs w:val="14"/>
              </w:rPr>
            </w:pPr>
          </w:p>
        </w:tc>
        <w:tc>
          <w:tcPr>
            <w:tcW w:w="284" w:type="dxa"/>
            <w:shd w:val="clear" w:color="auto" w:fill="auto"/>
          </w:tcPr>
          <w:p w14:paraId="6D858BD8" w14:textId="77777777" w:rsidR="00A6120B" w:rsidRPr="00204C30" w:rsidRDefault="00A6120B" w:rsidP="00FC2B49">
            <w:pPr>
              <w:pStyle w:val="08-Tabelageral"/>
              <w:rPr>
                <w:rFonts w:cs="Arial"/>
                <w:szCs w:val="14"/>
              </w:rPr>
            </w:pPr>
          </w:p>
        </w:tc>
        <w:tc>
          <w:tcPr>
            <w:tcW w:w="1627" w:type="dxa"/>
            <w:shd w:val="clear" w:color="auto" w:fill="auto"/>
            <w:vAlign w:val="center"/>
          </w:tcPr>
          <w:p w14:paraId="3752BE94" w14:textId="77777777" w:rsidR="00A6120B" w:rsidRPr="005A6905" w:rsidRDefault="00A6120B" w:rsidP="00FC2B49">
            <w:pPr>
              <w:pStyle w:val="08-Tabelageral"/>
            </w:pPr>
            <w:r>
              <w:rPr>
                <w:bCs/>
              </w:rPr>
              <w:t>300</w:t>
            </w:r>
          </w:p>
        </w:tc>
        <w:tc>
          <w:tcPr>
            <w:tcW w:w="1416" w:type="dxa"/>
            <w:shd w:val="clear" w:color="auto" w:fill="auto"/>
          </w:tcPr>
          <w:p w14:paraId="7C65F6D3" w14:textId="77777777" w:rsidR="00A6120B" w:rsidRPr="006C5515" w:rsidRDefault="00A6120B" w:rsidP="00FC2B49">
            <w:pPr>
              <w:pStyle w:val="08-Tabelageral"/>
            </w:pPr>
            <w:r w:rsidRPr="001157E5">
              <w:t>306</w:t>
            </w:r>
          </w:p>
        </w:tc>
      </w:tr>
      <w:tr w:rsidR="00A6120B" w:rsidRPr="00204C30" w14:paraId="4D214AD6" w14:textId="77777777" w:rsidTr="001D1561">
        <w:trPr>
          <w:trHeight w:val="227"/>
          <w:jc w:val="center"/>
        </w:trPr>
        <w:tc>
          <w:tcPr>
            <w:tcW w:w="2946" w:type="dxa"/>
            <w:shd w:val="clear" w:color="auto" w:fill="auto"/>
          </w:tcPr>
          <w:p w14:paraId="1407EBF7" w14:textId="77777777" w:rsidR="00A6120B" w:rsidRPr="00204C30" w:rsidRDefault="00A6120B" w:rsidP="00FC2B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Fiscal</w:t>
            </w:r>
          </w:p>
        </w:tc>
        <w:tc>
          <w:tcPr>
            <w:tcW w:w="597" w:type="dxa"/>
            <w:shd w:val="clear" w:color="auto" w:fill="auto"/>
          </w:tcPr>
          <w:p w14:paraId="0EF419CE" w14:textId="77777777" w:rsidR="00A6120B" w:rsidRPr="00204C30" w:rsidRDefault="00A6120B" w:rsidP="00FC2B49">
            <w:pPr>
              <w:pStyle w:val="08-Tabelageral"/>
              <w:rPr>
                <w:rFonts w:cs="Arial"/>
                <w:szCs w:val="14"/>
              </w:rPr>
            </w:pPr>
          </w:p>
        </w:tc>
        <w:tc>
          <w:tcPr>
            <w:tcW w:w="1384" w:type="dxa"/>
            <w:shd w:val="clear" w:color="auto" w:fill="auto"/>
          </w:tcPr>
          <w:p w14:paraId="458EBAB8" w14:textId="77777777" w:rsidR="00A6120B" w:rsidRPr="00204C30" w:rsidRDefault="00A6120B" w:rsidP="00FC2B49">
            <w:pPr>
              <w:pStyle w:val="08-Tabelageral"/>
              <w:rPr>
                <w:rFonts w:cs="Arial"/>
                <w:szCs w:val="14"/>
              </w:rPr>
            </w:pPr>
          </w:p>
        </w:tc>
        <w:tc>
          <w:tcPr>
            <w:tcW w:w="1385" w:type="dxa"/>
            <w:shd w:val="clear" w:color="auto" w:fill="auto"/>
          </w:tcPr>
          <w:p w14:paraId="0F9DF83E" w14:textId="77777777" w:rsidR="00A6120B" w:rsidRPr="00204C30" w:rsidRDefault="00A6120B" w:rsidP="00FC2B49">
            <w:pPr>
              <w:pStyle w:val="08-Tabelageral"/>
              <w:rPr>
                <w:rFonts w:cs="Arial"/>
                <w:szCs w:val="14"/>
              </w:rPr>
            </w:pPr>
          </w:p>
        </w:tc>
        <w:tc>
          <w:tcPr>
            <w:tcW w:w="284" w:type="dxa"/>
            <w:shd w:val="clear" w:color="auto" w:fill="auto"/>
          </w:tcPr>
          <w:p w14:paraId="3A491C5E" w14:textId="77777777" w:rsidR="00A6120B" w:rsidRPr="00204C30" w:rsidRDefault="00A6120B" w:rsidP="00FC2B49">
            <w:pPr>
              <w:pStyle w:val="08-Tabelageral"/>
              <w:rPr>
                <w:rFonts w:cs="Arial"/>
                <w:szCs w:val="14"/>
              </w:rPr>
            </w:pPr>
          </w:p>
        </w:tc>
        <w:tc>
          <w:tcPr>
            <w:tcW w:w="1627" w:type="dxa"/>
            <w:shd w:val="clear" w:color="auto" w:fill="auto"/>
            <w:vAlign w:val="center"/>
          </w:tcPr>
          <w:p w14:paraId="21D224AE" w14:textId="77777777" w:rsidR="00A6120B" w:rsidRPr="005A6905" w:rsidRDefault="00A6120B" w:rsidP="00FC2B49">
            <w:pPr>
              <w:pStyle w:val="08-Tabelageral"/>
            </w:pPr>
            <w:r>
              <w:rPr>
                <w:bCs/>
              </w:rPr>
              <w:t>255</w:t>
            </w:r>
          </w:p>
        </w:tc>
        <w:tc>
          <w:tcPr>
            <w:tcW w:w="1416" w:type="dxa"/>
            <w:shd w:val="clear" w:color="auto" w:fill="auto"/>
          </w:tcPr>
          <w:p w14:paraId="15D5FB95" w14:textId="77777777" w:rsidR="00A6120B" w:rsidRPr="006C5515" w:rsidRDefault="00A6120B" w:rsidP="00FC2B49">
            <w:pPr>
              <w:pStyle w:val="08-Tabelageral"/>
            </w:pPr>
            <w:r w:rsidRPr="001157E5">
              <w:t>256</w:t>
            </w:r>
          </w:p>
        </w:tc>
      </w:tr>
      <w:tr w:rsidR="00A6120B" w:rsidRPr="00A92CAB" w14:paraId="7622CFED" w14:textId="77777777" w:rsidTr="00584DAB">
        <w:trPr>
          <w:trHeight w:val="227"/>
          <w:jc w:val="center"/>
        </w:trPr>
        <w:tc>
          <w:tcPr>
            <w:tcW w:w="2946" w:type="dxa"/>
            <w:shd w:val="clear" w:color="auto" w:fill="auto"/>
          </w:tcPr>
          <w:p w14:paraId="1140C711" w14:textId="77777777" w:rsidR="00A6120B" w:rsidRPr="00A91476" w:rsidRDefault="00A6120B" w:rsidP="00FC2B49">
            <w:pPr>
              <w:pStyle w:val="08-Tabelageral"/>
              <w:jc w:val="left"/>
              <w:rPr>
                <w:rFonts w:cs="Arial"/>
                <w:szCs w:val="14"/>
              </w:rPr>
            </w:pPr>
            <w:r w:rsidRPr="00A91476">
              <w:rPr>
                <w:rFonts w:cs="Arial"/>
                <w:szCs w:val="14"/>
              </w:rPr>
              <w:t xml:space="preserve">     </w:t>
            </w:r>
            <w:r>
              <w:rPr>
                <w:rFonts w:cs="Arial"/>
                <w:szCs w:val="14"/>
              </w:rPr>
              <w:t>Comitê de</w:t>
            </w:r>
            <w:r w:rsidRPr="00A91476">
              <w:rPr>
                <w:rFonts w:cs="Arial"/>
                <w:szCs w:val="14"/>
              </w:rPr>
              <w:t xml:space="preserve"> Partes Relacionadas</w:t>
            </w:r>
          </w:p>
        </w:tc>
        <w:tc>
          <w:tcPr>
            <w:tcW w:w="597" w:type="dxa"/>
            <w:shd w:val="clear" w:color="auto" w:fill="auto"/>
          </w:tcPr>
          <w:p w14:paraId="7D218A0C" w14:textId="77777777" w:rsidR="00A6120B" w:rsidRPr="00A91476" w:rsidRDefault="00A6120B" w:rsidP="00FC2B49">
            <w:pPr>
              <w:pStyle w:val="08-Tabelageral"/>
              <w:jc w:val="left"/>
              <w:rPr>
                <w:rFonts w:cs="Arial"/>
                <w:szCs w:val="14"/>
              </w:rPr>
            </w:pPr>
          </w:p>
        </w:tc>
        <w:tc>
          <w:tcPr>
            <w:tcW w:w="1384" w:type="dxa"/>
            <w:shd w:val="clear" w:color="auto" w:fill="auto"/>
          </w:tcPr>
          <w:p w14:paraId="0AB9FB61" w14:textId="77777777" w:rsidR="00A6120B" w:rsidRPr="00A91476" w:rsidRDefault="00A6120B" w:rsidP="00FC2B49">
            <w:pPr>
              <w:pStyle w:val="08-Tabelageral"/>
              <w:jc w:val="left"/>
              <w:rPr>
                <w:rFonts w:cs="Arial"/>
                <w:szCs w:val="14"/>
              </w:rPr>
            </w:pPr>
          </w:p>
        </w:tc>
        <w:tc>
          <w:tcPr>
            <w:tcW w:w="1385" w:type="dxa"/>
            <w:shd w:val="clear" w:color="auto" w:fill="auto"/>
          </w:tcPr>
          <w:p w14:paraId="1BED6606" w14:textId="77777777" w:rsidR="00A6120B" w:rsidRPr="00A91476" w:rsidRDefault="00A6120B" w:rsidP="00FC2B49">
            <w:pPr>
              <w:pStyle w:val="08-Tabelageral"/>
              <w:jc w:val="left"/>
              <w:rPr>
                <w:rFonts w:cs="Arial"/>
                <w:szCs w:val="14"/>
              </w:rPr>
            </w:pPr>
          </w:p>
        </w:tc>
        <w:tc>
          <w:tcPr>
            <w:tcW w:w="284" w:type="dxa"/>
            <w:shd w:val="clear" w:color="auto" w:fill="auto"/>
          </w:tcPr>
          <w:p w14:paraId="7D6FA6FA" w14:textId="77777777" w:rsidR="00A6120B" w:rsidRPr="00A91476" w:rsidRDefault="00A6120B" w:rsidP="00FC2B49">
            <w:pPr>
              <w:pStyle w:val="08-Tabelageral"/>
              <w:jc w:val="left"/>
              <w:rPr>
                <w:rFonts w:cs="Arial"/>
                <w:szCs w:val="14"/>
              </w:rPr>
            </w:pPr>
          </w:p>
        </w:tc>
        <w:tc>
          <w:tcPr>
            <w:tcW w:w="1627" w:type="dxa"/>
            <w:shd w:val="clear" w:color="auto" w:fill="auto"/>
          </w:tcPr>
          <w:p w14:paraId="3F65CADE" w14:textId="77777777" w:rsidR="00A6120B" w:rsidRPr="005A6905" w:rsidRDefault="00A6120B" w:rsidP="00FC2B49">
            <w:pPr>
              <w:pStyle w:val="08-Tabelageral"/>
              <w:rPr>
                <w:rFonts w:cs="Arial"/>
                <w:szCs w:val="14"/>
              </w:rPr>
            </w:pPr>
            <w:r>
              <w:rPr>
                <w:rFonts w:cs="Arial"/>
                <w:bCs/>
                <w:szCs w:val="14"/>
              </w:rPr>
              <w:t>145</w:t>
            </w:r>
          </w:p>
        </w:tc>
        <w:tc>
          <w:tcPr>
            <w:tcW w:w="1416" w:type="dxa"/>
            <w:shd w:val="clear" w:color="auto" w:fill="auto"/>
          </w:tcPr>
          <w:p w14:paraId="3F247ED7" w14:textId="77777777" w:rsidR="00A6120B" w:rsidRPr="00A92CAB" w:rsidRDefault="00A6120B" w:rsidP="00FC2B49">
            <w:pPr>
              <w:pStyle w:val="08-Tabelageral"/>
              <w:rPr>
                <w:rFonts w:cs="Arial"/>
                <w:szCs w:val="14"/>
              </w:rPr>
            </w:pPr>
            <w:r w:rsidRPr="00A92CAB">
              <w:rPr>
                <w:rFonts w:cs="Arial"/>
                <w:szCs w:val="14"/>
              </w:rPr>
              <w:t>108</w:t>
            </w:r>
          </w:p>
        </w:tc>
      </w:tr>
      <w:tr w:rsidR="00A6120B" w:rsidRPr="005A6905" w14:paraId="4D8B7768" w14:textId="77777777" w:rsidTr="007A4ED2">
        <w:trPr>
          <w:trHeight w:val="227"/>
          <w:jc w:val="center"/>
        </w:trPr>
        <w:tc>
          <w:tcPr>
            <w:tcW w:w="2946" w:type="dxa"/>
            <w:shd w:val="clear" w:color="auto" w:fill="auto"/>
          </w:tcPr>
          <w:p w14:paraId="308F9E6D" w14:textId="77777777" w:rsidR="00A6120B" w:rsidRPr="005A6905" w:rsidRDefault="00A6120B" w:rsidP="00FC2B49">
            <w:pPr>
              <w:pStyle w:val="08-Tabelageral"/>
              <w:jc w:val="left"/>
              <w:rPr>
                <w:rFonts w:cs="Arial"/>
                <w:b/>
                <w:bCs/>
                <w:szCs w:val="14"/>
              </w:rPr>
            </w:pPr>
            <w:r w:rsidRPr="005A6905">
              <w:rPr>
                <w:rFonts w:cs="Arial"/>
                <w:b/>
                <w:bCs/>
                <w:szCs w:val="14"/>
              </w:rPr>
              <w:t xml:space="preserve">  Remuneração Variável </w:t>
            </w:r>
            <w:r w:rsidRPr="005A6905">
              <w:rPr>
                <w:rFonts w:cs="Arial"/>
                <w:b/>
                <w:bCs/>
                <w:szCs w:val="14"/>
                <w:vertAlign w:val="superscript"/>
              </w:rPr>
              <w:t>(1)</w:t>
            </w:r>
          </w:p>
        </w:tc>
        <w:tc>
          <w:tcPr>
            <w:tcW w:w="597" w:type="dxa"/>
            <w:shd w:val="clear" w:color="auto" w:fill="auto"/>
          </w:tcPr>
          <w:p w14:paraId="10BD81A9" w14:textId="77777777" w:rsidR="00A6120B" w:rsidRPr="005A6905" w:rsidRDefault="00A6120B" w:rsidP="00FC2B49">
            <w:pPr>
              <w:pStyle w:val="08-Tabelageral"/>
              <w:rPr>
                <w:rFonts w:cs="Arial"/>
                <w:b/>
                <w:bCs/>
                <w:szCs w:val="14"/>
              </w:rPr>
            </w:pPr>
          </w:p>
        </w:tc>
        <w:tc>
          <w:tcPr>
            <w:tcW w:w="1384" w:type="dxa"/>
            <w:shd w:val="clear" w:color="auto" w:fill="auto"/>
          </w:tcPr>
          <w:p w14:paraId="5123DD80" w14:textId="77777777" w:rsidR="00A6120B" w:rsidRPr="005A6905" w:rsidRDefault="00A6120B" w:rsidP="00FC2B49">
            <w:pPr>
              <w:pStyle w:val="08-Tabelageral"/>
              <w:rPr>
                <w:rFonts w:cs="Arial"/>
                <w:b/>
                <w:bCs/>
                <w:szCs w:val="14"/>
              </w:rPr>
            </w:pPr>
          </w:p>
        </w:tc>
        <w:tc>
          <w:tcPr>
            <w:tcW w:w="1385" w:type="dxa"/>
            <w:shd w:val="clear" w:color="auto" w:fill="auto"/>
          </w:tcPr>
          <w:p w14:paraId="67F55EAD" w14:textId="77777777" w:rsidR="00A6120B" w:rsidRPr="005A6905" w:rsidRDefault="00A6120B" w:rsidP="00FC2B49">
            <w:pPr>
              <w:pStyle w:val="08-Tabelageral"/>
              <w:rPr>
                <w:rFonts w:cs="Arial"/>
                <w:b/>
                <w:bCs/>
                <w:szCs w:val="14"/>
              </w:rPr>
            </w:pPr>
          </w:p>
        </w:tc>
        <w:tc>
          <w:tcPr>
            <w:tcW w:w="284" w:type="dxa"/>
            <w:shd w:val="clear" w:color="auto" w:fill="auto"/>
          </w:tcPr>
          <w:p w14:paraId="4B3DF142" w14:textId="77777777" w:rsidR="00A6120B" w:rsidRPr="005A6905" w:rsidRDefault="00A6120B" w:rsidP="00FC2B49">
            <w:pPr>
              <w:pStyle w:val="08-Tabelageral"/>
              <w:rPr>
                <w:rFonts w:cs="Arial"/>
                <w:b/>
                <w:bCs/>
                <w:szCs w:val="14"/>
              </w:rPr>
            </w:pPr>
          </w:p>
        </w:tc>
        <w:tc>
          <w:tcPr>
            <w:tcW w:w="1627" w:type="dxa"/>
            <w:shd w:val="clear" w:color="auto" w:fill="auto"/>
          </w:tcPr>
          <w:p w14:paraId="225D45B9" w14:textId="77777777" w:rsidR="00A6120B" w:rsidRPr="00A365CD" w:rsidRDefault="00A6120B" w:rsidP="00FC2B49">
            <w:pPr>
              <w:pStyle w:val="08-Tabelageral"/>
              <w:rPr>
                <w:b/>
              </w:rPr>
            </w:pPr>
            <w:r w:rsidRPr="00A365CD">
              <w:rPr>
                <w:b/>
              </w:rPr>
              <w:t>811</w:t>
            </w:r>
          </w:p>
        </w:tc>
        <w:tc>
          <w:tcPr>
            <w:tcW w:w="1416" w:type="dxa"/>
            <w:shd w:val="clear" w:color="auto" w:fill="auto"/>
          </w:tcPr>
          <w:p w14:paraId="6F488E64" w14:textId="77777777" w:rsidR="00A6120B" w:rsidRPr="00A365CD" w:rsidRDefault="00A6120B" w:rsidP="00FC2B49">
            <w:pPr>
              <w:pStyle w:val="08-Tabelageral"/>
              <w:rPr>
                <w:b/>
              </w:rPr>
            </w:pPr>
            <w:r w:rsidRPr="00A365CD">
              <w:rPr>
                <w:b/>
              </w:rPr>
              <w:t>1.168</w:t>
            </w:r>
          </w:p>
        </w:tc>
      </w:tr>
      <w:tr w:rsidR="00A6120B" w:rsidRPr="005A6905" w14:paraId="376F6611" w14:textId="77777777" w:rsidTr="007A4ED2">
        <w:trPr>
          <w:trHeight w:val="227"/>
          <w:jc w:val="center"/>
        </w:trPr>
        <w:tc>
          <w:tcPr>
            <w:tcW w:w="2946" w:type="dxa"/>
            <w:shd w:val="clear" w:color="auto" w:fill="auto"/>
          </w:tcPr>
          <w:p w14:paraId="7A70ABF7" w14:textId="77777777" w:rsidR="00A6120B" w:rsidRPr="005A6905" w:rsidRDefault="00A6120B" w:rsidP="00FC2B49">
            <w:pPr>
              <w:pStyle w:val="08-Tabelageral"/>
              <w:jc w:val="left"/>
              <w:rPr>
                <w:rFonts w:cs="Arial"/>
                <w:b/>
                <w:bCs/>
                <w:szCs w:val="14"/>
              </w:rPr>
            </w:pPr>
            <w:r w:rsidRPr="005A6905">
              <w:rPr>
                <w:rFonts w:cs="Arial"/>
                <w:b/>
                <w:bCs/>
                <w:szCs w:val="14"/>
              </w:rPr>
              <w:t xml:space="preserve">  Outros </w:t>
            </w:r>
            <w:r w:rsidRPr="005A6905">
              <w:rPr>
                <w:rFonts w:cs="Arial"/>
                <w:b/>
                <w:bCs/>
                <w:szCs w:val="14"/>
                <w:vertAlign w:val="superscript"/>
              </w:rPr>
              <w:t>(2)</w:t>
            </w:r>
          </w:p>
        </w:tc>
        <w:tc>
          <w:tcPr>
            <w:tcW w:w="597" w:type="dxa"/>
            <w:shd w:val="clear" w:color="auto" w:fill="auto"/>
          </w:tcPr>
          <w:p w14:paraId="4F82251B" w14:textId="77777777" w:rsidR="00A6120B" w:rsidRPr="005A6905" w:rsidRDefault="00A6120B" w:rsidP="00FC2B49">
            <w:pPr>
              <w:pStyle w:val="08-Tabelageral"/>
              <w:rPr>
                <w:rFonts w:cs="Arial"/>
                <w:b/>
                <w:bCs/>
                <w:szCs w:val="14"/>
              </w:rPr>
            </w:pPr>
          </w:p>
        </w:tc>
        <w:tc>
          <w:tcPr>
            <w:tcW w:w="1384" w:type="dxa"/>
            <w:shd w:val="clear" w:color="auto" w:fill="auto"/>
          </w:tcPr>
          <w:p w14:paraId="4ED658BF" w14:textId="77777777" w:rsidR="00A6120B" w:rsidRPr="005A6905" w:rsidRDefault="00A6120B" w:rsidP="00FC2B49">
            <w:pPr>
              <w:pStyle w:val="08-Tabelageral"/>
              <w:rPr>
                <w:rFonts w:cs="Arial"/>
                <w:b/>
                <w:bCs/>
                <w:szCs w:val="14"/>
              </w:rPr>
            </w:pPr>
          </w:p>
        </w:tc>
        <w:tc>
          <w:tcPr>
            <w:tcW w:w="1385" w:type="dxa"/>
            <w:shd w:val="clear" w:color="auto" w:fill="auto"/>
          </w:tcPr>
          <w:p w14:paraId="10176C5C" w14:textId="77777777" w:rsidR="00A6120B" w:rsidRPr="005A6905" w:rsidRDefault="00A6120B" w:rsidP="00FC2B49">
            <w:pPr>
              <w:pStyle w:val="08-Tabelageral"/>
              <w:rPr>
                <w:rFonts w:cs="Arial"/>
                <w:b/>
                <w:bCs/>
                <w:szCs w:val="14"/>
              </w:rPr>
            </w:pPr>
          </w:p>
        </w:tc>
        <w:tc>
          <w:tcPr>
            <w:tcW w:w="284" w:type="dxa"/>
            <w:shd w:val="clear" w:color="auto" w:fill="auto"/>
          </w:tcPr>
          <w:p w14:paraId="6DA4B825" w14:textId="77777777" w:rsidR="00A6120B" w:rsidRPr="005A6905" w:rsidRDefault="00A6120B" w:rsidP="00FC2B49">
            <w:pPr>
              <w:pStyle w:val="08-Tabelageral"/>
              <w:rPr>
                <w:rFonts w:cs="Arial"/>
                <w:b/>
                <w:bCs/>
                <w:szCs w:val="14"/>
              </w:rPr>
            </w:pPr>
          </w:p>
        </w:tc>
        <w:tc>
          <w:tcPr>
            <w:tcW w:w="1627" w:type="dxa"/>
            <w:shd w:val="clear" w:color="auto" w:fill="auto"/>
          </w:tcPr>
          <w:p w14:paraId="63396285" w14:textId="77777777" w:rsidR="00A6120B" w:rsidRPr="00A365CD" w:rsidRDefault="00A6120B" w:rsidP="00FC2B49">
            <w:pPr>
              <w:pStyle w:val="08-Tabelageral"/>
              <w:rPr>
                <w:b/>
              </w:rPr>
            </w:pPr>
            <w:r w:rsidRPr="00A365CD">
              <w:rPr>
                <w:b/>
              </w:rPr>
              <w:t>520</w:t>
            </w:r>
          </w:p>
        </w:tc>
        <w:tc>
          <w:tcPr>
            <w:tcW w:w="1416" w:type="dxa"/>
            <w:shd w:val="clear" w:color="auto" w:fill="auto"/>
          </w:tcPr>
          <w:p w14:paraId="2B85648E" w14:textId="77777777" w:rsidR="00A6120B" w:rsidRPr="00A365CD" w:rsidRDefault="00A6120B" w:rsidP="00FC2B49">
            <w:pPr>
              <w:pStyle w:val="08-Tabelageral"/>
              <w:rPr>
                <w:b/>
              </w:rPr>
            </w:pPr>
            <w:r w:rsidRPr="00A365CD">
              <w:rPr>
                <w:b/>
              </w:rPr>
              <w:t>461</w:t>
            </w:r>
          </w:p>
        </w:tc>
      </w:tr>
      <w:tr w:rsidR="00A6120B" w:rsidRPr="005A6905" w14:paraId="59B8917E" w14:textId="77777777" w:rsidTr="007A4ED2">
        <w:trPr>
          <w:trHeight w:val="227"/>
          <w:jc w:val="center"/>
        </w:trPr>
        <w:tc>
          <w:tcPr>
            <w:tcW w:w="2946" w:type="dxa"/>
            <w:tcBorders>
              <w:bottom w:val="nil"/>
            </w:tcBorders>
            <w:shd w:val="clear" w:color="auto" w:fill="auto"/>
          </w:tcPr>
          <w:p w14:paraId="47AB62C8" w14:textId="77777777" w:rsidR="00A6120B" w:rsidRPr="005A6905" w:rsidRDefault="00A6120B" w:rsidP="00FC2B49">
            <w:pPr>
              <w:pStyle w:val="08-Tabelageral"/>
              <w:jc w:val="left"/>
              <w:rPr>
                <w:rFonts w:cs="Arial"/>
                <w:b/>
                <w:bCs/>
                <w:szCs w:val="14"/>
              </w:rPr>
            </w:pPr>
            <w:r w:rsidRPr="005A6905">
              <w:rPr>
                <w:rFonts w:cs="Arial"/>
                <w:b/>
                <w:bCs/>
                <w:szCs w:val="14"/>
              </w:rPr>
              <w:t xml:space="preserve">Remuneração Baseada em Ações </w:t>
            </w:r>
            <w:r w:rsidRPr="005A6905">
              <w:rPr>
                <w:rFonts w:cs="Arial"/>
                <w:b/>
                <w:bCs/>
                <w:szCs w:val="14"/>
                <w:vertAlign w:val="superscript"/>
              </w:rPr>
              <w:t>(3)</w:t>
            </w:r>
          </w:p>
        </w:tc>
        <w:tc>
          <w:tcPr>
            <w:tcW w:w="597" w:type="dxa"/>
            <w:tcBorders>
              <w:bottom w:val="nil"/>
            </w:tcBorders>
            <w:shd w:val="clear" w:color="auto" w:fill="auto"/>
          </w:tcPr>
          <w:p w14:paraId="14F96CDF" w14:textId="77777777" w:rsidR="00A6120B" w:rsidRPr="005A6905" w:rsidRDefault="00A6120B" w:rsidP="00FC2B49">
            <w:pPr>
              <w:pStyle w:val="08-Tabelageral"/>
              <w:rPr>
                <w:rFonts w:cs="Arial"/>
                <w:b/>
                <w:bCs/>
                <w:szCs w:val="14"/>
              </w:rPr>
            </w:pPr>
          </w:p>
        </w:tc>
        <w:tc>
          <w:tcPr>
            <w:tcW w:w="1384" w:type="dxa"/>
            <w:tcBorders>
              <w:bottom w:val="nil"/>
            </w:tcBorders>
            <w:shd w:val="clear" w:color="auto" w:fill="auto"/>
          </w:tcPr>
          <w:p w14:paraId="3FD2752A" w14:textId="77777777" w:rsidR="00A6120B" w:rsidRPr="005A6905" w:rsidRDefault="00A6120B" w:rsidP="00FC2B49">
            <w:pPr>
              <w:pStyle w:val="08-Tabelageral"/>
              <w:rPr>
                <w:rFonts w:cs="Arial"/>
                <w:b/>
                <w:bCs/>
                <w:szCs w:val="14"/>
              </w:rPr>
            </w:pPr>
          </w:p>
        </w:tc>
        <w:tc>
          <w:tcPr>
            <w:tcW w:w="1385" w:type="dxa"/>
            <w:tcBorders>
              <w:bottom w:val="nil"/>
            </w:tcBorders>
            <w:shd w:val="clear" w:color="auto" w:fill="auto"/>
          </w:tcPr>
          <w:p w14:paraId="07E5910C" w14:textId="77777777" w:rsidR="00A6120B" w:rsidRPr="005A6905" w:rsidRDefault="00A6120B" w:rsidP="00FC2B49">
            <w:pPr>
              <w:pStyle w:val="08-Tabelageral"/>
              <w:rPr>
                <w:rFonts w:cs="Arial"/>
                <w:b/>
                <w:bCs/>
                <w:szCs w:val="14"/>
              </w:rPr>
            </w:pPr>
          </w:p>
        </w:tc>
        <w:tc>
          <w:tcPr>
            <w:tcW w:w="284" w:type="dxa"/>
            <w:tcBorders>
              <w:bottom w:val="nil"/>
            </w:tcBorders>
            <w:shd w:val="clear" w:color="auto" w:fill="auto"/>
          </w:tcPr>
          <w:p w14:paraId="0CFA2319" w14:textId="77777777" w:rsidR="00A6120B" w:rsidRPr="005A6905" w:rsidRDefault="00A6120B" w:rsidP="00FC2B49">
            <w:pPr>
              <w:pStyle w:val="08-Tabelageral"/>
              <w:rPr>
                <w:rFonts w:cs="Arial"/>
                <w:b/>
                <w:bCs/>
                <w:szCs w:val="14"/>
              </w:rPr>
            </w:pPr>
          </w:p>
        </w:tc>
        <w:tc>
          <w:tcPr>
            <w:tcW w:w="1627" w:type="dxa"/>
            <w:tcBorders>
              <w:bottom w:val="nil"/>
            </w:tcBorders>
            <w:shd w:val="clear" w:color="auto" w:fill="auto"/>
          </w:tcPr>
          <w:p w14:paraId="73213039" w14:textId="77777777" w:rsidR="00A6120B" w:rsidRPr="00A365CD" w:rsidRDefault="00A6120B" w:rsidP="00FC2B49">
            <w:pPr>
              <w:pStyle w:val="08-Tabelageral"/>
              <w:rPr>
                <w:b/>
              </w:rPr>
            </w:pPr>
            <w:r w:rsidRPr="00A365CD">
              <w:rPr>
                <w:b/>
              </w:rPr>
              <w:t>741</w:t>
            </w:r>
          </w:p>
        </w:tc>
        <w:tc>
          <w:tcPr>
            <w:tcW w:w="1416" w:type="dxa"/>
            <w:tcBorders>
              <w:bottom w:val="nil"/>
            </w:tcBorders>
            <w:shd w:val="clear" w:color="auto" w:fill="auto"/>
          </w:tcPr>
          <w:p w14:paraId="5B43F91C" w14:textId="77777777" w:rsidR="00A6120B" w:rsidRPr="00A365CD" w:rsidRDefault="00A6120B" w:rsidP="00FC2B49">
            <w:pPr>
              <w:pStyle w:val="08-Tabelageral"/>
              <w:rPr>
                <w:b/>
              </w:rPr>
            </w:pPr>
            <w:r w:rsidRPr="00A365CD">
              <w:rPr>
                <w:b/>
              </w:rPr>
              <w:t>934</w:t>
            </w:r>
          </w:p>
        </w:tc>
      </w:tr>
      <w:tr w:rsidR="00A6120B" w:rsidRPr="005A6905" w14:paraId="2ECEEAD6" w14:textId="77777777" w:rsidTr="007A4ED2">
        <w:trPr>
          <w:trHeight w:val="227"/>
          <w:jc w:val="center"/>
        </w:trPr>
        <w:tc>
          <w:tcPr>
            <w:tcW w:w="2946" w:type="dxa"/>
            <w:tcBorders>
              <w:top w:val="nil"/>
              <w:bottom w:val="single" w:sz="4" w:space="0" w:color="1F4E79" w:themeColor="accent1" w:themeShade="80"/>
            </w:tcBorders>
            <w:shd w:val="clear" w:color="auto" w:fill="auto"/>
          </w:tcPr>
          <w:p w14:paraId="18B28550" w14:textId="77777777" w:rsidR="00A6120B" w:rsidRPr="005A6905" w:rsidRDefault="00A6120B" w:rsidP="00FC2B49">
            <w:pPr>
              <w:pStyle w:val="08-Tabelageral"/>
              <w:jc w:val="left"/>
              <w:rPr>
                <w:rFonts w:cs="Arial"/>
                <w:b/>
                <w:bCs/>
                <w:szCs w:val="14"/>
              </w:rPr>
            </w:pPr>
            <w:r w:rsidRPr="005A6905">
              <w:rPr>
                <w:rFonts w:cs="Arial"/>
                <w:b/>
                <w:bCs/>
                <w:szCs w:val="14"/>
              </w:rPr>
              <w:t>Total</w:t>
            </w:r>
          </w:p>
        </w:tc>
        <w:tc>
          <w:tcPr>
            <w:tcW w:w="597" w:type="dxa"/>
            <w:tcBorders>
              <w:top w:val="nil"/>
              <w:bottom w:val="single" w:sz="4" w:space="0" w:color="1F4E79" w:themeColor="accent1" w:themeShade="80"/>
            </w:tcBorders>
            <w:shd w:val="clear" w:color="auto" w:fill="auto"/>
          </w:tcPr>
          <w:p w14:paraId="13B10F2E" w14:textId="77777777" w:rsidR="00A6120B" w:rsidRPr="005A6905" w:rsidRDefault="00A6120B" w:rsidP="00FC2B49">
            <w:pPr>
              <w:pStyle w:val="08-Tabelageral"/>
              <w:rPr>
                <w:rFonts w:cs="Arial"/>
                <w:b/>
                <w:bCs/>
                <w:szCs w:val="14"/>
              </w:rPr>
            </w:pPr>
          </w:p>
        </w:tc>
        <w:tc>
          <w:tcPr>
            <w:tcW w:w="1384" w:type="dxa"/>
            <w:tcBorders>
              <w:top w:val="nil"/>
              <w:bottom w:val="single" w:sz="4" w:space="0" w:color="1F4E79" w:themeColor="accent1" w:themeShade="80"/>
            </w:tcBorders>
            <w:shd w:val="clear" w:color="auto" w:fill="auto"/>
          </w:tcPr>
          <w:p w14:paraId="0AA00545" w14:textId="77777777" w:rsidR="00A6120B" w:rsidRPr="005A6905" w:rsidRDefault="00A6120B" w:rsidP="00FC2B49">
            <w:pPr>
              <w:pStyle w:val="08-Tabelageral"/>
              <w:rPr>
                <w:rFonts w:cs="Arial"/>
                <w:b/>
                <w:bCs/>
                <w:szCs w:val="14"/>
              </w:rPr>
            </w:pPr>
          </w:p>
        </w:tc>
        <w:tc>
          <w:tcPr>
            <w:tcW w:w="1385" w:type="dxa"/>
            <w:tcBorders>
              <w:top w:val="nil"/>
              <w:bottom w:val="single" w:sz="4" w:space="0" w:color="1F4E79" w:themeColor="accent1" w:themeShade="80"/>
            </w:tcBorders>
            <w:shd w:val="clear" w:color="auto" w:fill="auto"/>
          </w:tcPr>
          <w:p w14:paraId="37F6EC54" w14:textId="77777777" w:rsidR="00A6120B" w:rsidRPr="005A6905" w:rsidRDefault="00A6120B" w:rsidP="00FC2B49">
            <w:pPr>
              <w:pStyle w:val="08-Tabelageral"/>
              <w:rPr>
                <w:rFonts w:cs="Arial"/>
                <w:b/>
                <w:bCs/>
                <w:szCs w:val="14"/>
              </w:rPr>
            </w:pPr>
          </w:p>
        </w:tc>
        <w:tc>
          <w:tcPr>
            <w:tcW w:w="284" w:type="dxa"/>
            <w:tcBorders>
              <w:top w:val="nil"/>
              <w:bottom w:val="single" w:sz="4" w:space="0" w:color="1F4E79" w:themeColor="accent1" w:themeShade="80"/>
            </w:tcBorders>
            <w:shd w:val="clear" w:color="auto" w:fill="auto"/>
          </w:tcPr>
          <w:p w14:paraId="16D51834" w14:textId="77777777" w:rsidR="00A6120B" w:rsidRPr="005A6905" w:rsidRDefault="00A6120B" w:rsidP="00FC2B49">
            <w:pPr>
              <w:pStyle w:val="08-Tabelageral"/>
              <w:rPr>
                <w:rFonts w:cs="Arial"/>
                <w:b/>
                <w:bCs/>
                <w:szCs w:val="14"/>
              </w:rPr>
            </w:pPr>
          </w:p>
        </w:tc>
        <w:tc>
          <w:tcPr>
            <w:tcW w:w="1627" w:type="dxa"/>
            <w:tcBorders>
              <w:top w:val="nil"/>
              <w:bottom w:val="single" w:sz="4" w:space="0" w:color="1F4E79" w:themeColor="accent1" w:themeShade="80"/>
            </w:tcBorders>
            <w:shd w:val="clear" w:color="auto" w:fill="auto"/>
          </w:tcPr>
          <w:p w14:paraId="080E3386" w14:textId="77777777" w:rsidR="00A6120B" w:rsidRPr="00A365CD" w:rsidRDefault="00A6120B" w:rsidP="00FC2B49">
            <w:pPr>
              <w:pStyle w:val="08-Tabelageral"/>
              <w:rPr>
                <w:b/>
              </w:rPr>
            </w:pPr>
            <w:r w:rsidRPr="00A365CD">
              <w:rPr>
                <w:b/>
              </w:rPr>
              <w:t>7.091</w:t>
            </w:r>
          </w:p>
        </w:tc>
        <w:tc>
          <w:tcPr>
            <w:tcW w:w="1416" w:type="dxa"/>
            <w:tcBorders>
              <w:top w:val="nil"/>
              <w:bottom w:val="single" w:sz="4" w:space="0" w:color="1F4E79" w:themeColor="accent1" w:themeShade="80"/>
            </w:tcBorders>
            <w:shd w:val="clear" w:color="auto" w:fill="auto"/>
          </w:tcPr>
          <w:p w14:paraId="23DB4ABD" w14:textId="77777777" w:rsidR="00A6120B" w:rsidRPr="00A365CD" w:rsidRDefault="00A6120B" w:rsidP="00FC2B49">
            <w:pPr>
              <w:pStyle w:val="08-Tabelageral"/>
              <w:rPr>
                <w:b/>
              </w:rPr>
            </w:pPr>
            <w:r w:rsidRPr="00A365CD">
              <w:rPr>
                <w:b/>
              </w:rPr>
              <w:t>7.340</w:t>
            </w:r>
          </w:p>
        </w:tc>
      </w:tr>
    </w:tbl>
    <w:p w14:paraId="5313D3BB" w14:textId="77777777" w:rsidR="00A6120B" w:rsidRPr="001B1751" w:rsidRDefault="00A6120B" w:rsidP="00A6120B">
      <w:pPr>
        <w:pStyle w:val="07-Legenda"/>
        <w:numPr>
          <w:ilvl w:val="0"/>
          <w:numId w:val="20"/>
        </w:numPr>
        <w:tabs>
          <w:tab w:val="clear" w:pos="284"/>
        </w:tabs>
        <w:ind w:left="284" w:hanging="284"/>
        <w:rPr>
          <w:strike/>
        </w:rPr>
      </w:pPr>
      <w:r w:rsidRPr="001B1751">
        <w:t>Refere-se ao valor em espécie de quitação do Programa de Remuneração Variável dos Administradores de 2020.</w:t>
      </w:r>
    </w:p>
    <w:p w14:paraId="3AAE8B6B" w14:textId="77777777" w:rsidR="00A6120B" w:rsidRPr="001B1751" w:rsidRDefault="00A6120B" w:rsidP="00A6120B">
      <w:pPr>
        <w:pStyle w:val="07-Legenda"/>
        <w:numPr>
          <w:ilvl w:val="0"/>
          <w:numId w:val="20"/>
        </w:numPr>
        <w:tabs>
          <w:tab w:val="clear" w:pos="284"/>
          <w:tab w:val="left" w:pos="0"/>
        </w:tabs>
        <w:ind w:left="284" w:hanging="284"/>
      </w:pPr>
      <w:r w:rsidRPr="001B1751">
        <w:t xml:space="preserve">Benefícios considerados: assistência médica, </w:t>
      </w:r>
      <w:r w:rsidRPr="000B6DDB">
        <w:t>avaliação de saúde (</w:t>
      </w:r>
      <w:r>
        <w:t>ações de promoção e prevenção em saúde ocupacional)</w:t>
      </w:r>
      <w:r w:rsidRPr="001B1751">
        <w:t xml:space="preserve">, seguro de vida, </w:t>
      </w:r>
      <w:r w:rsidRPr="000B6DDB">
        <w:t>vantagem de remoção (custeio</w:t>
      </w:r>
      <w:r>
        <w:t xml:space="preserve"> parcial de despesas em caso de remoção para outras localidades)</w:t>
      </w:r>
      <w:r w:rsidRPr="001B1751">
        <w:t xml:space="preserve"> e previdência complementar dos administradores.</w:t>
      </w:r>
    </w:p>
    <w:p w14:paraId="55276395" w14:textId="77777777" w:rsidR="00A6120B" w:rsidRPr="001B1751" w:rsidRDefault="00A6120B" w:rsidP="00A6120B">
      <w:pPr>
        <w:pStyle w:val="07-Legenda"/>
        <w:numPr>
          <w:ilvl w:val="0"/>
          <w:numId w:val="20"/>
        </w:numPr>
        <w:tabs>
          <w:tab w:val="clear" w:pos="284"/>
          <w:tab w:val="left" w:pos="142"/>
        </w:tabs>
        <w:ind w:left="284" w:hanging="284"/>
      </w:pPr>
      <w:r w:rsidRPr="001B1751">
        <w:t xml:space="preserve">Refere-se ao custo das ações relativas às parcelas dos programas de pagamentos baseados em ações de 2016, 2017, 2018, 2019 e 2020. </w:t>
      </w:r>
    </w:p>
    <w:p w14:paraId="6324318E" w14:textId="77777777" w:rsidR="00A6120B" w:rsidRPr="00ED0DAC" w:rsidRDefault="00A6120B" w:rsidP="00ED0DAC">
      <w:pPr>
        <w:pStyle w:val="05-Textonormal2"/>
      </w:pPr>
      <w:r w:rsidRPr="00ED0DAC">
        <w:t>De acordo com a política de remuneração variável da BB Seguridade Participações, estabelecida em conformidade com a Lei 6.404/76, artigo 152 e o CPC 10</w:t>
      </w:r>
      <w:r>
        <w:t xml:space="preserve"> (R1) [IFRS 2]</w:t>
      </w:r>
      <w:r w:rsidRPr="00ED0DAC">
        <w:t xml:space="preserve"> – Pagamento Baseado em Ações, parte da remuneração variável da Diretoria Executiva é paga em ações.</w:t>
      </w:r>
    </w:p>
    <w:p w14:paraId="7E8DFA09" w14:textId="77777777" w:rsidR="00A6120B" w:rsidRPr="00ED0DAC" w:rsidRDefault="00A6120B" w:rsidP="00ED0DAC">
      <w:pPr>
        <w:pStyle w:val="05-Textonormal2"/>
      </w:pPr>
      <w:r w:rsidRPr="00ED0DAC">
        <w:t>A BB Seguridade não oferece benefícios pós-emprego ao Pessoal</w:t>
      </w:r>
      <w:r>
        <w:t>-</w:t>
      </w:r>
      <w:r w:rsidRPr="00ED0DAC">
        <w:t xml:space="preserve">Chave da Administração e nem aos seus funcionários. </w:t>
      </w:r>
    </w:p>
    <w:p w14:paraId="27BE293A" w14:textId="77777777" w:rsidR="00A6120B" w:rsidRPr="00ED0DAC" w:rsidRDefault="00A6120B" w:rsidP="00ED0DAC">
      <w:pPr>
        <w:pStyle w:val="05-Textonormal2"/>
      </w:pPr>
      <w:r w:rsidRPr="00ED0DAC">
        <w:t>Os custos correntes com pessoal são ressarcidos ao controlador Banco do Brasil S.A., no âmbito do convênio de cessão de funcionários, no período em que estiverem alocados às atividades da Companhia.</w:t>
      </w:r>
    </w:p>
    <w:p w14:paraId="45405695" w14:textId="77777777" w:rsidR="00A6120B" w:rsidRPr="00ED0DAC" w:rsidRDefault="00A6120B" w:rsidP="00ED0DAC">
      <w:pPr>
        <w:pStyle w:val="05-Textonormal2"/>
      </w:pPr>
      <w:r w:rsidRPr="00ED0DAC">
        <w:t>O Grupo BB Seguridade realiza transações bancárias com o seu controlador, Banco do Brasil S.A., como depósitos em conta corrente, cartões empresariais, aplicações financeiras, prestação de serviços e de garantias</w:t>
      </w:r>
      <w:r>
        <w:t>.</w:t>
      </w:r>
    </w:p>
    <w:p w14:paraId="50467B07" w14:textId="77777777" w:rsidR="00A6120B" w:rsidRDefault="00A6120B" w:rsidP="00ED0DAC">
      <w:pPr>
        <w:pStyle w:val="05-Textonormal2"/>
      </w:pPr>
      <w:r w:rsidRPr="00ED0DAC">
        <w:t>O Grupo BB Seguridade não concede empréstimos a seus Diretores e aos membros dos Conselhos Fiscais e de Administração e do Comitê de Auditoria.</w:t>
      </w:r>
    </w:p>
    <w:p w14:paraId="3AEAA0C6" w14:textId="77777777" w:rsidR="00A6120B" w:rsidRDefault="00A6120B" w:rsidP="00B874BF">
      <w:pPr>
        <w:pStyle w:val="05-Textonormal2"/>
      </w:pPr>
      <w:r>
        <w:t>A BB Seguros possui contratos de comercialização para os produtos de seguridade no canal bancário com todas as suas investidas, sendo os principais elencados a seguir:</w:t>
      </w:r>
    </w:p>
    <w:p w14:paraId="56268E9D" w14:textId="77777777" w:rsidR="00A6120B" w:rsidRDefault="00A6120B" w:rsidP="00A6120B">
      <w:pPr>
        <w:pStyle w:val="05-Textonormal2"/>
        <w:numPr>
          <w:ilvl w:val="0"/>
          <w:numId w:val="94"/>
        </w:numPr>
        <w:ind w:left="426" w:hanging="142"/>
      </w:pPr>
      <w:r>
        <w:t>Brasilseg Companhia de Seguros S.A. e Aliança do Brasil Seguros S.A., controladas da BB Mapfre Participações S.A., para comercialização de seguros, assinados em 30/06/2011, com vigência até 30/06/2031, podendo ser renovado por períodos subsequentes de 5 anos.</w:t>
      </w:r>
    </w:p>
    <w:p w14:paraId="203A1034" w14:textId="77777777" w:rsidR="00A6120B" w:rsidRDefault="00A6120B" w:rsidP="00A6120B">
      <w:pPr>
        <w:pStyle w:val="05-Textonormal2"/>
        <w:numPr>
          <w:ilvl w:val="0"/>
          <w:numId w:val="94"/>
        </w:numPr>
        <w:ind w:left="426" w:hanging="142"/>
      </w:pPr>
      <w:r>
        <w:t>Brasilprev Seguros e Previdência S.A., para comercialização de planos de previdência privada, assinado em 06/10/1999, pelo prazo de 5 anos, prorrogáveis automaticamente por iguais períodos.</w:t>
      </w:r>
    </w:p>
    <w:p w14:paraId="6E8C5555" w14:textId="77777777" w:rsidR="00A6120B" w:rsidRDefault="00A6120B" w:rsidP="00A6120B">
      <w:pPr>
        <w:pStyle w:val="05-Textonormal2"/>
        <w:numPr>
          <w:ilvl w:val="0"/>
          <w:numId w:val="94"/>
        </w:numPr>
        <w:ind w:left="426" w:hanging="142"/>
      </w:pPr>
      <w:r>
        <w:t>Brasilcap Capitalização S.A., para comercialização de títulos de capitalização, assinado em 14/07/1999, pelo prazo de 5 anos, prorrogáveis automaticamente por iguais períodos.</w:t>
      </w:r>
    </w:p>
    <w:p w14:paraId="18B291CC" w14:textId="77777777" w:rsidR="00A6120B" w:rsidRDefault="00A6120B" w:rsidP="00ED0DAC">
      <w:pPr>
        <w:pStyle w:val="05-Textonormal2"/>
      </w:pPr>
    </w:p>
    <w:p w14:paraId="158FF297" w14:textId="77777777" w:rsidR="00A6120B" w:rsidRDefault="00A6120B" w:rsidP="00ED0DAC">
      <w:pPr>
        <w:pStyle w:val="05-Textonormal2"/>
      </w:pPr>
    </w:p>
    <w:p w14:paraId="4E5A362A" w14:textId="77777777" w:rsidR="00A6120B" w:rsidRDefault="00A6120B" w:rsidP="00ED0DAC">
      <w:pPr>
        <w:pStyle w:val="05-Textonormal2"/>
      </w:pPr>
    </w:p>
    <w:p w14:paraId="75DCC2A5" w14:textId="77777777" w:rsidR="00A6120B" w:rsidRDefault="00A6120B" w:rsidP="00ED0DAC">
      <w:pPr>
        <w:pStyle w:val="05-Textonormal2"/>
      </w:pPr>
    </w:p>
    <w:p w14:paraId="31242888" w14:textId="77777777" w:rsidR="00A6120B" w:rsidRDefault="00A6120B" w:rsidP="00ED0DAC">
      <w:pPr>
        <w:pStyle w:val="05-Textonormal2"/>
      </w:pPr>
    </w:p>
    <w:p w14:paraId="5333B528" w14:textId="77777777" w:rsidR="00A6120B" w:rsidRPr="00ED0DAC" w:rsidRDefault="00A6120B" w:rsidP="00ED0DAC">
      <w:pPr>
        <w:pStyle w:val="05-Textonormal2"/>
      </w:pPr>
      <w:r w:rsidRPr="00ED0DAC">
        <w:lastRenderedPageBreak/>
        <w:t xml:space="preserve">Apresentamos </w:t>
      </w:r>
      <w:r>
        <w:t xml:space="preserve">a seguir </w:t>
      </w:r>
      <w:r w:rsidRPr="00ED0DAC">
        <w:t>as principais operações com partes relacionadas vigentes entre as empresas do Grupo BB Seguridade:</w:t>
      </w:r>
    </w:p>
    <w:p w14:paraId="01B9B1E0" w14:textId="77777777" w:rsidR="00A6120B" w:rsidRPr="00971822" w:rsidRDefault="00A6120B" w:rsidP="00A6120B">
      <w:pPr>
        <w:pStyle w:val="03-SubttulodeNota"/>
        <w:numPr>
          <w:ilvl w:val="0"/>
          <w:numId w:val="19"/>
        </w:numPr>
        <w:ind w:left="284" w:hanging="284"/>
        <w:rPr>
          <w:color w:val="1F4E79" w:themeColor="accent1" w:themeShade="80"/>
          <w:sz w:val="18"/>
          <w:szCs w:val="18"/>
        </w:rPr>
      </w:pPr>
      <w:r w:rsidRPr="00971822">
        <w:rPr>
          <w:color w:val="1F4E79" w:themeColor="accent1" w:themeShade="80"/>
          <w:sz w:val="18"/>
          <w:szCs w:val="18"/>
        </w:rPr>
        <w:t>Sumário das Transações com Partes Relacionadas</w:t>
      </w:r>
    </w:p>
    <w:p w14:paraId="4BE998E5" w14:textId="77777777" w:rsidR="00A6120B" w:rsidRPr="00971822" w:rsidRDefault="00A6120B" w:rsidP="0092000D">
      <w:pPr>
        <w:pStyle w:val="03-SubttulodeNota"/>
        <w:rPr>
          <w:color w:val="1F4E79" w:themeColor="accent1" w:themeShade="80"/>
          <w:sz w:val="18"/>
          <w:szCs w:val="18"/>
        </w:rPr>
      </w:pPr>
      <w:r w:rsidRPr="00971822">
        <w:rPr>
          <w:color w:val="1F4E79" w:themeColor="accent1" w:themeShade="80"/>
          <w:sz w:val="18"/>
          <w:szCs w:val="18"/>
        </w:rPr>
        <w:t xml:space="preserve">BB Seguridade – Controlador </w:t>
      </w:r>
    </w:p>
    <w:p w14:paraId="5B9B5DB6" w14:textId="77777777" w:rsidR="00A6120B" w:rsidRPr="00676763" w:rsidRDefault="00A6120B" w:rsidP="00D366A1">
      <w:pPr>
        <w:pStyle w:val="01-TtulodeNota"/>
        <w:spacing w:before="0" w:after="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A6120B" w:rsidRPr="00BF68E2" w14:paraId="6D2F8518" w14:textId="77777777" w:rsidTr="00C67516">
        <w:trPr>
          <w:trHeight w:val="238"/>
          <w:jc w:val="center"/>
        </w:trPr>
        <w:tc>
          <w:tcPr>
            <w:tcW w:w="1126" w:type="dxa"/>
            <w:tcBorders>
              <w:top w:val="single" w:sz="2" w:space="0" w:color="1F4E79" w:themeColor="accent1" w:themeShade="80"/>
              <w:bottom w:val="nil"/>
            </w:tcBorders>
            <w:shd w:val="clear" w:color="auto" w:fill="auto"/>
          </w:tcPr>
          <w:p w14:paraId="7266FBC3" w14:textId="77777777" w:rsidR="00A6120B" w:rsidRPr="00BF68E2" w:rsidRDefault="00A6120B" w:rsidP="00687402">
            <w:pPr>
              <w:pStyle w:val="08-Tabelageral"/>
              <w:rPr>
                <w:b/>
              </w:rPr>
            </w:pPr>
          </w:p>
        </w:tc>
        <w:tc>
          <w:tcPr>
            <w:tcW w:w="3049" w:type="dxa"/>
            <w:tcBorders>
              <w:top w:val="single" w:sz="2" w:space="0" w:color="1F4E79" w:themeColor="accent1" w:themeShade="80"/>
              <w:bottom w:val="nil"/>
            </w:tcBorders>
            <w:shd w:val="clear" w:color="auto" w:fill="auto"/>
          </w:tcPr>
          <w:p w14:paraId="73D55036" w14:textId="77777777" w:rsidR="00A6120B" w:rsidRPr="00BF68E2" w:rsidRDefault="00A6120B" w:rsidP="00687402">
            <w:pPr>
              <w:pStyle w:val="08-Tabelageral"/>
              <w:rPr>
                <w:b/>
              </w:rPr>
            </w:pPr>
          </w:p>
        </w:tc>
        <w:tc>
          <w:tcPr>
            <w:tcW w:w="2678" w:type="dxa"/>
            <w:gridSpan w:val="2"/>
            <w:tcBorders>
              <w:top w:val="single" w:sz="2" w:space="0" w:color="1F4E79" w:themeColor="accent1" w:themeShade="80"/>
              <w:bottom w:val="single" w:sz="2" w:space="0" w:color="1F4E79" w:themeColor="accent1" w:themeShade="80"/>
            </w:tcBorders>
            <w:shd w:val="clear" w:color="auto" w:fill="auto"/>
          </w:tcPr>
          <w:p w14:paraId="597328DE" w14:textId="77777777" w:rsidR="00A6120B" w:rsidRPr="00BF68E2" w:rsidRDefault="00A6120B" w:rsidP="005F5081">
            <w:pPr>
              <w:pStyle w:val="08-Tabelageral"/>
              <w:jc w:val="center"/>
              <w:rPr>
                <w:b/>
                <w:bCs/>
              </w:rPr>
            </w:pPr>
            <w:r>
              <w:rPr>
                <w:b/>
              </w:rPr>
              <w:t>31</w:t>
            </w:r>
            <w:r w:rsidRPr="00BF68E2">
              <w:rPr>
                <w:b/>
              </w:rPr>
              <w:t>.</w:t>
            </w:r>
            <w:r>
              <w:rPr>
                <w:b/>
              </w:rPr>
              <w:t>12</w:t>
            </w:r>
            <w:r w:rsidRPr="00BF68E2">
              <w:rPr>
                <w:b/>
              </w:rPr>
              <w:t>.202</w:t>
            </w:r>
            <w:r>
              <w:rPr>
                <w:b/>
              </w:rPr>
              <w:t>1</w:t>
            </w:r>
          </w:p>
        </w:tc>
        <w:tc>
          <w:tcPr>
            <w:tcW w:w="2786" w:type="dxa"/>
            <w:gridSpan w:val="2"/>
            <w:tcBorders>
              <w:top w:val="single" w:sz="2" w:space="0" w:color="1F4E79" w:themeColor="accent1" w:themeShade="80"/>
              <w:bottom w:val="single" w:sz="2" w:space="0" w:color="1F4E79" w:themeColor="accent1" w:themeShade="80"/>
            </w:tcBorders>
            <w:shd w:val="clear" w:color="auto" w:fill="auto"/>
          </w:tcPr>
          <w:p w14:paraId="31F3B33A" w14:textId="77777777" w:rsidR="00A6120B" w:rsidRPr="00BF68E2" w:rsidRDefault="00A6120B" w:rsidP="00687402">
            <w:pPr>
              <w:pStyle w:val="08-Tabelageral"/>
              <w:jc w:val="center"/>
              <w:rPr>
                <w:b/>
              </w:rPr>
            </w:pPr>
            <w:r w:rsidRPr="006E66C7">
              <w:rPr>
                <w:b/>
              </w:rPr>
              <w:t>31.12.2020</w:t>
            </w:r>
          </w:p>
        </w:tc>
      </w:tr>
      <w:tr w:rsidR="00A6120B" w:rsidRPr="00BF68E2" w14:paraId="2263E8E4" w14:textId="77777777" w:rsidTr="00C67516">
        <w:trPr>
          <w:trHeight w:val="238"/>
          <w:jc w:val="center"/>
        </w:trPr>
        <w:tc>
          <w:tcPr>
            <w:tcW w:w="4175" w:type="dxa"/>
            <w:gridSpan w:val="2"/>
            <w:tcBorders>
              <w:top w:val="nil"/>
              <w:bottom w:val="single" w:sz="2" w:space="0" w:color="1F4E79" w:themeColor="accent1" w:themeShade="80"/>
            </w:tcBorders>
            <w:shd w:val="clear" w:color="auto" w:fill="auto"/>
          </w:tcPr>
          <w:p w14:paraId="5311DF6E" w14:textId="77777777" w:rsidR="00A6120B" w:rsidRPr="00BF68E2" w:rsidRDefault="00A6120B" w:rsidP="00687402">
            <w:pPr>
              <w:pStyle w:val="08-Tabelageral"/>
              <w:rPr>
                <w:b/>
                <w:szCs w:val="12"/>
              </w:rPr>
            </w:pPr>
          </w:p>
        </w:tc>
        <w:tc>
          <w:tcPr>
            <w:tcW w:w="1339" w:type="dxa"/>
            <w:tcBorders>
              <w:top w:val="single" w:sz="2" w:space="0" w:color="1F4E79" w:themeColor="accent1" w:themeShade="80"/>
              <w:bottom w:val="single" w:sz="2" w:space="0" w:color="1F4E79" w:themeColor="accent1" w:themeShade="80"/>
            </w:tcBorders>
            <w:shd w:val="clear" w:color="auto" w:fill="auto"/>
          </w:tcPr>
          <w:p w14:paraId="6FB56696" w14:textId="77777777" w:rsidR="00A6120B" w:rsidRPr="00BF68E2" w:rsidRDefault="00A6120B" w:rsidP="00ED0DAC">
            <w:pPr>
              <w:pStyle w:val="08-Tabelageral"/>
              <w:rPr>
                <w:b/>
                <w:szCs w:val="12"/>
              </w:rPr>
            </w:pPr>
            <w:r w:rsidRPr="00BF68E2">
              <w:rPr>
                <w:b/>
                <w:szCs w:val="12"/>
              </w:rPr>
              <w:t xml:space="preserve">Controlador </w:t>
            </w:r>
            <w:r w:rsidRPr="00BF68E2">
              <w:rPr>
                <w:b/>
                <w:szCs w:val="12"/>
                <w:vertAlign w:val="superscript"/>
              </w:rPr>
              <w:t>(1)</w:t>
            </w:r>
          </w:p>
        </w:tc>
        <w:tc>
          <w:tcPr>
            <w:tcW w:w="1339" w:type="dxa"/>
            <w:tcBorders>
              <w:top w:val="single" w:sz="2" w:space="0" w:color="1F4E79" w:themeColor="accent1" w:themeShade="80"/>
              <w:bottom w:val="single" w:sz="2" w:space="0" w:color="1F4E79" w:themeColor="accent1" w:themeShade="80"/>
            </w:tcBorders>
            <w:shd w:val="clear" w:color="auto" w:fill="auto"/>
          </w:tcPr>
          <w:p w14:paraId="1D2D6A5A" w14:textId="77777777" w:rsidR="00A6120B" w:rsidRPr="00BF68E2" w:rsidRDefault="00A6120B" w:rsidP="00ED0DAC">
            <w:pPr>
              <w:pStyle w:val="08-Tabelageral"/>
              <w:rPr>
                <w:b/>
                <w:szCs w:val="12"/>
              </w:rPr>
            </w:pPr>
            <w:r w:rsidRPr="00BF68E2">
              <w:rPr>
                <w:b/>
                <w:szCs w:val="12"/>
              </w:rPr>
              <w:t xml:space="preserve">Controladas </w:t>
            </w:r>
            <w:r w:rsidRPr="00BF68E2">
              <w:rPr>
                <w:b/>
                <w:szCs w:val="12"/>
                <w:vertAlign w:val="superscript"/>
              </w:rPr>
              <w:t>(2)</w:t>
            </w:r>
          </w:p>
        </w:tc>
        <w:tc>
          <w:tcPr>
            <w:tcW w:w="1339" w:type="dxa"/>
            <w:tcBorders>
              <w:top w:val="single" w:sz="2" w:space="0" w:color="1F4E79" w:themeColor="accent1" w:themeShade="80"/>
              <w:bottom w:val="single" w:sz="2" w:space="0" w:color="1F4E79" w:themeColor="accent1" w:themeShade="80"/>
            </w:tcBorders>
            <w:shd w:val="clear" w:color="auto" w:fill="auto"/>
          </w:tcPr>
          <w:p w14:paraId="7255BADC" w14:textId="77777777" w:rsidR="00A6120B" w:rsidRPr="00BF68E2" w:rsidRDefault="00A6120B" w:rsidP="00ED0DAC">
            <w:pPr>
              <w:pStyle w:val="08-Tabelageral"/>
              <w:rPr>
                <w:b/>
                <w:szCs w:val="12"/>
              </w:rPr>
            </w:pPr>
            <w:r w:rsidRPr="00BF68E2">
              <w:rPr>
                <w:b/>
                <w:szCs w:val="12"/>
              </w:rPr>
              <w:t xml:space="preserve">Controlador </w:t>
            </w:r>
            <w:r w:rsidRPr="00BF68E2">
              <w:rPr>
                <w:b/>
                <w:szCs w:val="12"/>
                <w:vertAlign w:val="superscript"/>
              </w:rPr>
              <w:t>(1)</w:t>
            </w:r>
          </w:p>
        </w:tc>
        <w:tc>
          <w:tcPr>
            <w:tcW w:w="1447" w:type="dxa"/>
            <w:tcBorders>
              <w:top w:val="single" w:sz="2" w:space="0" w:color="1F4E79" w:themeColor="accent1" w:themeShade="80"/>
              <w:bottom w:val="single" w:sz="2" w:space="0" w:color="1F4E79" w:themeColor="accent1" w:themeShade="80"/>
            </w:tcBorders>
            <w:shd w:val="clear" w:color="auto" w:fill="auto"/>
          </w:tcPr>
          <w:p w14:paraId="5DEE84A7" w14:textId="77777777" w:rsidR="00A6120B" w:rsidRPr="00BF68E2" w:rsidRDefault="00A6120B" w:rsidP="00ED0DAC">
            <w:pPr>
              <w:pStyle w:val="08-Tabelageral"/>
              <w:rPr>
                <w:b/>
                <w:szCs w:val="12"/>
              </w:rPr>
            </w:pPr>
            <w:r w:rsidRPr="00BF68E2">
              <w:rPr>
                <w:b/>
                <w:szCs w:val="12"/>
              </w:rPr>
              <w:t xml:space="preserve">Controladas </w:t>
            </w:r>
            <w:r w:rsidRPr="00BF68E2">
              <w:rPr>
                <w:b/>
                <w:szCs w:val="12"/>
                <w:vertAlign w:val="superscript"/>
              </w:rPr>
              <w:t>(2)</w:t>
            </w:r>
          </w:p>
        </w:tc>
      </w:tr>
      <w:tr w:rsidR="00A6120B" w:rsidRPr="00B169AD" w14:paraId="6D1EE327" w14:textId="77777777" w:rsidTr="00C67516">
        <w:trPr>
          <w:trHeight w:val="238"/>
          <w:jc w:val="center"/>
        </w:trPr>
        <w:tc>
          <w:tcPr>
            <w:tcW w:w="4175" w:type="dxa"/>
            <w:gridSpan w:val="2"/>
            <w:tcBorders>
              <w:top w:val="single" w:sz="2" w:space="0" w:color="1F4E79" w:themeColor="accent1" w:themeShade="80"/>
            </w:tcBorders>
            <w:shd w:val="clear" w:color="auto" w:fill="auto"/>
          </w:tcPr>
          <w:p w14:paraId="6DEA2DB8" w14:textId="77777777" w:rsidR="00A6120B" w:rsidRPr="00B169AD" w:rsidRDefault="00A6120B" w:rsidP="00ED0DAC">
            <w:pPr>
              <w:pStyle w:val="08-Tabelageral"/>
              <w:jc w:val="left"/>
              <w:rPr>
                <w:b/>
              </w:rPr>
            </w:pPr>
            <w:r w:rsidRPr="00B169AD">
              <w:rPr>
                <w:b/>
              </w:rPr>
              <w:t>Ativos</w:t>
            </w:r>
          </w:p>
        </w:tc>
        <w:tc>
          <w:tcPr>
            <w:tcW w:w="1339" w:type="dxa"/>
            <w:tcBorders>
              <w:top w:val="single" w:sz="2" w:space="0" w:color="1F4E79" w:themeColor="accent1" w:themeShade="80"/>
            </w:tcBorders>
            <w:shd w:val="clear" w:color="auto" w:fill="auto"/>
          </w:tcPr>
          <w:p w14:paraId="4BE8E334" w14:textId="77777777" w:rsidR="00A6120B" w:rsidRPr="00B169AD" w:rsidRDefault="00A6120B" w:rsidP="00ED0DAC">
            <w:pPr>
              <w:pStyle w:val="08-Tabelageral"/>
              <w:rPr>
                <w:b/>
                <w:szCs w:val="14"/>
              </w:rPr>
            </w:pPr>
          </w:p>
        </w:tc>
        <w:tc>
          <w:tcPr>
            <w:tcW w:w="1339" w:type="dxa"/>
            <w:tcBorders>
              <w:top w:val="single" w:sz="2" w:space="0" w:color="1F4E79" w:themeColor="accent1" w:themeShade="80"/>
            </w:tcBorders>
            <w:shd w:val="clear" w:color="auto" w:fill="auto"/>
          </w:tcPr>
          <w:p w14:paraId="4061295E" w14:textId="77777777" w:rsidR="00A6120B" w:rsidRPr="00B169AD" w:rsidRDefault="00A6120B" w:rsidP="00ED0DAC">
            <w:pPr>
              <w:pStyle w:val="08-Tabelageral"/>
              <w:rPr>
                <w:b/>
                <w:szCs w:val="14"/>
              </w:rPr>
            </w:pPr>
            <w:r w:rsidRPr="00B169AD">
              <w:rPr>
                <w:b/>
                <w:szCs w:val="14"/>
              </w:rPr>
              <w:t xml:space="preserve"> </w:t>
            </w:r>
          </w:p>
        </w:tc>
        <w:tc>
          <w:tcPr>
            <w:tcW w:w="1339" w:type="dxa"/>
            <w:tcBorders>
              <w:top w:val="single" w:sz="2" w:space="0" w:color="1F4E79" w:themeColor="accent1" w:themeShade="80"/>
            </w:tcBorders>
            <w:shd w:val="clear" w:color="auto" w:fill="auto"/>
          </w:tcPr>
          <w:p w14:paraId="6A7CCF11" w14:textId="77777777" w:rsidR="00A6120B" w:rsidRPr="00B169AD" w:rsidRDefault="00A6120B" w:rsidP="00ED0DAC">
            <w:pPr>
              <w:pStyle w:val="08-Tabelageral"/>
              <w:rPr>
                <w:b/>
              </w:rPr>
            </w:pPr>
          </w:p>
        </w:tc>
        <w:tc>
          <w:tcPr>
            <w:tcW w:w="1447" w:type="dxa"/>
            <w:tcBorders>
              <w:top w:val="single" w:sz="2" w:space="0" w:color="1F4E79" w:themeColor="accent1" w:themeShade="80"/>
            </w:tcBorders>
            <w:shd w:val="clear" w:color="auto" w:fill="auto"/>
          </w:tcPr>
          <w:p w14:paraId="5120A9CC" w14:textId="77777777" w:rsidR="00A6120B" w:rsidRPr="00B169AD" w:rsidRDefault="00A6120B" w:rsidP="00ED0DAC">
            <w:pPr>
              <w:pStyle w:val="08-Tabelageral"/>
              <w:rPr>
                <w:b/>
              </w:rPr>
            </w:pPr>
          </w:p>
        </w:tc>
      </w:tr>
      <w:tr w:rsidR="00A6120B" w:rsidRPr="001D6BE8" w14:paraId="6B2D1CE0" w14:textId="77777777" w:rsidTr="00C67516">
        <w:trPr>
          <w:trHeight w:val="238"/>
          <w:jc w:val="center"/>
        </w:trPr>
        <w:tc>
          <w:tcPr>
            <w:tcW w:w="4175" w:type="dxa"/>
            <w:gridSpan w:val="2"/>
            <w:shd w:val="clear" w:color="auto" w:fill="auto"/>
          </w:tcPr>
          <w:p w14:paraId="54FD4C86" w14:textId="77777777" w:rsidR="00A6120B" w:rsidRPr="00687402" w:rsidRDefault="00A6120B" w:rsidP="0094232A">
            <w:pPr>
              <w:pStyle w:val="08-Tabelageral"/>
              <w:jc w:val="left"/>
              <w:rPr>
                <w:b/>
              </w:rPr>
            </w:pPr>
            <w:r w:rsidRPr="00687402">
              <w:t>Caixa e equivalentes de caixa</w:t>
            </w:r>
          </w:p>
        </w:tc>
        <w:tc>
          <w:tcPr>
            <w:tcW w:w="1339" w:type="dxa"/>
            <w:shd w:val="clear" w:color="auto" w:fill="auto"/>
          </w:tcPr>
          <w:p w14:paraId="146D862D" w14:textId="77777777" w:rsidR="00A6120B" w:rsidRPr="001D1B75" w:rsidRDefault="00A6120B" w:rsidP="00185995">
            <w:pPr>
              <w:pStyle w:val="08-Tabelageral"/>
            </w:pPr>
            <w:r w:rsidRPr="00AC775A">
              <w:t>369.342</w:t>
            </w:r>
          </w:p>
        </w:tc>
        <w:tc>
          <w:tcPr>
            <w:tcW w:w="1339" w:type="dxa"/>
            <w:shd w:val="clear" w:color="auto" w:fill="auto"/>
          </w:tcPr>
          <w:p w14:paraId="48C1297D" w14:textId="77777777" w:rsidR="00A6120B" w:rsidRPr="001D1B75" w:rsidRDefault="00A6120B" w:rsidP="006E66C7">
            <w:pPr>
              <w:pStyle w:val="08-Tabelageral"/>
            </w:pPr>
            <w:r>
              <w:t>--</w:t>
            </w:r>
          </w:p>
        </w:tc>
        <w:tc>
          <w:tcPr>
            <w:tcW w:w="1339" w:type="dxa"/>
            <w:shd w:val="clear" w:color="auto" w:fill="auto"/>
          </w:tcPr>
          <w:p w14:paraId="356182A4" w14:textId="77777777" w:rsidR="00A6120B" w:rsidRPr="001D1B75" w:rsidRDefault="00A6120B" w:rsidP="006E66C7">
            <w:pPr>
              <w:pStyle w:val="08-Tabelageral"/>
            </w:pPr>
            <w:r w:rsidRPr="00D3185B">
              <w:t>208.893</w:t>
            </w:r>
          </w:p>
        </w:tc>
        <w:tc>
          <w:tcPr>
            <w:tcW w:w="1447" w:type="dxa"/>
            <w:shd w:val="clear" w:color="auto" w:fill="auto"/>
          </w:tcPr>
          <w:p w14:paraId="78DDAC6F" w14:textId="77777777" w:rsidR="00A6120B" w:rsidRPr="001D1B75" w:rsidRDefault="00A6120B" w:rsidP="006E66C7">
            <w:pPr>
              <w:pStyle w:val="08-Tabelageral"/>
            </w:pPr>
            <w:r w:rsidRPr="00D3185B">
              <w:t>--</w:t>
            </w:r>
          </w:p>
        </w:tc>
      </w:tr>
      <w:tr w:rsidR="00A6120B" w:rsidRPr="00E177EF" w14:paraId="776A4A4E" w14:textId="77777777" w:rsidTr="00C67516">
        <w:trPr>
          <w:trHeight w:val="238"/>
          <w:jc w:val="center"/>
        </w:trPr>
        <w:tc>
          <w:tcPr>
            <w:tcW w:w="4175" w:type="dxa"/>
            <w:gridSpan w:val="2"/>
            <w:shd w:val="clear" w:color="auto" w:fill="auto"/>
          </w:tcPr>
          <w:p w14:paraId="3CB9B5A3" w14:textId="77777777" w:rsidR="00A6120B" w:rsidRPr="00687402" w:rsidRDefault="00A6120B" w:rsidP="0094232A">
            <w:pPr>
              <w:pStyle w:val="08-Tabelageral"/>
              <w:jc w:val="left"/>
              <w:rPr>
                <w:b/>
              </w:rPr>
            </w:pPr>
            <w:r>
              <w:t>Dividendos</w:t>
            </w:r>
          </w:p>
        </w:tc>
        <w:tc>
          <w:tcPr>
            <w:tcW w:w="1339" w:type="dxa"/>
            <w:shd w:val="clear" w:color="auto" w:fill="auto"/>
          </w:tcPr>
          <w:p w14:paraId="3B79F639" w14:textId="77777777" w:rsidR="00A6120B" w:rsidRPr="001D1B75" w:rsidRDefault="00A6120B" w:rsidP="006E66C7">
            <w:pPr>
              <w:pStyle w:val="08-Tabelageral"/>
            </w:pPr>
            <w:r>
              <w:t>--</w:t>
            </w:r>
          </w:p>
        </w:tc>
        <w:tc>
          <w:tcPr>
            <w:tcW w:w="1339" w:type="dxa"/>
            <w:shd w:val="clear" w:color="auto" w:fill="auto"/>
          </w:tcPr>
          <w:p w14:paraId="50E7B189" w14:textId="77777777" w:rsidR="00A6120B" w:rsidRPr="001D1B75" w:rsidRDefault="00A6120B" w:rsidP="006E66C7">
            <w:pPr>
              <w:pStyle w:val="08-Tabelageral"/>
            </w:pPr>
            <w:r w:rsidRPr="00AC775A">
              <w:t>1.572.427</w:t>
            </w:r>
          </w:p>
        </w:tc>
        <w:tc>
          <w:tcPr>
            <w:tcW w:w="1339" w:type="dxa"/>
            <w:shd w:val="clear" w:color="auto" w:fill="auto"/>
          </w:tcPr>
          <w:p w14:paraId="6392C3E3" w14:textId="77777777" w:rsidR="00A6120B" w:rsidRPr="001D1B75" w:rsidRDefault="00A6120B" w:rsidP="006E66C7">
            <w:pPr>
              <w:pStyle w:val="08-Tabelageral"/>
            </w:pPr>
            <w:r w:rsidRPr="00D3185B">
              <w:t>--</w:t>
            </w:r>
          </w:p>
        </w:tc>
        <w:tc>
          <w:tcPr>
            <w:tcW w:w="1447" w:type="dxa"/>
            <w:shd w:val="clear" w:color="auto" w:fill="auto"/>
          </w:tcPr>
          <w:p w14:paraId="1071C39E" w14:textId="77777777" w:rsidR="00A6120B" w:rsidRPr="001D1B75" w:rsidRDefault="00A6120B" w:rsidP="006E66C7">
            <w:pPr>
              <w:pStyle w:val="08-Tabelageral"/>
            </w:pPr>
            <w:r w:rsidRPr="00D3185B">
              <w:t xml:space="preserve"> 1.060.278 </w:t>
            </w:r>
          </w:p>
        </w:tc>
      </w:tr>
      <w:tr w:rsidR="00A6120B" w:rsidRPr="007A0C63" w14:paraId="6FE9231D" w14:textId="77777777" w:rsidTr="00C67516">
        <w:trPr>
          <w:trHeight w:val="238"/>
          <w:jc w:val="center"/>
        </w:trPr>
        <w:tc>
          <w:tcPr>
            <w:tcW w:w="4175" w:type="dxa"/>
            <w:gridSpan w:val="2"/>
            <w:shd w:val="clear" w:color="auto" w:fill="auto"/>
          </w:tcPr>
          <w:p w14:paraId="43B17E3C" w14:textId="77777777" w:rsidR="00A6120B" w:rsidRPr="007A0C63" w:rsidRDefault="00A6120B" w:rsidP="0094232A">
            <w:pPr>
              <w:pStyle w:val="08-Tabelageral"/>
              <w:jc w:val="left"/>
              <w:rPr>
                <w:b/>
              </w:rPr>
            </w:pPr>
            <w:r w:rsidRPr="007A0C63">
              <w:t>Valores a receber de sociedades ligadas</w:t>
            </w:r>
          </w:p>
        </w:tc>
        <w:tc>
          <w:tcPr>
            <w:tcW w:w="1339" w:type="dxa"/>
            <w:shd w:val="clear" w:color="auto" w:fill="auto"/>
          </w:tcPr>
          <w:p w14:paraId="0B448CDB" w14:textId="77777777" w:rsidR="00A6120B" w:rsidRPr="007A0C63" w:rsidRDefault="00A6120B" w:rsidP="006E66C7">
            <w:pPr>
              <w:pStyle w:val="08-Tabelageral"/>
            </w:pPr>
            <w:r>
              <w:t>--</w:t>
            </w:r>
          </w:p>
        </w:tc>
        <w:tc>
          <w:tcPr>
            <w:tcW w:w="1339" w:type="dxa"/>
            <w:shd w:val="clear" w:color="auto" w:fill="auto"/>
          </w:tcPr>
          <w:p w14:paraId="5FDC64DB" w14:textId="77777777" w:rsidR="00A6120B" w:rsidRPr="007A0C63" w:rsidRDefault="00A6120B" w:rsidP="006E66C7">
            <w:pPr>
              <w:pStyle w:val="08-Tabelageral"/>
            </w:pPr>
            <w:r w:rsidRPr="00AC775A">
              <w:t>7.571</w:t>
            </w:r>
          </w:p>
        </w:tc>
        <w:tc>
          <w:tcPr>
            <w:tcW w:w="1339" w:type="dxa"/>
            <w:shd w:val="clear" w:color="auto" w:fill="auto"/>
          </w:tcPr>
          <w:p w14:paraId="25160159" w14:textId="77777777" w:rsidR="00A6120B" w:rsidRPr="007A0C63" w:rsidRDefault="00A6120B" w:rsidP="006E66C7">
            <w:pPr>
              <w:pStyle w:val="08-Tabelageral"/>
            </w:pPr>
            <w:r w:rsidRPr="00D3185B">
              <w:t>--</w:t>
            </w:r>
          </w:p>
        </w:tc>
        <w:tc>
          <w:tcPr>
            <w:tcW w:w="1447" w:type="dxa"/>
            <w:shd w:val="clear" w:color="auto" w:fill="auto"/>
          </w:tcPr>
          <w:p w14:paraId="583E7A5D" w14:textId="77777777" w:rsidR="00A6120B" w:rsidRPr="007A0C63" w:rsidRDefault="00A6120B" w:rsidP="006E66C7">
            <w:pPr>
              <w:pStyle w:val="08-Tabelageral"/>
            </w:pPr>
            <w:r w:rsidRPr="00D3185B">
              <w:t>7.261</w:t>
            </w:r>
          </w:p>
        </w:tc>
      </w:tr>
      <w:tr w:rsidR="00A6120B" w:rsidRPr="00B169AD" w14:paraId="7B85790D" w14:textId="77777777" w:rsidTr="00C67516">
        <w:trPr>
          <w:trHeight w:val="238"/>
          <w:jc w:val="center"/>
        </w:trPr>
        <w:tc>
          <w:tcPr>
            <w:tcW w:w="4175" w:type="dxa"/>
            <w:gridSpan w:val="2"/>
            <w:shd w:val="clear" w:color="auto" w:fill="auto"/>
          </w:tcPr>
          <w:p w14:paraId="5DF50DDD" w14:textId="77777777" w:rsidR="00A6120B" w:rsidRPr="00B169AD" w:rsidRDefault="00A6120B" w:rsidP="006E66C7">
            <w:pPr>
              <w:pStyle w:val="08-Tabelageral"/>
              <w:jc w:val="left"/>
              <w:rPr>
                <w:b/>
              </w:rPr>
            </w:pPr>
            <w:r w:rsidRPr="00B169AD">
              <w:rPr>
                <w:b/>
              </w:rPr>
              <w:t>Passivos</w:t>
            </w:r>
          </w:p>
        </w:tc>
        <w:tc>
          <w:tcPr>
            <w:tcW w:w="1339" w:type="dxa"/>
            <w:shd w:val="clear" w:color="auto" w:fill="auto"/>
          </w:tcPr>
          <w:p w14:paraId="1D21BAB8" w14:textId="77777777" w:rsidR="00A6120B" w:rsidRPr="00B169AD" w:rsidRDefault="00A6120B" w:rsidP="006E66C7">
            <w:pPr>
              <w:pStyle w:val="08-Tabelageral"/>
              <w:rPr>
                <w:b/>
              </w:rPr>
            </w:pPr>
          </w:p>
        </w:tc>
        <w:tc>
          <w:tcPr>
            <w:tcW w:w="1339" w:type="dxa"/>
            <w:shd w:val="clear" w:color="auto" w:fill="auto"/>
          </w:tcPr>
          <w:p w14:paraId="3204D9BF" w14:textId="77777777" w:rsidR="00A6120B" w:rsidRPr="00B169AD" w:rsidRDefault="00A6120B" w:rsidP="006E66C7">
            <w:pPr>
              <w:pStyle w:val="08-Tabelageral"/>
              <w:rPr>
                <w:b/>
              </w:rPr>
            </w:pPr>
          </w:p>
        </w:tc>
        <w:tc>
          <w:tcPr>
            <w:tcW w:w="1339" w:type="dxa"/>
            <w:shd w:val="clear" w:color="auto" w:fill="auto"/>
          </w:tcPr>
          <w:p w14:paraId="7F223100" w14:textId="77777777" w:rsidR="00A6120B" w:rsidRPr="00B169AD" w:rsidRDefault="00A6120B" w:rsidP="006E66C7">
            <w:pPr>
              <w:pStyle w:val="08-Tabelageral"/>
              <w:rPr>
                <w:b/>
              </w:rPr>
            </w:pPr>
          </w:p>
        </w:tc>
        <w:tc>
          <w:tcPr>
            <w:tcW w:w="1447" w:type="dxa"/>
            <w:shd w:val="clear" w:color="auto" w:fill="auto"/>
          </w:tcPr>
          <w:p w14:paraId="5DBECB2E" w14:textId="77777777" w:rsidR="00A6120B" w:rsidRPr="00B169AD" w:rsidRDefault="00A6120B" w:rsidP="006E66C7">
            <w:pPr>
              <w:pStyle w:val="08-Tabelageral"/>
              <w:rPr>
                <w:b/>
              </w:rPr>
            </w:pPr>
          </w:p>
        </w:tc>
      </w:tr>
      <w:tr w:rsidR="00A6120B" w:rsidRPr="001D6BE8" w14:paraId="59115444" w14:textId="77777777" w:rsidTr="00C67516">
        <w:trPr>
          <w:trHeight w:val="238"/>
          <w:jc w:val="center"/>
        </w:trPr>
        <w:tc>
          <w:tcPr>
            <w:tcW w:w="4175" w:type="dxa"/>
            <w:gridSpan w:val="2"/>
            <w:tcBorders>
              <w:bottom w:val="nil"/>
            </w:tcBorders>
            <w:shd w:val="clear" w:color="auto" w:fill="auto"/>
          </w:tcPr>
          <w:p w14:paraId="4A81E3A7" w14:textId="77777777" w:rsidR="00A6120B" w:rsidRPr="00687402" w:rsidRDefault="00A6120B" w:rsidP="0094232A">
            <w:pPr>
              <w:pStyle w:val="08-Tabelageral"/>
              <w:jc w:val="left"/>
              <w:rPr>
                <w:b/>
              </w:rPr>
            </w:pPr>
            <w:r>
              <w:t>Obrigações sociais e estatutárias</w:t>
            </w:r>
          </w:p>
        </w:tc>
        <w:tc>
          <w:tcPr>
            <w:tcW w:w="1339" w:type="dxa"/>
            <w:tcBorders>
              <w:bottom w:val="nil"/>
            </w:tcBorders>
            <w:shd w:val="clear" w:color="auto" w:fill="auto"/>
          </w:tcPr>
          <w:p w14:paraId="7407684A" w14:textId="77777777" w:rsidR="00A6120B" w:rsidRPr="001D1B75" w:rsidRDefault="00A6120B" w:rsidP="006E66C7">
            <w:pPr>
              <w:pStyle w:val="08-Tabelageral"/>
            </w:pPr>
            <w:r w:rsidRPr="00AC775A">
              <w:t>1.213.496</w:t>
            </w:r>
          </w:p>
        </w:tc>
        <w:tc>
          <w:tcPr>
            <w:tcW w:w="1339" w:type="dxa"/>
            <w:tcBorders>
              <w:bottom w:val="nil"/>
            </w:tcBorders>
            <w:shd w:val="clear" w:color="auto" w:fill="auto"/>
          </w:tcPr>
          <w:p w14:paraId="5B38CAEE" w14:textId="77777777" w:rsidR="00A6120B" w:rsidRPr="001D1B75" w:rsidRDefault="00A6120B" w:rsidP="006E66C7">
            <w:pPr>
              <w:pStyle w:val="08-Tabelageral"/>
            </w:pPr>
            <w:r>
              <w:t>--</w:t>
            </w:r>
          </w:p>
        </w:tc>
        <w:tc>
          <w:tcPr>
            <w:tcW w:w="1339" w:type="dxa"/>
            <w:tcBorders>
              <w:bottom w:val="nil"/>
            </w:tcBorders>
            <w:shd w:val="clear" w:color="auto" w:fill="auto"/>
          </w:tcPr>
          <w:p w14:paraId="2CCDE39B" w14:textId="77777777" w:rsidR="00A6120B" w:rsidRPr="001D1B75" w:rsidRDefault="00A6120B" w:rsidP="006E66C7">
            <w:pPr>
              <w:pStyle w:val="08-Tabelageral"/>
            </w:pPr>
            <w:r w:rsidRPr="00D3185B">
              <w:t>628.377</w:t>
            </w:r>
          </w:p>
        </w:tc>
        <w:tc>
          <w:tcPr>
            <w:tcW w:w="1447" w:type="dxa"/>
            <w:tcBorders>
              <w:bottom w:val="nil"/>
            </w:tcBorders>
            <w:shd w:val="clear" w:color="auto" w:fill="auto"/>
          </w:tcPr>
          <w:p w14:paraId="71A16E4C" w14:textId="77777777" w:rsidR="00A6120B" w:rsidRPr="001D1B75" w:rsidRDefault="00A6120B" w:rsidP="006E66C7">
            <w:pPr>
              <w:pStyle w:val="08-Tabelageral"/>
            </w:pPr>
            <w:r w:rsidRPr="00D3185B">
              <w:t>--</w:t>
            </w:r>
          </w:p>
        </w:tc>
      </w:tr>
      <w:tr w:rsidR="00A6120B" w:rsidRPr="00E177EF" w14:paraId="14F4850A" w14:textId="77777777" w:rsidTr="00C67516">
        <w:trPr>
          <w:trHeight w:val="238"/>
          <w:jc w:val="center"/>
        </w:trPr>
        <w:tc>
          <w:tcPr>
            <w:tcW w:w="4175" w:type="dxa"/>
            <w:gridSpan w:val="2"/>
            <w:tcBorders>
              <w:top w:val="nil"/>
              <w:bottom w:val="single" w:sz="2" w:space="0" w:color="1F4E79" w:themeColor="accent1" w:themeShade="80"/>
            </w:tcBorders>
            <w:shd w:val="clear" w:color="auto" w:fill="auto"/>
          </w:tcPr>
          <w:p w14:paraId="08DA9BE2" w14:textId="77777777" w:rsidR="00A6120B" w:rsidRPr="00687402" w:rsidRDefault="00A6120B" w:rsidP="0094232A">
            <w:pPr>
              <w:pStyle w:val="08-Tabelageral"/>
              <w:jc w:val="left"/>
              <w:rPr>
                <w:b/>
              </w:rPr>
            </w:pPr>
            <w:r>
              <w:t>Valores a pagar a sociedades ligadas</w:t>
            </w:r>
          </w:p>
        </w:tc>
        <w:tc>
          <w:tcPr>
            <w:tcW w:w="1339" w:type="dxa"/>
            <w:tcBorders>
              <w:top w:val="nil"/>
              <w:bottom w:val="single" w:sz="2" w:space="0" w:color="1F4E79" w:themeColor="accent1" w:themeShade="80"/>
            </w:tcBorders>
            <w:shd w:val="clear" w:color="auto" w:fill="auto"/>
          </w:tcPr>
          <w:p w14:paraId="459AE526" w14:textId="77777777" w:rsidR="00A6120B" w:rsidRPr="001D1B75" w:rsidRDefault="00A6120B" w:rsidP="006E66C7">
            <w:pPr>
              <w:pStyle w:val="08-Tabelageral"/>
            </w:pPr>
            <w:r w:rsidRPr="00AC775A">
              <w:t>6.709</w:t>
            </w:r>
          </w:p>
        </w:tc>
        <w:tc>
          <w:tcPr>
            <w:tcW w:w="1339" w:type="dxa"/>
            <w:tcBorders>
              <w:top w:val="nil"/>
              <w:bottom w:val="single" w:sz="2" w:space="0" w:color="1F4E79" w:themeColor="accent1" w:themeShade="80"/>
            </w:tcBorders>
            <w:shd w:val="clear" w:color="auto" w:fill="auto"/>
          </w:tcPr>
          <w:p w14:paraId="6255B78C" w14:textId="77777777" w:rsidR="00A6120B" w:rsidRPr="001D1B75" w:rsidRDefault="00A6120B" w:rsidP="006E66C7">
            <w:pPr>
              <w:pStyle w:val="08-Tabelageral"/>
            </w:pPr>
            <w:r>
              <w:t>--</w:t>
            </w:r>
          </w:p>
        </w:tc>
        <w:tc>
          <w:tcPr>
            <w:tcW w:w="1339" w:type="dxa"/>
            <w:tcBorders>
              <w:top w:val="nil"/>
              <w:bottom w:val="single" w:sz="2" w:space="0" w:color="1F4E79" w:themeColor="accent1" w:themeShade="80"/>
            </w:tcBorders>
            <w:shd w:val="clear" w:color="auto" w:fill="auto"/>
          </w:tcPr>
          <w:p w14:paraId="0D6F6069" w14:textId="77777777" w:rsidR="00A6120B" w:rsidRPr="001D1B75" w:rsidRDefault="00A6120B" w:rsidP="006E66C7">
            <w:pPr>
              <w:pStyle w:val="08-Tabelageral"/>
            </w:pPr>
            <w:r w:rsidRPr="00D3185B">
              <w:t>5.145</w:t>
            </w:r>
          </w:p>
        </w:tc>
        <w:tc>
          <w:tcPr>
            <w:tcW w:w="1447" w:type="dxa"/>
            <w:tcBorders>
              <w:top w:val="nil"/>
              <w:bottom w:val="single" w:sz="2" w:space="0" w:color="1F4E79" w:themeColor="accent1" w:themeShade="80"/>
            </w:tcBorders>
            <w:shd w:val="clear" w:color="auto" w:fill="auto"/>
          </w:tcPr>
          <w:p w14:paraId="04D25ADD" w14:textId="77777777" w:rsidR="00A6120B" w:rsidRPr="001D1B75" w:rsidRDefault="00A6120B" w:rsidP="006E66C7">
            <w:pPr>
              <w:pStyle w:val="08-Tabelageral"/>
            </w:pPr>
            <w:r w:rsidRPr="00D3185B">
              <w:t>--</w:t>
            </w:r>
          </w:p>
        </w:tc>
      </w:tr>
    </w:tbl>
    <w:p w14:paraId="03A07F51" w14:textId="77777777" w:rsidR="00A6120B" w:rsidRDefault="00A6120B" w:rsidP="00EF6864">
      <w:pPr>
        <w:pStyle w:val="01-TtulodeNota"/>
        <w:spacing w:before="0" w:after="0"/>
        <w:jc w:val="right"/>
        <w:rPr>
          <w:sz w:val="14"/>
          <w:szCs w:val="14"/>
        </w:rPr>
      </w:pPr>
    </w:p>
    <w:p w14:paraId="3F41001F" w14:textId="77777777" w:rsidR="00A6120B" w:rsidRPr="00676763" w:rsidRDefault="00A6120B" w:rsidP="00EF6864">
      <w:pPr>
        <w:pStyle w:val="01-TtulodeNota"/>
        <w:spacing w:before="0" w:after="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A6120B" w:rsidRPr="00C52004" w14:paraId="1F32A519" w14:textId="77777777" w:rsidTr="000E1B1E">
        <w:trPr>
          <w:trHeight w:val="238"/>
          <w:jc w:val="center"/>
        </w:trPr>
        <w:tc>
          <w:tcPr>
            <w:tcW w:w="1275" w:type="dxa"/>
            <w:tcBorders>
              <w:top w:val="single" w:sz="2" w:space="0" w:color="1F4E79" w:themeColor="accent1" w:themeShade="80"/>
              <w:bottom w:val="nil"/>
            </w:tcBorders>
            <w:shd w:val="clear" w:color="auto" w:fill="auto"/>
          </w:tcPr>
          <w:p w14:paraId="3BAE79DB" w14:textId="77777777" w:rsidR="00A6120B" w:rsidRPr="00C52004" w:rsidRDefault="00A6120B" w:rsidP="00342F13">
            <w:pPr>
              <w:pStyle w:val="08-Tabelageral"/>
              <w:rPr>
                <w:b/>
                <w:szCs w:val="14"/>
              </w:rPr>
            </w:pPr>
          </w:p>
        </w:tc>
        <w:tc>
          <w:tcPr>
            <w:tcW w:w="2240" w:type="dxa"/>
            <w:tcBorders>
              <w:top w:val="single" w:sz="2" w:space="0" w:color="1F4E79" w:themeColor="accent1" w:themeShade="80"/>
              <w:bottom w:val="nil"/>
            </w:tcBorders>
            <w:shd w:val="clear" w:color="auto" w:fill="auto"/>
          </w:tcPr>
          <w:p w14:paraId="2F85A32C" w14:textId="77777777" w:rsidR="00A6120B" w:rsidRPr="00C52004" w:rsidRDefault="00A6120B" w:rsidP="00342F13">
            <w:pPr>
              <w:pStyle w:val="08-Tabelageral"/>
              <w:rPr>
                <w:b/>
                <w:szCs w:val="14"/>
              </w:rPr>
            </w:pPr>
          </w:p>
        </w:tc>
        <w:tc>
          <w:tcPr>
            <w:tcW w:w="3008" w:type="dxa"/>
            <w:gridSpan w:val="2"/>
            <w:tcBorders>
              <w:top w:val="single" w:sz="2" w:space="0" w:color="1F4E79" w:themeColor="accent1" w:themeShade="80"/>
              <w:bottom w:val="single" w:sz="2" w:space="0" w:color="1F4E79" w:themeColor="accent1" w:themeShade="80"/>
            </w:tcBorders>
            <w:shd w:val="clear" w:color="auto" w:fill="auto"/>
          </w:tcPr>
          <w:p w14:paraId="34D195F1" w14:textId="77777777" w:rsidR="00A6120B" w:rsidRPr="00C52004" w:rsidRDefault="00A6120B" w:rsidP="00342F13">
            <w:pPr>
              <w:pStyle w:val="08-Tabelageral"/>
              <w:jc w:val="center"/>
              <w:rPr>
                <w:b/>
                <w:bCs/>
                <w:szCs w:val="14"/>
              </w:rPr>
            </w:pPr>
            <w:r>
              <w:rPr>
                <w:b/>
                <w:bCs/>
                <w:szCs w:val="14"/>
              </w:rPr>
              <w:t>Exercício 2021</w:t>
            </w:r>
          </w:p>
        </w:tc>
        <w:tc>
          <w:tcPr>
            <w:tcW w:w="3116" w:type="dxa"/>
            <w:gridSpan w:val="2"/>
            <w:tcBorders>
              <w:top w:val="single" w:sz="2" w:space="0" w:color="1F4E79" w:themeColor="accent1" w:themeShade="80"/>
              <w:bottom w:val="single" w:sz="2" w:space="0" w:color="1F4E79" w:themeColor="accent1" w:themeShade="80"/>
            </w:tcBorders>
            <w:shd w:val="clear" w:color="auto" w:fill="auto"/>
          </w:tcPr>
          <w:p w14:paraId="677218EA" w14:textId="77777777" w:rsidR="00A6120B" w:rsidRPr="00C52004" w:rsidRDefault="00A6120B" w:rsidP="001E4B30">
            <w:pPr>
              <w:pStyle w:val="08-Tabelageral"/>
              <w:jc w:val="center"/>
              <w:rPr>
                <w:b/>
                <w:szCs w:val="14"/>
              </w:rPr>
            </w:pPr>
            <w:r>
              <w:rPr>
                <w:rFonts w:cs="Arial"/>
                <w:b/>
                <w:szCs w:val="14"/>
              </w:rPr>
              <w:t>Exercício 2020</w:t>
            </w:r>
          </w:p>
        </w:tc>
      </w:tr>
      <w:tr w:rsidR="00A6120B" w:rsidRPr="00C52004" w14:paraId="528D1446" w14:textId="77777777" w:rsidTr="000E1B1E">
        <w:trPr>
          <w:trHeight w:val="238"/>
          <w:jc w:val="center"/>
        </w:trPr>
        <w:tc>
          <w:tcPr>
            <w:tcW w:w="3515" w:type="dxa"/>
            <w:gridSpan w:val="2"/>
            <w:tcBorders>
              <w:top w:val="nil"/>
              <w:bottom w:val="single" w:sz="2" w:space="0" w:color="1F4E79" w:themeColor="accent1" w:themeShade="80"/>
            </w:tcBorders>
            <w:shd w:val="clear" w:color="auto" w:fill="auto"/>
          </w:tcPr>
          <w:p w14:paraId="74F46C9F" w14:textId="77777777" w:rsidR="00A6120B" w:rsidRPr="00C52004" w:rsidRDefault="00A6120B" w:rsidP="00342F13">
            <w:pPr>
              <w:pStyle w:val="08-Tabelageral"/>
              <w:rPr>
                <w:b/>
                <w:szCs w:val="14"/>
              </w:rPr>
            </w:pPr>
          </w:p>
        </w:tc>
        <w:tc>
          <w:tcPr>
            <w:tcW w:w="1504" w:type="dxa"/>
            <w:tcBorders>
              <w:top w:val="single" w:sz="2" w:space="0" w:color="1F4E79" w:themeColor="accent1" w:themeShade="80"/>
              <w:bottom w:val="single" w:sz="2" w:space="0" w:color="1F4E79" w:themeColor="accent1" w:themeShade="80"/>
            </w:tcBorders>
            <w:shd w:val="clear" w:color="auto" w:fill="auto"/>
          </w:tcPr>
          <w:p w14:paraId="5FF806F9" w14:textId="77777777" w:rsidR="00A6120B" w:rsidRPr="00C52004" w:rsidRDefault="00A6120B" w:rsidP="00342F13">
            <w:pPr>
              <w:pStyle w:val="08-Tabelageral"/>
              <w:rPr>
                <w:b/>
                <w:szCs w:val="14"/>
              </w:rPr>
            </w:pPr>
            <w:r w:rsidRPr="00C52004">
              <w:rPr>
                <w:b/>
                <w:szCs w:val="14"/>
              </w:rPr>
              <w:t xml:space="preserve">Controlador </w:t>
            </w:r>
            <w:r w:rsidRPr="00C52004">
              <w:rPr>
                <w:b/>
                <w:szCs w:val="14"/>
                <w:vertAlign w:val="superscript"/>
              </w:rPr>
              <w:t>(1)</w:t>
            </w:r>
          </w:p>
        </w:tc>
        <w:tc>
          <w:tcPr>
            <w:tcW w:w="1504" w:type="dxa"/>
            <w:tcBorders>
              <w:top w:val="single" w:sz="2" w:space="0" w:color="1F4E79" w:themeColor="accent1" w:themeShade="80"/>
              <w:bottom w:val="single" w:sz="2" w:space="0" w:color="1F4E79" w:themeColor="accent1" w:themeShade="80"/>
            </w:tcBorders>
            <w:shd w:val="clear" w:color="auto" w:fill="auto"/>
          </w:tcPr>
          <w:p w14:paraId="493057FF" w14:textId="77777777" w:rsidR="00A6120B" w:rsidRPr="00C52004" w:rsidRDefault="00A6120B" w:rsidP="00342F13">
            <w:pPr>
              <w:pStyle w:val="08-Tabelageral"/>
              <w:rPr>
                <w:b/>
                <w:szCs w:val="14"/>
              </w:rPr>
            </w:pPr>
            <w:r w:rsidRPr="00C52004">
              <w:rPr>
                <w:b/>
                <w:szCs w:val="14"/>
              </w:rPr>
              <w:t xml:space="preserve">Controladas </w:t>
            </w:r>
            <w:r w:rsidRPr="00C52004">
              <w:rPr>
                <w:b/>
                <w:szCs w:val="14"/>
                <w:vertAlign w:val="superscript"/>
              </w:rPr>
              <w:t>(2)</w:t>
            </w:r>
          </w:p>
        </w:tc>
        <w:tc>
          <w:tcPr>
            <w:tcW w:w="1504" w:type="dxa"/>
            <w:tcBorders>
              <w:top w:val="single" w:sz="2" w:space="0" w:color="1F4E79" w:themeColor="accent1" w:themeShade="80"/>
              <w:bottom w:val="single" w:sz="2" w:space="0" w:color="1F4E79" w:themeColor="accent1" w:themeShade="80"/>
            </w:tcBorders>
            <w:shd w:val="clear" w:color="auto" w:fill="auto"/>
          </w:tcPr>
          <w:p w14:paraId="5EACADCC" w14:textId="77777777" w:rsidR="00A6120B" w:rsidRPr="00C52004" w:rsidRDefault="00A6120B" w:rsidP="00342F13">
            <w:pPr>
              <w:pStyle w:val="08-Tabelageral"/>
              <w:rPr>
                <w:b/>
                <w:szCs w:val="14"/>
              </w:rPr>
            </w:pPr>
            <w:r w:rsidRPr="00C52004">
              <w:rPr>
                <w:b/>
                <w:szCs w:val="14"/>
              </w:rPr>
              <w:t xml:space="preserve">Controlador </w:t>
            </w:r>
            <w:r w:rsidRPr="00C52004">
              <w:rPr>
                <w:b/>
                <w:szCs w:val="14"/>
                <w:vertAlign w:val="superscript"/>
              </w:rPr>
              <w:t>(1)</w:t>
            </w:r>
          </w:p>
        </w:tc>
        <w:tc>
          <w:tcPr>
            <w:tcW w:w="1612" w:type="dxa"/>
            <w:tcBorders>
              <w:top w:val="single" w:sz="2" w:space="0" w:color="1F4E79" w:themeColor="accent1" w:themeShade="80"/>
              <w:bottom w:val="single" w:sz="2" w:space="0" w:color="1F4E79" w:themeColor="accent1" w:themeShade="80"/>
            </w:tcBorders>
            <w:shd w:val="clear" w:color="auto" w:fill="auto"/>
          </w:tcPr>
          <w:p w14:paraId="219454FC" w14:textId="77777777" w:rsidR="00A6120B" w:rsidRPr="00C52004" w:rsidRDefault="00A6120B" w:rsidP="00342F13">
            <w:pPr>
              <w:pStyle w:val="08-Tabelageral"/>
              <w:rPr>
                <w:b/>
                <w:szCs w:val="14"/>
              </w:rPr>
            </w:pPr>
            <w:r w:rsidRPr="00C52004">
              <w:rPr>
                <w:b/>
                <w:szCs w:val="14"/>
              </w:rPr>
              <w:t xml:space="preserve">Controladas </w:t>
            </w:r>
            <w:r w:rsidRPr="00C52004">
              <w:rPr>
                <w:b/>
                <w:szCs w:val="14"/>
                <w:vertAlign w:val="superscript"/>
              </w:rPr>
              <w:t>(2)</w:t>
            </w:r>
          </w:p>
        </w:tc>
      </w:tr>
      <w:tr w:rsidR="00A6120B" w:rsidRPr="00C52004" w14:paraId="7FFB5FF4" w14:textId="77777777" w:rsidTr="000E1B1E">
        <w:trPr>
          <w:trHeight w:val="238"/>
          <w:jc w:val="center"/>
        </w:trPr>
        <w:tc>
          <w:tcPr>
            <w:tcW w:w="3515" w:type="dxa"/>
            <w:gridSpan w:val="2"/>
            <w:tcBorders>
              <w:top w:val="single" w:sz="2" w:space="0" w:color="1F4E79" w:themeColor="accent1" w:themeShade="80"/>
              <w:bottom w:val="nil"/>
            </w:tcBorders>
            <w:shd w:val="clear" w:color="auto" w:fill="auto"/>
          </w:tcPr>
          <w:p w14:paraId="094F9B46" w14:textId="77777777" w:rsidR="00A6120B" w:rsidRPr="00C52004" w:rsidRDefault="00A6120B" w:rsidP="00342F13">
            <w:pPr>
              <w:pStyle w:val="08-Tabelageral"/>
              <w:jc w:val="both"/>
              <w:rPr>
                <w:b/>
              </w:rPr>
            </w:pPr>
            <w:r w:rsidRPr="00C52004">
              <w:rPr>
                <w:b/>
              </w:rPr>
              <w:t>Resultado</w:t>
            </w:r>
          </w:p>
        </w:tc>
        <w:tc>
          <w:tcPr>
            <w:tcW w:w="1504" w:type="dxa"/>
            <w:tcBorders>
              <w:top w:val="single" w:sz="2" w:space="0" w:color="1F4E79" w:themeColor="accent1" w:themeShade="80"/>
              <w:bottom w:val="nil"/>
            </w:tcBorders>
            <w:shd w:val="clear" w:color="auto" w:fill="auto"/>
          </w:tcPr>
          <w:p w14:paraId="4E0477BD" w14:textId="77777777" w:rsidR="00A6120B" w:rsidRPr="00C52004" w:rsidRDefault="00A6120B" w:rsidP="00342F13">
            <w:pPr>
              <w:pStyle w:val="08-Tabelageral"/>
              <w:rPr>
                <w:b/>
                <w:szCs w:val="14"/>
              </w:rPr>
            </w:pPr>
          </w:p>
        </w:tc>
        <w:tc>
          <w:tcPr>
            <w:tcW w:w="1504" w:type="dxa"/>
            <w:tcBorders>
              <w:top w:val="single" w:sz="2" w:space="0" w:color="1F4E79" w:themeColor="accent1" w:themeShade="80"/>
              <w:bottom w:val="nil"/>
            </w:tcBorders>
            <w:shd w:val="clear" w:color="auto" w:fill="auto"/>
          </w:tcPr>
          <w:p w14:paraId="1C72670D" w14:textId="77777777" w:rsidR="00A6120B" w:rsidRPr="00C52004" w:rsidRDefault="00A6120B" w:rsidP="00342F13">
            <w:pPr>
              <w:pStyle w:val="08-Tabelageral"/>
              <w:rPr>
                <w:b/>
                <w:szCs w:val="14"/>
              </w:rPr>
            </w:pPr>
            <w:r w:rsidRPr="00C52004">
              <w:rPr>
                <w:b/>
                <w:szCs w:val="14"/>
              </w:rPr>
              <w:t xml:space="preserve"> </w:t>
            </w:r>
          </w:p>
        </w:tc>
        <w:tc>
          <w:tcPr>
            <w:tcW w:w="1504" w:type="dxa"/>
            <w:tcBorders>
              <w:top w:val="single" w:sz="2" w:space="0" w:color="1F4E79" w:themeColor="accent1" w:themeShade="80"/>
              <w:bottom w:val="nil"/>
            </w:tcBorders>
            <w:shd w:val="clear" w:color="auto" w:fill="auto"/>
          </w:tcPr>
          <w:p w14:paraId="6BE82BF2" w14:textId="77777777" w:rsidR="00A6120B" w:rsidRPr="00C52004" w:rsidRDefault="00A6120B" w:rsidP="00342F13">
            <w:pPr>
              <w:pStyle w:val="08-Tabelageral"/>
              <w:rPr>
                <w:b/>
                <w:szCs w:val="14"/>
              </w:rPr>
            </w:pPr>
          </w:p>
        </w:tc>
        <w:tc>
          <w:tcPr>
            <w:tcW w:w="1612" w:type="dxa"/>
            <w:tcBorders>
              <w:top w:val="single" w:sz="2" w:space="0" w:color="1F4E79" w:themeColor="accent1" w:themeShade="80"/>
              <w:bottom w:val="nil"/>
            </w:tcBorders>
            <w:shd w:val="clear" w:color="auto" w:fill="auto"/>
          </w:tcPr>
          <w:p w14:paraId="44EAD508" w14:textId="77777777" w:rsidR="00A6120B" w:rsidRPr="00C52004" w:rsidRDefault="00A6120B" w:rsidP="00342F13">
            <w:pPr>
              <w:pStyle w:val="08-Tabelageral"/>
              <w:rPr>
                <w:b/>
                <w:szCs w:val="14"/>
              </w:rPr>
            </w:pPr>
          </w:p>
        </w:tc>
      </w:tr>
      <w:tr w:rsidR="00A6120B" w:rsidRPr="00C52004" w14:paraId="431E8237" w14:textId="77777777" w:rsidTr="000E1B1E">
        <w:trPr>
          <w:trHeight w:val="238"/>
          <w:jc w:val="center"/>
        </w:trPr>
        <w:tc>
          <w:tcPr>
            <w:tcW w:w="3515" w:type="dxa"/>
            <w:gridSpan w:val="2"/>
            <w:tcBorders>
              <w:top w:val="nil"/>
            </w:tcBorders>
            <w:shd w:val="clear" w:color="auto" w:fill="auto"/>
          </w:tcPr>
          <w:p w14:paraId="699D21DA" w14:textId="77777777" w:rsidR="00A6120B" w:rsidRPr="00C52004" w:rsidRDefault="00A6120B" w:rsidP="009D559C">
            <w:pPr>
              <w:pStyle w:val="08-Tabelageral"/>
              <w:jc w:val="both"/>
            </w:pPr>
            <w:r w:rsidRPr="00C52004">
              <w:t>Receita de juros de instrumentos financeiros</w:t>
            </w:r>
          </w:p>
        </w:tc>
        <w:tc>
          <w:tcPr>
            <w:tcW w:w="1504" w:type="dxa"/>
            <w:tcBorders>
              <w:top w:val="nil"/>
            </w:tcBorders>
            <w:shd w:val="clear" w:color="auto" w:fill="auto"/>
          </w:tcPr>
          <w:p w14:paraId="4C289F1B" w14:textId="77777777" w:rsidR="00A6120B" w:rsidRPr="00C52004" w:rsidRDefault="00A6120B" w:rsidP="009D559C">
            <w:pPr>
              <w:pStyle w:val="08-Tabelageral"/>
            </w:pPr>
            <w:r w:rsidRPr="00EC4FF0">
              <w:t>13.527</w:t>
            </w:r>
          </w:p>
        </w:tc>
        <w:tc>
          <w:tcPr>
            <w:tcW w:w="1504" w:type="dxa"/>
            <w:tcBorders>
              <w:top w:val="nil"/>
            </w:tcBorders>
            <w:shd w:val="clear" w:color="auto" w:fill="auto"/>
          </w:tcPr>
          <w:p w14:paraId="4D6CB2C3" w14:textId="77777777" w:rsidR="00A6120B" w:rsidRPr="00C52004" w:rsidRDefault="00A6120B" w:rsidP="009D559C">
            <w:pPr>
              <w:pStyle w:val="08-Tabelageral"/>
            </w:pPr>
            <w:r>
              <w:t>--</w:t>
            </w:r>
          </w:p>
        </w:tc>
        <w:tc>
          <w:tcPr>
            <w:tcW w:w="1504" w:type="dxa"/>
            <w:tcBorders>
              <w:top w:val="nil"/>
            </w:tcBorders>
            <w:shd w:val="clear" w:color="auto" w:fill="auto"/>
          </w:tcPr>
          <w:p w14:paraId="5E12C884" w14:textId="77777777" w:rsidR="00A6120B" w:rsidRPr="00C52004" w:rsidRDefault="00A6120B" w:rsidP="009D559C">
            <w:pPr>
              <w:pStyle w:val="08-Tabelageral"/>
            </w:pPr>
            <w:r w:rsidRPr="00166275">
              <w:t>47.118</w:t>
            </w:r>
          </w:p>
        </w:tc>
        <w:tc>
          <w:tcPr>
            <w:tcW w:w="1612" w:type="dxa"/>
            <w:tcBorders>
              <w:top w:val="nil"/>
            </w:tcBorders>
            <w:shd w:val="clear" w:color="auto" w:fill="auto"/>
          </w:tcPr>
          <w:p w14:paraId="11A35C74" w14:textId="77777777" w:rsidR="00A6120B" w:rsidRPr="00C52004" w:rsidRDefault="00A6120B" w:rsidP="009D559C">
            <w:pPr>
              <w:pStyle w:val="08-Tabelageral"/>
            </w:pPr>
            <w:r w:rsidRPr="00166275">
              <w:t>--</w:t>
            </w:r>
          </w:p>
        </w:tc>
      </w:tr>
      <w:tr w:rsidR="00A6120B" w:rsidRPr="00C52004" w14:paraId="1ADA11EA" w14:textId="77777777" w:rsidTr="00C67516">
        <w:trPr>
          <w:trHeight w:val="238"/>
          <w:jc w:val="center"/>
        </w:trPr>
        <w:tc>
          <w:tcPr>
            <w:tcW w:w="3515" w:type="dxa"/>
            <w:gridSpan w:val="2"/>
            <w:shd w:val="clear" w:color="auto" w:fill="auto"/>
          </w:tcPr>
          <w:p w14:paraId="04765B0A" w14:textId="77777777" w:rsidR="00A6120B" w:rsidRPr="00C52004" w:rsidRDefault="00A6120B" w:rsidP="009D559C">
            <w:pPr>
              <w:pStyle w:val="08-Tabelageral"/>
              <w:jc w:val="both"/>
            </w:pPr>
            <w:r w:rsidRPr="00C52004">
              <w:t>Despesas com pessoal</w:t>
            </w:r>
          </w:p>
        </w:tc>
        <w:tc>
          <w:tcPr>
            <w:tcW w:w="1504" w:type="dxa"/>
            <w:shd w:val="clear" w:color="auto" w:fill="auto"/>
          </w:tcPr>
          <w:p w14:paraId="4B8F470E" w14:textId="77777777" w:rsidR="00A6120B" w:rsidRPr="00C52004" w:rsidRDefault="00A6120B" w:rsidP="009D559C">
            <w:pPr>
              <w:pStyle w:val="08-Tabelageral"/>
            </w:pPr>
            <w:r>
              <w:t>(12.167)</w:t>
            </w:r>
          </w:p>
        </w:tc>
        <w:tc>
          <w:tcPr>
            <w:tcW w:w="1504" w:type="dxa"/>
            <w:shd w:val="clear" w:color="auto" w:fill="auto"/>
          </w:tcPr>
          <w:p w14:paraId="52A5B54F" w14:textId="77777777" w:rsidR="00A6120B" w:rsidRPr="00C52004" w:rsidRDefault="00A6120B" w:rsidP="009D559C">
            <w:pPr>
              <w:pStyle w:val="08-Tabelageral"/>
            </w:pPr>
            <w:r>
              <w:t>--</w:t>
            </w:r>
          </w:p>
        </w:tc>
        <w:tc>
          <w:tcPr>
            <w:tcW w:w="1504" w:type="dxa"/>
            <w:shd w:val="clear" w:color="auto" w:fill="auto"/>
          </w:tcPr>
          <w:p w14:paraId="3A296DA5" w14:textId="77777777" w:rsidR="00A6120B" w:rsidRPr="00C52004" w:rsidRDefault="00A6120B" w:rsidP="009D559C">
            <w:pPr>
              <w:pStyle w:val="08-Tabelageral"/>
            </w:pPr>
            <w:r w:rsidRPr="00166275">
              <w:t>(11.602)</w:t>
            </w:r>
          </w:p>
        </w:tc>
        <w:tc>
          <w:tcPr>
            <w:tcW w:w="1612" w:type="dxa"/>
            <w:shd w:val="clear" w:color="auto" w:fill="auto"/>
          </w:tcPr>
          <w:p w14:paraId="62601387" w14:textId="77777777" w:rsidR="00A6120B" w:rsidRPr="00C52004" w:rsidRDefault="00A6120B" w:rsidP="009D559C">
            <w:pPr>
              <w:pStyle w:val="08-Tabelageral"/>
            </w:pPr>
            <w:r w:rsidRPr="00166275">
              <w:t>--</w:t>
            </w:r>
          </w:p>
        </w:tc>
      </w:tr>
      <w:tr w:rsidR="00A6120B" w:rsidRPr="00C52004" w14:paraId="3602EEBA" w14:textId="77777777" w:rsidTr="00C67516">
        <w:trPr>
          <w:trHeight w:val="238"/>
          <w:jc w:val="center"/>
        </w:trPr>
        <w:tc>
          <w:tcPr>
            <w:tcW w:w="3515" w:type="dxa"/>
            <w:gridSpan w:val="2"/>
            <w:shd w:val="clear" w:color="auto" w:fill="auto"/>
          </w:tcPr>
          <w:p w14:paraId="3AEDF8C1" w14:textId="77777777" w:rsidR="00A6120B" w:rsidRPr="00C52004" w:rsidRDefault="00A6120B" w:rsidP="009D559C">
            <w:pPr>
              <w:pStyle w:val="08-Tabelageral"/>
              <w:jc w:val="both"/>
            </w:pPr>
            <w:r w:rsidRPr="00C52004">
              <w:t xml:space="preserve">Despesas administrativas </w:t>
            </w:r>
            <w:r w:rsidRPr="00C52004">
              <w:rPr>
                <w:vertAlign w:val="superscript"/>
              </w:rPr>
              <w:t>(3)</w:t>
            </w:r>
          </w:p>
        </w:tc>
        <w:tc>
          <w:tcPr>
            <w:tcW w:w="1504" w:type="dxa"/>
            <w:shd w:val="clear" w:color="auto" w:fill="auto"/>
          </w:tcPr>
          <w:p w14:paraId="566CC72C" w14:textId="77777777" w:rsidR="00A6120B" w:rsidRPr="00C52004" w:rsidRDefault="00A6120B" w:rsidP="009D559C">
            <w:pPr>
              <w:pStyle w:val="08-Tabelageral"/>
            </w:pPr>
            <w:r>
              <w:t>(1.273)</w:t>
            </w:r>
          </w:p>
        </w:tc>
        <w:tc>
          <w:tcPr>
            <w:tcW w:w="1504" w:type="dxa"/>
            <w:shd w:val="clear" w:color="auto" w:fill="auto"/>
          </w:tcPr>
          <w:p w14:paraId="2621D2A1" w14:textId="77777777" w:rsidR="00A6120B" w:rsidRPr="00C52004" w:rsidRDefault="00A6120B" w:rsidP="009D559C">
            <w:pPr>
              <w:pStyle w:val="08-Tabelageral"/>
            </w:pPr>
            <w:r>
              <w:t>--</w:t>
            </w:r>
          </w:p>
        </w:tc>
        <w:tc>
          <w:tcPr>
            <w:tcW w:w="1504" w:type="dxa"/>
            <w:shd w:val="clear" w:color="auto" w:fill="auto"/>
          </w:tcPr>
          <w:p w14:paraId="7A9A36B0" w14:textId="77777777" w:rsidR="00A6120B" w:rsidRPr="00C52004" w:rsidRDefault="00A6120B" w:rsidP="009D559C">
            <w:pPr>
              <w:pStyle w:val="08-Tabelageral"/>
            </w:pPr>
            <w:r w:rsidRPr="00166275">
              <w:t>(1.223)</w:t>
            </w:r>
          </w:p>
        </w:tc>
        <w:tc>
          <w:tcPr>
            <w:tcW w:w="1612" w:type="dxa"/>
            <w:shd w:val="clear" w:color="auto" w:fill="auto"/>
          </w:tcPr>
          <w:p w14:paraId="0930F3BA" w14:textId="77777777" w:rsidR="00A6120B" w:rsidRPr="00C52004" w:rsidRDefault="00A6120B" w:rsidP="009D559C">
            <w:pPr>
              <w:pStyle w:val="08-Tabelageral"/>
            </w:pPr>
            <w:r w:rsidRPr="00166275">
              <w:t>--</w:t>
            </w:r>
          </w:p>
        </w:tc>
      </w:tr>
      <w:tr w:rsidR="00A6120B" w:rsidRPr="00C52004" w14:paraId="4DE21DFE" w14:textId="77777777" w:rsidTr="000E1B1E">
        <w:trPr>
          <w:trHeight w:val="238"/>
          <w:jc w:val="center"/>
        </w:trPr>
        <w:tc>
          <w:tcPr>
            <w:tcW w:w="3515" w:type="dxa"/>
            <w:gridSpan w:val="2"/>
            <w:tcBorders>
              <w:bottom w:val="nil"/>
            </w:tcBorders>
            <w:shd w:val="clear" w:color="auto" w:fill="auto"/>
          </w:tcPr>
          <w:p w14:paraId="298D2C57" w14:textId="77777777" w:rsidR="00A6120B" w:rsidRPr="00C52004" w:rsidRDefault="00A6120B" w:rsidP="009D559C">
            <w:pPr>
              <w:pStyle w:val="08-Tabelageral"/>
              <w:jc w:val="both"/>
            </w:pPr>
            <w:r w:rsidRPr="00C52004">
              <w:t>Variações monetárias ativas</w:t>
            </w:r>
          </w:p>
        </w:tc>
        <w:tc>
          <w:tcPr>
            <w:tcW w:w="1504" w:type="dxa"/>
            <w:tcBorders>
              <w:bottom w:val="nil"/>
            </w:tcBorders>
            <w:shd w:val="clear" w:color="auto" w:fill="auto"/>
          </w:tcPr>
          <w:p w14:paraId="27EAC61F" w14:textId="77777777" w:rsidR="00A6120B" w:rsidRPr="00C52004" w:rsidRDefault="00A6120B" w:rsidP="009D559C">
            <w:pPr>
              <w:pStyle w:val="08-Tabelageral"/>
            </w:pPr>
            <w:r>
              <w:t>--</w:t>
            </w:r>
          </w:p>
        </w:tc>
        <w:tc>
          <w:tcPr>
            <w:tcW w:w="1504" w:type="dxa"/>
            <w:tcBorders>
              <w:bottom w:val="nil"/>
            </w:tcBorders>
            <w:shd w:val="clear" w:color="auto" w:fill="auto"/>
          </w:tcPr>
          <w:p w14:paraId="74BF55CC" w14:textId="77777777" w:rsidR="00A6120B" w:rsidRPr="00C52004" w:rsidRDefault="00A6120B" w:rsidP="009D559C">
            <w:pPr>
              <w:pStyle w:val="08-Tabelageral"/>
            </w:pPr>
            <w:r>
              <w:t>(2.934)</w:t>
            </w:r>
          </w:p>
        </w:tc>
        <w:tc>
          <w:tcPr>
            <w:tcW w:w="1504" w:type="dxa"/>
            <w:tcBorders>
              <w:bottom w:val="nil"/>
            </w:tcBorders>
            <w:shd w:val="clear" w:color="auto" w:fill="auto"/>
          </w:tcPr>
          <w:p w14:paraId="6B4B5856" w14:textId="77777777" w:rsidR="00A6120B" w:rsidRPr="00C52004" w:rsidRDefault="00A6120B" w:rsidP="009D559C">
            <w:pPr>
              <w:pStyle w:val="08-Tabelageral"/>
            </w:pPr>
            <w:r w:rsidRPr="00166275">
              <w:t>--</w:t>
            </w:r>
          </w:p>
        </w:tc>
        <w:tc>
          <w:tcPr>
            <w:tcW w:w="1612" w:type="dxa"/>
            <w:tcBorders>
              <w:bottom w:val="nil"/>
            </w:tcBorders>
            <w:shd w:val="clear" w:color="auto" w:fill="auto"/>
          </w:tcPr>
          <w:p w14:paraId="4488C45E" w14:textId="77777777" w:rsidR="00A6120B" w:rsidRPr="00C52004" w:rsidRDefault="00A6120B" w:rsidP="009D559C">
            <w:pPr>
              <w:pStyle w:val="08-Tabelageral"/>
            </w:pPr>
            <w:r w:rsidRPr="00166275">
              <w:t>13.989</w:t>
            </w:r>
          </w:p>
        </w:tc>
      </w:tr>
      <w:tr w:rsidR="00A6120B" w:rsidRPr="00C52004" w14:paraId="5F675FCC" w14:textId="77777777" w:rsidTr="000E1B1E">
        <w:trPr>
          <w:trHeight w:val="238"/>
          <w:jc w:val="center"/>
        </w:trPr>
        <w:tc>
          <w:tcPr>
            <w:tcW w:w="3515" w:type="dxa"/>
            <w:gridSpan w:val="2"/>
            <w:tcBorders>
              <w:top w:val="nil"/>
              <w:bottom w:val="single" w:sz="2" w:space="0" w:color="1F4E79" w:themeColor="accent1" w:themeShade="80"/>
            </w:tcBorders>
            <w:shd w:val="clear" w:color="auto" w:fill="auto"/>
          </w:tcPr>
          <w:p w14:paraId="76A57CED" w14:textId="77777777" w:rsidR="00A6120B" w:rsidRPr="00C52004" w:rsidRDefault="00A6120B" w:rsidP="009D559C">
            <w:pPr>
              <w:pStyle w:val="08-Tabelageral"/>
              <w:jc w:val="both"/>
            </w:pPr>
            <w:r w:rsidRPr="00C52004">
              <w:t>Variações monetárias passivas</w:t>
            </w:r>
          </w:p>
        </w:tc>
        <w:tc>
          <w:tcPr>
            <w:tcW w:w="1504" w:type="dxa"/>
            <w:tcBorders>
              <w:top w:val="nil"/>
              <w:bottom w:val="single" w:sz="2" w:space="0" w:color="1F4E79" w:themeColor="accent1" w:themeShade="80"/>
            </w:tcBorders>
            <w:shd w:val="clear" w:color="auto" w:fill="auto"/>
          </w:tcPr>
          <w:p w14:paraId="45B68044" w14:textId="77777777" w:rsidR="00A6120B" w:rsidRPr="00C52004" w:rsidRDefault="00A6120B" w:rsidP="009D559C">
            <w:pPr>
              <w:pStyle w:val="08-Tabelageral"/>
            </w:pPr>
            <w:r>
              <w:t>(1.738)</w:t>
            </w:r>
          </w:p>
        </w:tc>
        <w:tc>
          <w:tcPr>
            <w:tcW w:w="1504" w:type="dxa"/>
            <w:tcBorders>
              <w:top w:val="nil"/>
              <w:bottom w:val="single" w:sz="2" w:space="0" w:color="1F4E79" w:themeColor="accent1" w:themeShade="80"/>
            </w:tcBorders>
            <w:shd w:val="clear" w:color="auto" w:fill="auto"/>
          </w:tcPr>
          <w:p w14:paraId="05638766" w14:textId="77777777" w:rsidR="00A6120B" w:rsidRPr="00C52004" w:rsidRDefault="00A6120B" w:rsidP="009D559C">
            <w:pPr>
              <w:pStyle w:val="08-Tabelageral"/>
            </w:pPr>
            <w:r>
              <w:t>--</w:t>
            </w:r>
          </w:p>
        </w:tc>
        <w:tc>
          <w:tcPr>
            <w:tcW w:w="1504" w:type="dxa"/>
            <w:tcBorders>
              <w:top w:val="nil"/>
              <w:bottom w:val="single" w:sz="2" w:space="0" w:color="1F4E79" w:themeColor="accent1" w:themeShade="80"/>
            </w:tcBorders>
            <w:shd w:val="clear" w:color="auto" w:fill="auto"/>
          </w:tcPr>
          <w:p w14:paraId="564E0D99" w14:textId="77777777" w:rsidR="00A6120B" w:rsidRPr="00C52004" w:rsidRDefault="00A6120B" w:rsidP="009D559C">
            <w:pPr>
              <w:pStyle w:val="08-Tabelageral"/>
            </w:pPr>
            <w:r w:rsidRPr="00166275">
              <w:t>(16.477)</w:t>
            </w:r>
          </w:p>
        </w:tc>
        <w:tc>
          <w:tcPr>
            <w:tcW w:w="1612" w:type="dxa"/>
            <w:tcBorders>
              <w:top w:val="nil"/>
              <w:bottom w:val="single" w:sz="2" w:space="0" w:color="1F4E79" w:themeColor="accent1" w:themeShade="80"/>
            </w:tcBorders>
            <w:shd w:val="clear" w:color="auto" w:fill="auto"/>
          </w:tcPr>
          <w:p w14:paraId="0B6C939B" w14:textId="77777777" w:rsidR="00A6120B" w:rsidRPr="00C52004" w:rsidRDefault="00A6120B" w:rsidP="009D559C">
            <w:pPr>
              <w:pStyle w:val="08-Tabelageral"/>
            </w:pPr>
            <w:r w:rsidRPr="00166275">
              <w:t>--</w:t>
            </w:r>
          </w:p>
        </w:tc>
      </w:tr>
    </w:tbl>
    <w:p w14:paraId="1BD301AF" w14:textId="77777777" w:rsidR="00A6120B" w:rsidRPr="00C36A31" w:rsidRDefault="00A6120B" w:rsidP="00A6120B">
      <w:pPr>
        <w:pStyle w:val="07-Legenda"/>
        <w:numPr>
          <w:ilvl w:val="0"/>
          <w:numId w:val="31"/>
        </w:numPr>
        <w:tabs>
          <w:tab w:val="clear" w:pos="284"/>
          <w:tab w:val="left" w:pos="66"/>
        </w:tabs>
        <w:spacing w:before="0"/>
        <w:ind w:left="284" w:hanging="284"/>
      </w:pPr>
      <w:r w:rsidRPr="00C36A31">
        <w:t>Banco do Brasil S.A.</w:t>
      </w:r>
    </w:p>
    <w:p w14:paraId="08F4519F" w14:textId="77777777" w:rsidR="00A6120B" w:rsidRPr="00C36A31" w:rsidRDefault="00A6120B" w:rsidP="00A6120B">
      <w:pPr>
        <w:pStyle w:val="07-Legenda"/>
        <w:numPr>
          <w:ilvl w:val="0"/>
          <w:numId w:val="31"/>
        </w:numPr>
        <w:tabs>
          <w:tab w:val="clear" w:pos="284"/>
          <w:tab w:val="left" w:pos="142"/>
        </w:tabs>
        <w:spacing w:before="0"/>
        <w:ind w:left="284" w:hanging="284"/>
      </w:pPr>
      <w:r w:rsidRPr="00C36A31">
        <w:t>BB Seguros</w:t>
      </w:r>
      <w:r>
        <w:t xml:space="preserve"> e</w:t>
      </w:r>
      <w:r w:rsidRPr="00C36A31">
        <w:t xml:space="preserve"> BB Corretora.</w:t>
      </w:r>
    </w:p>
    <w:p w14:paraId="1FEBF956" w14:textId="77777777" w:rsidR="00A6120B" w:rsidRDefault="00A6120B" w:rsidP="00A6120B">
      <w:pPr>
        <w:pStyle w:val="07-Legenda"/>
        <w:numPr>
          <w:ilvl w:val="0"/>
          <w:numId w:val="31"/>
        </w:numPr>
        <w:tabs>
          <w:tab w:val="clear" w:pos="284"/>
          <w:tab w:val="left" w:pos="142"/>
        </w:tabs>
        <w:spacing w:before="0"/>
        <w:ind w:left="284" w:hanging="284"/>
      </w:pPr>
      <w:r w:rsidRPr="00C36A31">
        <w:t xml:space="preserve">Refere-se às despesas conforme </w:t>
      </w:r>
      <w:r>
        <w:t>convênio</w:t>
      </w:r>
      <w:r w:rsidRPr="00C36A31">
        <w:t xml:space="preserve">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3AC9110A" w14:textId="77777777" w:rsidR="00A6120B" w:rsidRDefault="00A6120B" w:rsidP="0092000D">
      <w:pPr>
        <w:pStyle w:val="03-SubttulodeNota"/>
        <w:rPr>
          <w:color w:val="1F4E79" w:themeColor="accent1" w:themeShade="80"/>
        </w:rPr>
      </w:pPr>
    </w:p>
    <w:p w14:paraId="4E9F7A55" w14:textId="77777777" w:rsidR="00A6120B" w:rsidRPr="00971822" w:rsidRDefault="00A6120B" w:rsidP="0092000D">
      <w:pPr>
        <w:pStyle w:val="03-SubttulodeNota"/>
        <w:rPr>
          <w:color w:val="1F4E79" w:themeColor="accent1" w:themeShade="80"/>
          <w:sz w:val="18"/>
          <w:szCs w:val="18"/>
        </w:rPr>
      </w:pPr>
      <w:r w:rsidRPr="00971822">
        <w:rPr>
          <w:color w:val="1F4E79" w:themeColor="accent1" w:themeShade="80"/>
          <w:sz w:val="18"/>
          <w:szCs w:val="18"/>
        </w:rPr>
        <w:t>BB Seguridade – Consolidado</w:t>
      </w:r>
    </w:p>
    <w:p w14:paraId="5724F694" w14:textId="77777777" w:rsidR="00A6120B" w:rsidRPr="00676763" w:rsidRDefault="00A6120B" w:rsidP="00D171F1">
      <w:pPr>
        <w:pStyle w:val="01-TtulodeNota"/>
        <w:spacing w:before="0" w:after="0"/>
        <w:jc w:val="right"/>
        <w:rPr>
          <w:sz w:val="14"/>
          <w:szCs w:val="14"/>
        </w:rPr>
      </w:pPr>
      <w:r w:rsidRPr="00676763">
        <w:rPr>
          <w:sz w:val="14"/>
          <w:szCs w:val="14"/>
        </w:rPr>
        <w:t>R$ mil</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762"/>
        <w:gridCol w:w="85"/>
        <w:gridCol w:w="1189"/>
        <w:gridCol w:w="1127"/>
        <w:gridCol w:w="1086"/>
        <w:gridCol w:w="314"/>
        <w:gridCol w:w="253"/>
        <w:gridCol w:w="1021"/>
        <w:gridCol w:w="1127"/>
        <w:gridCol w:w="1400"/>
      </w:tblGrid>
      <w:tr w:rsidR="00A6120B" w:rsidRPr="00C52004" w14:paraId="79685379" w14:textId="77777777" w:rsidTr="0094232A">
        <w:trPr>
          <w:trHeight w:val="238"/>
          <w:jc w:val="center"/>
        </w:trPr>
        <w:tc>
          <w:tcPr>
            <w:tcW w:w="287" w:type="dxa"/>
            <w:tcBorders>
              <w:top w:val="single" w:sz="2" w:space="0" w:color="1F4E79" w:themeColor="accent1" w:themeShade="80"/>
              <w:bottom w:val="nil"/>
            </w:tcBorders>
            <w:shd w:val="clear" w:color="auto" w:fill="auto"/>
            <w:vAlign w:val="center"/>
          </w:tcPr>
          <w:p w14:paraId="40147497" w14:textId="77777777" w:rsidR="00A6120B" w:rsidRPr="00C52004" w:rsidRDefault="00A6120B" w:rsidP="00C52004">
            <w:pPr>
              <w:pStyle w:val="08-Tabelageral"/>
              <w:jc w:val="center"/>
              <w:rPr>
                <w:b/>
              </w:rPr>
            </w:pPr>
          </w:p>
        </w:tc>
        <w:tc>
          <w:tcPr>
            <w:tcW w:w="1762" w:type="dxa"/>
            <w:tcBorders>
              <w:top w:val="single" w:sz="2" w:space="0" w:color="1F4E79" w:themeColor="accent1" w:themeShade="80"/>
              <w:bottom w:val="nil"/>
            </w:tcBorders>
            <w:shd w:val="clear" w:color="auto" w:fill="auto"/>
            <w:vAlign w:val="center"/>
          </w:tcPr>
          <w:p w14:paraId="6BC9A31D" w14:textId="77777777" w:rsidR="00A6120B" w:rsidRPr="00C52004" w:rsidRDefault="00A6120B" w:rsidP="00C52004">
            <w:pPr>
              <w:pStyle w:val="08-Tabelageral"/>
              <w:jc w:val="center"/>
              <w:rPr>
                <w:b/>
              </w:rPr>
            </w:pPr>
          </w:p>
        </w:tc>
        <w:tc>
          <w:tcPr>
            <w:tcW w:w="3487" w:type="dxa"/>
            <w:gridSpan w:val="4"/>
            <w:tcBorders>
              <w:top w:val="single" w:sz="2" w:space="0" w:color="1F4E79" w:themeColor="accent1" w:themeShade="80"/>
              <w:bottom w:val="single" w:sz="2" w:space="0" w:color="8EAADB" w:themeColor="accent5" w:themeTint="99"/>
            </w:tcBorders>
            <w:shd w:val="clear" w:color="auto" w:fill="auto"/>
            <w:vAlign w:val="center"/>
          </w:tcPr>
          <w:p w14:paraId="31837CB5" w14:textId="77777777" w:rsidR="00A6120B" w:rsidRPr="00C52004" w:rsidRDefault="00A6120B" w:rsidP="00D217EC">
            <w:pPr>
              <w:pStyle w:val="08-Tabelageral"/>
              <w:jc w:val="center"/>
              <w:rPr>
                <w:b/>
                <w:bCs/>
              </w:rPr>
            </w:pPr>
            <w:r>
              <w:rPr>
                <w:b/>
              </w:rPr>
              <w:t>31</w:t>
            </w:r>
            <w:r w:rsidRPr="00C52004">
              <w:rPr>
                <w:b/>
              </w:rPr>
              <w:t>.</w:t>
            </w:r>
            <w:r>
              <w:rPr>
                <w:b/>
              </w:rPr>
              <w:t>12</w:t>
            </w:r>
            <w:r w:rsidRPr="00C52004">
              <w:rPr>
                <w:b/>
              </w:rPr>
              <w:t>.202</w:t>
            </w:r>
            <w:r>
              <w:rPr>
                <w:b/>
              </w:rPr>
              <w:t>1</w:t>
            </w:r>
          </w:p>
        </w:tc>
        <w:tc>
          <w:tcPr>
            <w:tcW w:w="314" w:type="dxa"/>
            <w:tcBorders>
              <w:top w:val="single" w:sz="2" w:space="0" w:color="1F4E79" w:themeColor="accent1" w:themeShade="80"/>
              <w:bottom w:val="single" w:sz="2" w:space="0" w:color="8EAADB" w:themeColor="accent5" w:themeTint="99"/>
            </w:tcBorders>
            <w:shd w:val="clear" w:color="auto" w:fill="auto"/>
          </w:tcPr>
          <w:p w14:paraId="1C53F842" w14:textId="77777777" w:rsidR="00A6120B" w:rsidRPr="00C52004" w:rsidRDefault="00A6120B" w:rsidP="00C52004">
            <w:pPr>
              <w:pStyle w:val="08-Tabelageral"/>
              <w:jc w:val="center"/>
              <w:rPr>
                <w:b/>
              </w:rPr>
            </w:pPr>
          </w:p>
        </w:tc>
        <w:tc>
          <w:tcPr>
            <w:tcW w:w="253" w:type="dxa"/>
            <w:tcBorders>
              <w:top w:val="single" w:sz="2" w:space="0" w:color="1F4E79" w:themeColor="accent1" w:themeShade="80"/>
              <w:bottom w:val="single" w:sz="2" w:space="0" w:color="8EAADB" w:themeColor="accent5" w:themeTint="99"/>
            </w:tcBorders>
            <w:shd w:val="clear" w:color="auto" w:fill="auto"/>
          </w:tcPr>
          <w:p w14:paraId="5C67C0E9" w14:textId="77777777" w:rsidR="00A6120B" w:rsidRPr="00C52004" w:rsidRDefault="00A6120B" w:rsidP="00F0632D">
            <w:pPr>
              <w:pStyle w:val="08-Tabelageral"/>
              <w:jc w:val="left"/>
              <w:rPr>
                <w:b/>
              </w:rPr>
            </w:pPr>
          </w:p>
        </w:tc>
        <w:tc>
          <w:tcPr>
            <w:tcW w:w="3548" w:type="dxa"/>
            <w:gridSpan w:val="3"/>
            <w:tcBorders>
              <w:top w:val="single" w:sz="2" w:space="0" w:color="1F4E79" w:themeColor="accent1" w:themeShade="80"/>
              <w:bottom w:val="single" w:sz="2" w:space="0" w:color="8EAADB" w:themeColor="accent5" w:themeTint="99"/>
            </w:tcBorders>
            <w:shd w:val="clear" w:color="auto" w:fill="auto"/>
            <w:vAlign w:val="center"/>
          </w:tcPr>
          <w:p w14:paraId="136088AF" w14:textId="77777777" w:rsidR="00A6120B" w:rsidRPr="00C52004" w:rsidRDefault="00A6120B" w:rsidP="00F0632D">
            <w:pPr>
              <w:pStyle w:val="08-Tabelageral"/>
              <w:jc w:val="center"/>
              <w:rPr>
                <w:b/>
              </w:rPr>
            </w:pPr>
            <w:r w:rsidRPr="006E66C7">
              <w:rPr>
                <w:b/>
              </w:rPr>
              <w:t>31.12.2020</w:t>
            </w:r>
          </w:p>
        </w:tc>
      </w:tr>
      <w:tr w:rsidR="00A6120B" w:rsidRPr="00C52004" w14:paraId="4CF2F3C8" w14:textId="77777777" w:rsidTr="0094232A">
        <w:trPr>
          <w:trHeight w:val="238"/>
          <w:jc w:val="center"/>
        </w:trPr>
        <w:tc>
          <w:tcPr>
            <w:tcW w:w="2134" w:type="dxa"/>
            <w:gridSpan w:val="3"/>
            <w:tcBorders>
              <w:top w:val="nil"/>
              <w:bottom w:val="single" w:sz="2" w:space="0" w:color="1F4E79" w:themeColor="accent1" w:themeShade="80"/>
            </w:tcBorders>
            <w:shd w:val="clear" w:color="auto" w:fill="auto"/>
            <w:vAlign w:val="center"/>
          </w:tcPr>
          <w:p w14:paraId="3257481D" w14:textId="77777777" w:rsidR="00A6120B" w:rsidRPr="00C52004" w:rsidRDefault="00A6120B" w:rsidP="00C52004">
            <w:pPr>
              <w:pStyle w:val="08-Tabelageral"/>
              <w:jc w:val="center"/>
              <w:rPr>
                <w:b/>
                <w:sz w:val="12"/>
                <w:szCs w:val="12"/>
              </w:rPr>
            </w:pPr>
          </w:p>
        </w:tc>
        <w:tc>
          <w:tcPr>
            <w:tcW w:w="1189" w:type="dxa"/>
            <w:tcBorders>
              <w:top w:val="single" w:sz="2" w:space="0" w:color="1F4E79" w:themeColor="accent1" w:themeShade="80"/>
              <w:bottom w:val="single" w:sz="2" w:space="0" w:color="1F4E79" w:themeColor="accent1" w:themeShade="80"/>
            </w:tcBorders>
            <w:shd w:val="clear" w:color="auto" w:fill="auto"/>
            <w:vAlign w:val="center"/>
          </w:tcPr>
          <w:p w14:paraId="59763D73" w14:textId="77777777" w:rsidR="00A6120B" w:rsidRPr="00C52004" w:rsidRDefault="00A6120B" w:rsidP="002A68E6">
            <w:pPr>
              <w:pStyle w:val="08-Tabelageral"/>
              <w:rPr>
                <w:b/>
                <w:szCs w:val="12"/>
              </w:rPr>
            </w:pPr>
            <w:r w:rsidRPr="00C52004">
              <w:rPr>
                <w:b/>
                <w:szCs w:val="12"/>
              </w:rPr>
              <w:t xml:space="preserve">Controlador </w:t>
            </w:r>
            <w:r w:rsidRPr="00C52004">
              <w:rPr>
                <w:b/>
                <w:szCs w:val="12"/>
                <w:vertAlign w:val="superscript"/>
              </w:rPr>
              <w:t>(1)</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28205878" w14:textId="77777777" w:rsidR="00A6120B" w:rsidRPr="00C52004" w:rsidRDefault="00A6120B" w:rsidP="002A68E6">
            <w:pPr>
              <w:pStyle w:val="08-Tabelageral"/>
              <w:rPr>
                <w:b/>
                <w:szCs w:val="12"/>
              </w:rPr>
            </w:pPr>
            <w:r w:rsidRPr="00C52004">
              <w:rPr>
                <w:b/>
                <w:szCs w:val="12"/>
              </w:rPr>
              <w:t xml:space="preserve">Empresas Investidas </w:t>
            </w:r>
            <w:r w:rsidRPr="00C52004">
              <w:rPr>
                <w:b/>
                <w:szCs w:val="12"/>
                <w:vertAlign w:val="superscript"/>
              </w:rPr>
              <w:t>(2)</w:t>
            </w:r>
          </w:p>
        </w:tc>
        <w:tc>
          <w:tcPr>
            <w:tcW w:w="1400" w:type="dxa"/>
            <w:gridSpan w:val="2"/>
            <w:tcBorders>
              <w:top w:val="single" w:sz="2" w:space="0" w:color="1F4E79" w:themeColor="accent1" w:themeShade="80"/>
              <w:bottom w:val="single" w:sz="2" w:space="0" w:color="1F4E79" w:themeColor="accent1" w:themeShade="80"/>
            </w:tcBorders>
            <w:shd w:val="clear" w:color="auto" w:fill="auto"/>
            <w:vAlign w:val="center"/>
          </w:tcPr>
          <w:p w14:paraId="7BEEB873" w14:textId="77777777" w:rsidR="00A6120B" w:rsidRPr="00C52004" w:rsidRDefault="00A6120B" w:rsidP="002A68E6">
            <w:pPr>
              <w:pStyle w:val="08-Tabelageral"/>
              <w:rPr>
                <w:b/>
                <w:szCs w:val="12"/>
              </w:rPr>
            </w:pPr>
            <w:r>
              <w:rPr>
                <w:b/>
                <w:szCs w:val="12"/>
              </w:rPr>
              <w:t>Outras Partes Relacionadas</w:t>
            </w:r>
          </w:p>
        </w:tc>
        <w:tc>
          <w:tcPr>
            <w:tcW w:w="1274" w:type="dxa"/>
            <w:gridSpan w:val="2"/>
            <w:tcBorders>
              <w:top w:val="single" w:sz="2" w:space="0" w:color="1F4E79" w:themeColor="accent1" w:themeShade="80"/>
              <w:bottom w:val="single" w:sz="2" w:space="0" w:color="1F4E79" w:themeColor="accent1" w:themeShade="80"/>
            </w:tcBorders>
            <w:shd w:val="clear" w:color="auto" w:fill="auto"/>
            <w:vAlign w:val="center"/>
          </w:tcPr>
          <w:p w14:paraId="10271136" w14:textId="77777777" w:rsidR="00A6120B" w:rsidRPr="00C52004" w:rsidRDefault="00A6120B" w:rsidP="002A68E6">
            <w:pPr>
              <w:pStyle w:val="08-Tabelageral"/>
              <w:rPr>
                <w:b/>
                <w:szCs w:val="12"/>
              </w:rPr>
            </w:pPr>
            <w:r w:rsidRPr="00C52004">
              <w:rPr>
                <w:b/>
                <w:szCs w:val="12"/>
              </w:rPr>
              <w:t xml:space="preserve">Controlador </w:t>
            </w:r>
            <w:r w:rsidRPr="00C52004">
              <w:rPr>
                <w:b/>
                <w:szCs w:val="12"/>
                <w:vertAlign w:val="superscript"/>
              </w:rPr>
              <w:t>(1)</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45CBFACA" w14:textId="77777777" w:rsidR="00A6120B" w:rsidRPr="00C52004" w:rsidRDefault="00A6120B" w:rsidP="002A68E6">
            <w:pPr>
              <w:pStyle w:val="08-Tabelageral"/>
              <w:rPr>
                <w:b/>
                <w:szCs w:val="12"/>
              </w:rPr>
            </w:pPr>
            <w:r w:rsidRPr="00C52004">
              <w:rPr>
                <w:b/>
                <w:szCs w:val="12"/>
              </w:rPr>
              <w:t xml:space="preserve">Empresas Investidas </w:t>
            </w:r>
            <w:r w:rsidRPr="00C52004">
              <w:rPr>
                <w:b/>
                <w:szCs w:val="12"/>
                <w:vertAlign w:val="superscript"/>
              </w:rPr>
              <w:t>(2)</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3D60FDBC" w14:textId="77777777" w:rsidR="00A6120B" w:rsidRPr="00C52004" w:rsidRDefault="00A6120B" w:rsidP="002A68E6">
            <w:pPr>
              <w:pStyle w:val="08-Tabelageral"/>
              <w:rPr>
                <w:b/>
                <w:szCs w:val="12"/>
              </w:rPr>
            </w:pPr>
            <w:r>
              <w:rPr>
                <w:b/>
                <w:szCs w:val="12"/>
              </w:rPr>
              <w:t>Outras Partes Relacionadas</w:t>
            </w:r>
          </w:p>
        </w:tc>
      </w:tr>
      <w:tr w:rsidR="00A6120B" w:rsidRPr="00C52004" w14:paraId="134638C7" w14:textId="77777777" w:rsidTr="0094232A">
        <w:trPr>
          <w:trHeight w:val="238"/>
          <w:jc w:val="center"/>
        </w:trPr>
        <w:tc>
          <w:tcPr>
            <w:tcW w:w="2134" w:type="dxa"/>
            <w:gridSpan w:val="3"/>
            <w:tcBorders>
              <w:top w:val="single" w:sz="2" w:space="0" w:color="1F4E79" w:themeColor="accent1" w:themeShade="80"/>
              <w:bottom w:val="nil"/>
            </w:tcBorders>
            <w:shd w:val="clear" w:color="auto" w:fill="auto"/>
          </w:tcPr>
          <w:p w14:paraId="1F7F1B5F" w14:textId="77777777" w:rsidR="00A6120B" w:rsidRPr="00C52004" w:rsidRDefault="00A6120B" w:rsidP="00ED0DAC">
            <w:pPr>
              <w:pStyle w:val="08-Tabelageral"/>
              <w:jc w:val="left"/>
              <w:rPr>
                <w:b/>
              </w:rPr>
            </w:pPr>
            <w:r w:rsidRPr="00C52004">
              <w:rPr>
                <w:b/>
              </w:rPr>
              <w:t>Ativos</w:t>
            </w:r>
          </w:p>
        </w:tc>
        <w:tc>
          <w:tcPr>
            <w:tcW w:w="1189" w:type="dxa"/>
            <w:tcBorders>
              <w:top w:val="single" w:sz="2" w:space="0" w:color="1F4E79" w:themeColor="accent1" w:themeShade="80"/>
              <w:bottom w:val="nil"/>
            </w:tcBorders>
            <w:shd w:val="clear" w:color="auto" w:fill="auto"/>
            <w:vAlign w:val="center"/>
          </w:tcPr>
          <w:p w14:paraId="6A49CB93" w14:textId="77777777" w:rsidR="00A6120B" w:rsidRPr="00C52004" w:rsidRDefault="00A6120B" w:rsidP="002A68E6">
            <w:pPr>
              <w:pStyle w:val="08-Tabelageral"/>
              <w:rPr>
                <w:b/>
                <w:szCs w:val="14"/>
              </w:rPr>
            </w:pPr>
          </w:p>
        </w:tc>
        <w:tc>
          <w:tcPr>
            <w:tcW w:w="1127" w:type="dxa"/>
            <w:tcBorders>
              <w:top w:val="single" w:sz="2" w:space="0" w:color="1F4E79" w:themeColor="accent1" w:themeShade="80"/>
              <w:bottom w:val="nil"/>
            </w:tcBorders>
            <w:shd w:val="clear" w:color="auto" w:fill="auto"/>
            <w:vAlign w:val="center"/>
          </w:tcPr>
          <w:p w14:paraId="2C13ABDB" w14:textId="77777777" w:rsidR="00A6120B" w:rsidRPr="00C52004" w:rsidRDefault="00A6120B" w:rsidP="002A68E6">
            <w:pPr>
              <w:pStyle w:val="08-Tabelageral"/>
              <w:rPr>
                <w:b/>
                <w:szCs w:val="14"/>
              </w:rPr>
            </w:pPr>
          </w:p>
        </w:tc>
        <w:tc>
          <w:tcPr>
            <w:tcW w:w="1400" w:type="dxa"/>
            <w:gridSpan w:val="2"/>
            <w:tcBorders>
              <w:top w:val="single" w:sz="2" w:space="0" w:color="1F4E79" w:themeColor="accent1" w:themeShade="80"/>
              <w:bottom w:val="nil"/>
            </w:tcBorders>
            <w:shd w:val="clear" w:color="auto" w:fill="auto"/>
            <w:vAlign w:val="center"/>
          </w:tcPr>
          <w:p w14:paraId="09B4C827" w14:textId="77777777" w:rsidR="00A6120B" w:rsidRPr="00C52004" w:rsidRDefault="00A6120B" w:rsidP="002A68E6">
            <w:pPr>
              <w:pStyle w:val="08-Tabelageral"/>
              <w:rPr>
                <w:b/>
              </w:rPr>
            </w:pPr>
          </w:p>
        </w:tc>
        <w:tc>
          <w:tcPr>
            <w:tcW w:w="1274" w:type="dxa"/>
            <w:gridSpan w:val="2"/>
            <w:tcBorders>
              <w:top w:val="single" w:sz="2" w:space="0" w:color="1F4E79" w:themeColor="accent1" w:themeShade="80"/>
              <w:bottom w:val="nil"/>
            </w:tcBorders>
            <w:shd w:val="clear" w:color="auto" w:fill="auto"/>
            <w:vAlign w:val="center"/>
          </w:tcPr>
          <w:p w14:paraId="776F409A" w14:textId="77777777" w:rsidR="00A6120B" w:rsidRPr="00C52004" w:rsidRDefault="00A6120B" w:rsidP="002A68E6">
            <w:pPr>
              <w:pStyle w:val="08-Tabelageral"/>
              <w:rPr>
                <w:b/>
              </w:rPr>
            </w:pPr>
          </w:p>
        </w:tc>
        <w:tc>
          <w:tcPr>
            <w:tcW w:w="1127" w:type="dxa"/>
            <w:tcBorders>
              <w:top w:val="single" w:sz="2" w:space="0" w:color="1F4E79" w:themeColor="accent1" w:themeShade="80"/>
              <w:bottom w:val="nil"/>
            </w:tcBorders>
            <w:shd w:val="clear" w:color="auto" w:fill="auto"/>
            <w:vAlign w:val="center"/>
          </w:tcPr>
          <w:p w14:paraId="020E5C3E" w14:textId="77777777" w:rsidR="00A6120B" w:rsidRPr="00C52004" w:rsidRDefault="00A6120B" w:rsidP="002A68E6">
            <w:pPr>
              <w:pStyle w:val="08-Tabelageral"/>
              <w:rPr>
                <w:b/>
              </w:rPr>
            </w:pPr>
          </w:p>
        </w:tc>
        <w:tc>
          <w:tcPr>
            <w:tcW w:w="1400" w:type="dxa"/>
            <w:tcBorders>
              <w:top w:val="single" w:sz="2" w:space="0" w:color="1F4E79" w:themeColor="accent1" w:themeShade="80"/>
              <w:bottom w:val="nil"/>
            </w:tcBorders>
            <w:shd w:val="clear" w:color="auto" w:fill="auto"/>
            <w:vAlign w:val="center"/>
          </w:tcPr>
          <w:p w14:paraId="7BF57995" w14:textId="77777777" w:rsidR="00A6120B" w:rsidRPr="00C52004" w:rsidRDefault="00A6120B" w:rsidP="002A68E6">
            <w:pPr>
              <w:pStyle w:val="08-Tabelageral"/>
              <w:rPr>
                <w:b/>
              </w:rPr>
            </w:pPr>
          </w:p>
        </w:tc>
      </w:tr>
      <w:tr w:rsidR="00A6120B" w:rsidRPr="00C52004" w14:paraId="6B5545E0" w14:textId="77777777" w:rsidTr="0094232A">
        <w:trPr>
          <w:trHeight w:val="238"/>
          <w:jc w:val="center"/>
        </w:trPr>
        <w:tc>
          <w:tcPr>
            <w:tcW w:w="2134" w:type="dxa"/>
            <w:gridSpan w:val="3"/>
            <w:tcBorders>
              <w:top w:val="nil"/>
            </w:tcBorders>
            <w:shd w:val="clear" w:color="auto" w:fill="auto"/>
          </w:tcPr>
          <w:p w14:paraId="07FCE737" w14:textId="77777777" w:rsidR="00A6120B" w:rsidRPr="00C52004" w:rsidRDefault="00A6120B" w:rsidP="0094232A">
            <w:pPr>
              <w:pStyle w:val="08-Tabelageral"/>
              <w:jc w:val="left"/>
            </w:pPr>
            <w:r w:rsidRPr="00C52004">
              <w:t>Caixa e equivalentes de caixa</w:t>
            </w:r>
          </w:p>
        </w:tc>
        <w:tc>
          <w:tcPr>
            <w:tcW w:w="1189" w:type="dxa"/>
            <w:tcBorders>
              <w:top w:val="nil"/>
            </w:tcBorders>
            <w:shd w:val="clear" w:color="auto" w:fill="auto"/>
            <w:vAlign w:val="center"/>
          </w:tcPr>
          <w:p w14:paraId="0C3ECFF2" w14:textId="77777777" w:rsidR="00A6120B" w:rsidRPr="00C52004" w:rsidRDefault="00A6120B" w:rsidP="006E66C7">
            <w:pPr>
              <w:pStyle w:val="08-Tabelageral"/>
            </w:pPr>
            <w:r w:rsidRPr="005161A9">
              <w:t>4.090.561</w:t>
            </w:r>
          </w:p>
        </w:tc>
        <w:tc>
          <w:tcPr>
            <w:tcW w:w="1127" w:type="dxa"/>
            <w:tcBorders>
              <w:top w:val="nil"/>
            </w:tcBorders>
            <w:shd w:val="clear" w:color="auto" w:fill="auto"/>
            <w:vAlign w:val="center"/>
          </w:tcPr>
          <w:p w14:paraId="60BC3BC6" w14:textId="77777777" w:rsidR="00A6120B" w:rsidRPr="00C52004" w:rsidRDefault="00A6120B" w:rsidP="006E66C7">
            <w:pPr>
              <w:pStyle w:val="08-Tabelageral"/>
            </w:pPr>
            <w:r>
              <w:t>--</w:t>
            </w:r>
          </w:p>
        </w:tc>
        <w:tc>
          <w:tcPr>
            <w:tcW w:w="1400" w:type="dxa"/>
            <w:gridSpan w:val="2"/>
            <w:tcBorders>
              <w:top w:val="nil"/>
            </w:tcBorders>
            <w:shd w:val="clear" w:color="auto" w:fill="auto"/>
            <w:vAlign w:val="center"/>
          </w:tcPr>
          <w:p w14:paraId="304DF1FF" w14:textId="77777777" w:rsidR="00A6120B" w:rsidRPr="00C52004" w:rsidRDefault="00A6120B" w:rsidP="006E66C7">
            <w:pPr>
              <w:pStyle w:val="08-Tabelageral"/>
              <w:rPr>
                <w:lang w:eastAsia="en-US"/>
              </w:rPr>
            </w:pPr>
            <w:r>
              <w:rPr>
                <w:lang w:eastAsia="en-US"/>
              </w:rPr>
              <w:t>--</w:t>
            </w:r>
          </w:p>
        </w:tc>
        <w:tc>
          <w:tcPr>
            <w:tcW w:w="1274" w:type="dxa"/>
            <w:gridSpan w:val="2"/>
            <w:tcBorders>
              <w:top w:val="nil"/>
            </w:tcBorders>
            <w:shd w:val="clear" w:color="auto" w:fill="auto"/>
            <w:vAlign w:val="center"/>
          </w:tcPr>
          <w:p w14:paraId="3949A006" w14:textId="77777777" w:rsidR="00A6120B" w:rsidRPr="00C52004" w:rsidRDefault="00A6120B" w:rsidP="006E66C7">
            <w:pPr>
              <w:pStyle w:val="08-Tabelageral"/>
            </w:pPr>
            <w:r w:rsidRPr="00181D12">
              <w:t>2.195.445</w:t>
            </w:r>
          </w:p>
        </w:tc>
        <w:tc>
          <w:tcPr>
            <w:tcW w:w="1127" w:type="dxa"/>
            <w:tcBorders>
              <w:top w:val="nil"/>
            </w:tcBorders>
            <w:shd w:val="clear" w:color="auto" w:fill="auto"/>
            <w:vAlign w:val="center"/>
          </w:tcPr>
          <w:p w14:paraId="588CDE98" w14:textId="77777777" w:rsidR="00A6120B" w:rsidRPr="00C52004" w:rsidRDefault="00A6120B" w:rsidP="006E66C7">
            <w:pPr>
              <w:pStyle w:val="08-Tabelageral"/>
            </w:pPr>
            <w:r w:rsidRPr="00181D12">
              <w:t>--</w:t>
            </w:r>
          </w:p>
        </w:tc>
        <w:tc>
          <w:tcPr>
            <w:tcW w:w="1400" w:type="dxa"/>
            <w:tcBorders>
              <w:top w:val="nil"/>
            </w:tcBorders>
            <w:shd w:val="clear" w:color="auto" w:fill="auto"/>
            <w:vAlign w:val="center"/>
          </w:tcPr>
          <w:p w14:paraId="2F4453F2" w14:textId="77777777" w:rsidR="00A6120B" w:rsidRPr="00C52004" w:rsidRDefault="00A6120B" w:rsidP="006E66C7">
            <w:pPr>
              <w:pStyle w:val="08-Tabelageral"/>
              <w:rPr>
                <w:lang w:eastAsia="en-US"/>
              </w:rPr>
            </w:pPr>
            <w:r w:rsidRPr="00181D12">
              <w:t>--</w:t>
            </w:r>
          </w:p>
        </w:tc>
      </w:tr>
      <w:tr w:rsidR="00A6120B" w:rsidRPr="00C52004" w14:paraId="00DFCB06" w14:textId="77777777" w:rsidTr="0094232A">
        <w:trPr>
          <w:trHeight w:val="238"/>
          <w:jc w:val="center"/>
        </w:trPr>
        <w:tc>
          <w:tcPr>
            <w:tcW w:w="2134" w:type="dxa"/>
            <w:gridSpan w:val="3"/>
            <w:shd w:val="clear" w:color="auto" w:fill="auto"/>
          </w:tcPr>
          <w:p w14:paraId="41668FD8" w14:textId="77777777" w:rsidR="00A6120B" w:rsidRPr="00C52004" w:rsidRDefault="00A6120B" w:rsidP="0094232A">
            <w:pPr>
              <w:pStyle w:val="08-Tabelageral"/>
              <w:jc w:val="left"/>
            </w:pPr>
            <w:r w:rsidRPr="00C52004">
              <w:t>Ativos financeiros ao valor justo por meio do resultado</w:t>
            </w:r>
          </w:p>
        </w:tc>
        <w:tc>
          <w:tcPr>
            <w:tcW w:w="1189" w:type="dxa"/>
            <w:shd w:val="clear" w:color="auto" w:fill="auto"/>
            <w:vAlign w:val="center"/>
          </w:tcPr>
          <w:p w14:paraId="16A939D9" w14:textId="77777777" w:rsidR="00A6120B" w:rsidRPr="00C52004" w:rsidRDefault="00A6120B" w:rsidP="006E66C7">
            <w:pPr>
              <w:pStyle w:val="08-Tabelageral"/>
            </w:pPr>
            <w:r>
              <w:t>--</w:t>
            </w:r>
          </w:p>
        </w:tc>
        <w:tc>
          <w:tcPr>
            <w:tcW w:w="1127" w:type="dxa"/>
            <w:shd w:val="clear" w:color="auto" w:fill="auto"/>
            <w:vAlign w:val="center"/>
          </w:tcPr>
          <w:p w14:paraId="751CEE47" w14:textId="77777777" w:rsidR="00A6120B" w:rsidRPr="00C52004" w:rsidRDefault="00A6120B" w:rsidP="006E66C7">
            <w:pPr>
              <w:pStyle w:val="08-Tabelageral"/>
            </w:pPr>
            <w:r>
              <w:t>--</w:t>
            </w:r>
          </w:p>
        </w:tc>
        <w:tc>
          <w:tcPr>
            <w:tcW w:w="1400" w:type="dxa"/>
            <w:gridSpan w:val="2"/>
            <w:shd w:val="clear" w:color="auto" w:fill="auto"/>
            <w:vAlign w:val="center"/>
          </w:tcPr>
          <w:p w14:paraId="71EE1FB0" w14:textId="77777777" w:rsidR="00A6120B" w:rsidRPr="00C52004" w:rsidRDefault="00A6120B" w:rsidP="006E66C7">
            <w:pPr>
              <w:pStyle w:val="08-Tabelageral"/>
              <w:rPr>
                <w:lang w:eastAsia="en-US"/>
              </w:rPr>
            </w:pPr>
            <w:r>
              <w:rPr>
                <w:lang w:eastAsia="en-US"/>
              </w:rPr>
              <w:t>--</w:t>
            </w:r>
          </w:p>
        </w:tc>
        <w:tc>
          <w:tcPr>
            <w:tcW w:w="1274" w:type="dxa"/>
            <w:gridSpan w:val="2"/>
            <w:shd w:val="clear" w:color="auto" w:fill="auto"/>
            <w:vAlign w:val="center"/>
          </w:tcPr>
          <w:p w14:paraId="5742938E" w14:textId="77777777" w:rsidR="00A6120B" w:rsidRPr="00C52004" w:rsidRDefault="00A6120B" w:rsidP="006E66C7">
            <w:pPr>
              <w:pStyle w:val="08-Tabelageral"/>
            </w:pPr>
            <w:r w:rsidRPr="00181D12">
              <w:t>1.038</w:t>
            </w:r>
          </w:p>
        </w:tc>
        <w:tc>
          <w:tcPr>
            <w:tcW w:w="1127" w:type="dxa"/>
            <w:shd w:val="clear" w:color="auto" w:fill="auto"/>
            <w:vAlign w:val="center"/>
          </w:tcPr>
          <w:p w14:paraId="302388BA" w14:textId="77777777" w:rsidR="00A6120B" w:rsidRPr="00C52004" w:rsidRDefault="00A6120B" w:rsidP="006E66C7">
            <w:pPr>
              <w:pStyle w:val="08-Tabelageral"/>
            </w:pPr>
            <w:r w:rsidRPr="00181D12">
              <w:t>--</w:t>
            </w:r>
          </w:p>
        </w:tc>
        <w:tc>
          <w:tcPr>
            <w:tcW w:w="1400" w:type="dxa"/>
            <w:shd w:val="clear" w:color="auto" w:fill="auto"/>
            <w:vAlign w:val="center"/>
          </w:tcPr>
          <w:p w14:paraId="5E410EC0" w14:textId="77777777" w:rsidR="00A6120B" w:rsidRPr="00C52004" w:rsidRDefault="00A6120B" w:rsidP="006E66C7">
            <w:pPr>
              <w:pStyle w:val="08-Tabelageral"/>
              <w:rPr>
                <w:lang w:eastAsia="en-US"/>
              </w:rPr>
            </w:pPr>
            <w:r w:rsidRPr="00181D12">
              <w:t>--</w:t>
            </w:r>
          </w:p>
        </w:tc>
      </w:tr>
      <w:tr w:rsidR="00A6120B" w:rsidRPr="00C52004" w14:paraId="443BCD06" w14:textId="77777777" w:rsidTr="0094232A">
        <w:trPr>
          <w:trHeight w:val="238"/>
          <w:jc w:val="center"/>
        </w:trPr>
        <w:tc>
          <w:tcPr>
            <w:tcW w:w="2134" w:type="dxa"/>
            <w:gridSpan w:val="3"/>
            <w:shd w:val="clear" w:color="auto" w:fill="auto"/>
          </w:tcPr>
          <w:p w14:paraId="247C4E8B" w14:textId="77777777" w:rsidR="00A6120B" w:rsidRPr="00C52004" w:rsidRDefault="00A6120B" w:rsidP="0094232A">
            <w:pPr>
              <w:pStyle w:val="08-Tabelageral"/>
              <w:jc w:val="left"/>
            </w:pPr>
            <w:r>
              <w:t>Ativos financeiros ao custo amortizado</w:t>
            </w:r>
          </w:p>
        </w:tc>
        <w:tc>
          <w:tcPr>
            <w:tcW w:w="1189" w:type="dxa"/>
            <w:shd w:val="clear" w:color="auto" w:fill="auto"/>
            <w:vAlign w:val="center"/>
          </w:tcPr>
          <w:p w14:paraId="4FDDE82A" w14:textId="77777777" w:rsidR="00A6120B" w:rsidRPr="00C52004" w:rsidRDefault="00A6120B" w:rsidP="006E66C7">
            <w:pPr>
              <w:pStyle w:val="08-Tabelageral"/>
            </w:pPr>
            <w:r>
              <w:t>--</w:t>
            </w:r>
          </w:p>
        </w:tc>
        <w:tc>
          <w:tcPr>
            <w:tcW w:w="1127" w:type="dxa"/>
            <w:shd w:val="clear" w:color="auto" w:fill="auto"/>
            <w:vAlign w:val="center"/>
          </w:tcPr>
          <w:p w14:paraId="0F20650C" w14:textId="77777777" w:rsidR="00A6120B" w:rsidRPr="00C52004" w:rsidRDefault="00A6120B" w:rsidP="006E66C7">
            <w:pPr>
              <w:pStyle w:val="08-Tabelageral"/>
            </w:pPr>
            <w:r>
              <w:t>--</w:t>
            </w:r>
          </w:p>
        </w:tc>
        <w:tc>
          <w:tcPr>
            <w:tcW w:w="1400" w:type="dxa"/>
            <w:gridSpan w:val="2"/>
            <w:shd w:val="clear" w:color="auto" w:fill="auto"/>
            <w:vAlign w:val="center"/>
          </w:tcPr>
          <w:p w14:paraId="68D1279E" w14:textId="77777777" w:rsidR="00A6120B" w:rsidRPr="00C52004" w:rsidRDefault="00A6120B" w:rsidP="006E66C7">
            <w:pPr>
              <w:pStyle w:val="08-Tabelageral"/>
              <w:rPr>
                <w:lang w:eastAsia="en-US"/>
              </w:rPr>
            </w:pPr>
            <w:r>
              <w:rPr>
                <w:lang w:eastAsia="en-US"/>
              </w:rPr>
              <w:t>--</w:t>
            </w:r>
          </w:p>
        </w:tc>
        <w:tc>
          <w:tcPr>
            <w:tcW w:w="1274" w:type="dxa"/>
            <w:gridSpan w:val="2"/>
            <w:shd w:val="clear" w:color="auto" w:fill="auto"/>
            <w:vAlign w:val="center"/>
          </w:tcPr>
          <w:p w14:paraId="3AE9C352" w14:textId="77777777" w:rsidR="00A6120B" w:rsidRPr="00C52004" w:rsidRDefault="00A6120B" w:rsidP="006E66C7">
            <w:pPr>
              <w:pStyle w:val="08-Tabelageral"/>
              <w:rPr>
                <w:lang w:eastAsia="en-US"/>
              </w:rPr>
            </w:pPr>
            <w:r w:rsidRPr="00181D12">
              <w:t>--</w:t>
            </w:r>
          </w:p>
        </w:tc>
        <w:tc>
          <w:tcPr>
            <w:tcW w:w="1127" w:type="dxa"/>
            <w:shd w:val="clear" w:color="auto" w:fill="auto"/>
            <w:vAlign w:val="center"/>
          </w:tcPr>
          <w:p w14:paraId="34F70259" w14:textId="77777777" w:rsidR="00A6120B" w:rsidRPr="00C52004" w:rsidRDefault="00A6120B" w:rsidP="006E66C7">
            <w:pPr>
              <w:pStyle w:val="08-Tabelageral"/>
              <w:rPr>
                <w:lang w:eastAsia="en-US"/>
              </w:rPr>
            </w:pPr>
            <w:r w:rsidRPr="00181D12">
              <w:t>--</w:t>
            </w:r>
          </w:p>
        </w:tc>
        <w:tc>
          <w:tcPr>
            <w:tcW w:w="1400" w:type="dxa"/>
            <w:shd w:val="clear" w:color="auto" w:fill="auto"/>
            <w:vAlign w:val="center"/>
          </w:tcPr>
          <w:p w14:paraId="0321D6D8" w14:textId="77777777" w:rsidR="00A6120B" w:rsidRDefault="00A6120B" w:rsidP="006E66C7">
            <w:pPr>
              <w:pStyle w:val="08-Tabelageral"/>
              <w:rPr>
                <w:lang w:eastAsia="en-US"/>
              </w:rPr>
            </w:pPr>
            <w:r>
              <w:rPr>
                <w:lang w:eastAsia="en-US"/>
              </w:rPr>
              <w:t>204.449</w:t>
            </w:r>
          </w:p>
        </w:tc>
      </w:tr>
      <w:tr w:rsidR="00A6120B" w:rsidRPr="00C52004" w14:paraId="4BFA28ED" w14:textId="77777777" w:rsidTr="0094232A">
        <w:trPr>
          <w:trHeight w:val="238"/>
          <w:jc w:val="center"/>
        </w:trPr>
        <w:tc>
          <w:tcPr>
            <w:tcW w:w="2134" w:type="dxa"/>
            <w:gridSpan w:val="3"/>
            <w:shd w:val="clear" w:color="auto" w:fill="auto"/>
          </w:tcPr>
          <w:p w14:paraId="45352DA2" w14:textId="77777777" w:rsidR="00A6120B" w:rsidRPr="00A82CB8" w:rsidRDefault="00A6120B" w:rsidP="0094232A">
            <w:pPr>
              <w:pStyle w:val="08-Tabelageral"/>
              <w:jc w:val="left"/>
            </w:pPr>
            <w:r>
              <w:t>Dividendos a receber</w:t>
            </w:r>
          </w:p>
        </w:tc>
        <w:tc>
          <w:tcPr>
            <w:tcW w:w="1189" w:type="dxa"/>
            <w:shd w:val="clear" w:color="auto" w:fill="auto"/>
            <w:vAlign w:val="center"/>
          </w:tcPr>
          <w:p w14:paraId="24247127" w14:textId="77777777" w:rsidR="00A6120B" w:rsidRPr="00A82CB8" w:rsidRDefault="00A6120B" w:rsidP="006E66C7">
            <w:pPr>
              <w:pStyle w:val="08-Tabelageral"/>
            </w:pPr>
            <w:r>
              <w:t>--</w:t>
            </w:r>
          </w:p>
        </w:tc>
        <w:tc>
          <w:tcPr>
            <w:tcW w:w="1127" w:type="dxa"/>
            <w:shd w:val="clear" w:color="auto" w:fill="auto"/>
            <w:vAlign w:val="center"/>
          </w:tcPr>
          <w:p w14:paraId="25159BB8" w14:textId="77777777" w:rsidR="00A6120B" w:rsidRPr="00A82CB8" w:rsidRDefault="00A6120B" w:rsidP="006E66C7">
            <w:pPr>
              <w:pStyle w:val="08-Tabelageral"/>
            </w:pPr>
            <w:r>
              <w:t>1.648</w:t>
            </w:r>
          </w:p>
        </w:tc>
        <w:tc>
          <w:tcPr>
            <w:tcW w:w="1400" w:type="dxa"/>
            <w:gridSpan w:val="2"/>
            <w:shd w:val="clear" w:color="auto" w:fill="auto"/>
            <w:vAlign w:val="center"/>
          </w:tcPr>
          <w:p w14:paraId="49039E50" w14:textId="77777777" w:rsidR="00A6120B" w:rsidRPr="00A82CB8" w:rsidRDefault="00A6120B" w:rsidP="006E66C7">
            <w:pPr>
              <w:pStyle w:val="08-Tabelageral"/>
              <w:rPr>
                <w:lang w:eastAsia="en-US"/>
              </w:rPr>
            </w:pPr>
            <w:r>
              <w:rPr>
                <w:lang w:eastAsia="en-US"/>
              </w:rPr>
              <w:t>--</w:t>
            </w:r>
          </w:p>
        </w:tc>
        <w:tc>
          <w:tcPr>
            <w:tcW w:w="1274" w:type="dxa"/>
            <w:gridSpan w:val="2"/>
            <w:shd w:val="clear" w:color="auto" w:fill="auto"/>
            <w:vAlign w:val="center"/>
          </w:tcPr>
          <w:p w14:paraId="2ADD2CF2" w14:textId="77777777" w:rsidR="00A6120B" w:rsidRPr="00181D12" w:rsidRDefault="00A6120B" w:rsidP="006E66C7">
            <w:pPr>
              <w:pStyle w:val="08-Tabelageral"/>
            </w:pPr>
            <w:r>
              <w:t>--</w:t>
            </w:r>
          </w:p>
        </w:tc>
        <w:tc>
          <w:tcPr>
            <w:tcW w:w="1127" w:type="dxa"/>
            <w:shd w:val="clear" w:color="auto" w:fill="auto"/>
            <w:vAlign w:val="center"/>
          </w:tcPr>
          <w:p w14:paraId="0211F724" w14:textId="77777777" w:rsidR="00A6120B" w:rsidRPr="00181D12" w:rsidRDefault="00A6120B" w:rsidP="006E66C7">
            <w:pPr>
              <w:pStyle w:val="08-Tabelageral"/>
            </w:pPr>
            <w:r>
              <w:t>--</w:t>
            </w:r>
          </w:p>
        </w:tc>
        <w:tc>
          <w:tcPr>
            <w:tcW w:w="1400" w:type="dxa"/>
            <w:shd w:val="clear" w:color="auto" w:fill="auto"/>
            <w:vAlign w:val="center"/>
          </w:tcPr>
          <w:p w14:paraId="0642CE8A" w14:textId="77777777" w:rsidR="00A6120B" w:rsidRPr="00181D12" w:rsidRDefault="00A6120B" w:rsidP="006E66C7">
            <w:pPr>
              <w:pStyle w:val="08-Tabelageral"/>
            </w:pPr>
            <w:r>
              <w:t>--</w:t>
            </w:r>
          </w:p>
        </w:tc>
      </w:tr>
      <w:tr w:rsidR="00A6120B" w:rsidRPr="00C52004" w14:paraId="03B20EE2" w14:textId="77777777" w:rsidTr="0094232A">
        <w:trPr>
          <w:trHeight w:val="238"/>
          <w:jc w:val="center"/>
        </w:trPr>
        <w:tc>
          <w:tcPr>
            <w:tcW w:w="2134" w:type="dxa"/>
            <w:gridSpan w:val="3"/>
            <w:shd w:val="clear" w:color="auto" w:fill="auto"/>
          </w:tcPr>
          <w:p w14:paraId="5700DDAF" w14:textId="77777777" w:rsidR="00A6120B" w:rsidRPr="00A82CB8" w:rsidRDefault="00A6120B" w:rsidP="0094232A">
            <w:pPr>
              <w:pStyle w:val="08-Tabelageral"/>
              <w:jc w:val="left"/>
            </w:pPr>
            <w:r w:rsidRPr="00A82CB8">
              <w:t>Comissões a receber</w:t>
            </w:r>
          </w:p>
        </w:tc>
        <w:tc>
          <w:tcPr>
            <w:tcW w:w="1189" w:type="dxa"/>
            <w:shd w:val="clear" w:color="auto" w:fill="auto"/>
            <w:vAlign w:val="center"/>
          </w:tcPr>
          <w:p w14:paraId="57456C12" w14:textId="77777777" w:rsidR="00A6120B" w:rsidRPr="00A82CB8" w:rsidRDefault="00A6120B" w:rsidP="006E66C7">
            <w:pPr>
              <w:pStyle w:val="08-Tabelageral"/>
            </w:pPr>
            <w:r>
              <w:t>--</w:t>
            </w:r>
          </w:p>
        </w:tc>
        <w:tc>
          <w:tcPr>
            <w:tcW w:w="1127" w:type="dxa"/>
            <w:shd w:val="clear" w:color="auto" w:fill="auto"/>
            <w:vAlign w:val="center"/>
          </w:tcPr>
          <w:p w14:paraId="1D4FE527" w14:textId="77777777" w:rsidR="00A6120B" w:rsidRPr="00A82CB8" w:rsidRDefault="00A6120B" w:rsidP="006E66C7">
            <w:pPr>
              <w:pStyle w:val="08-Tabelageral"/>
            </w:pPr>
            <w:r w:rsidRPr="005137CA">
              <w:t>1.724.593</w:t>
            </w:r>
          </w:p>
        </w:tc>
        <w:tc>
          <w:tcPr>
            <w:tcW w:w="1400" w:type="dxa"/>
            <w:gridSpan w:val="2"/>
            <w:shd w:val="clear" w:color="auto" w:fill="auto"/>
            <w:vAlign w:val="center"/>
          </w:tcPr>
          <w:p w14:paraId="1D16D140" w14:textId="77777777" w:rsidR="00A6120B" w:rsidRPr="00A82CB8" w:rsidRDefault="00A6120B" w:rsidP="006E66C7">
            <w:pPr>
              <w:pStyle w:val="08-Tabelageral"/>
              <w:rPr>
                <w:lang w:eastAsia="en-US"/>
              </w:rPr>
            </w:pPr>
            <w:r>
              <w:rPr>
                <w:lang w:eastAsia="en-US"/>
              </w:rPr>
              <w:t>--</w:t>
            </w:r>
          </w:p>
        </w:tc>
        <w:tc>
          <w:tcPr>
            <w:tcW w:w="1274" w:type="dxa"/>
            <w:gridSpan w:val="2"/>
            <w:shd w:val="clear" w:color="auto" w:fill="auto"/>
            <w:vAlign w:val="center"/>
          </w:tcPr>
          <w:p w14:paraId="0F66540D" w14:textId="77777777" w:rsidR="00A6120B" w:rsidRPr="00A82CB8" w:rsidRDefault="00A6120B" w:rsidP="006E66C7">
            <w:pPr>
              <w:pStyle w:val="08-Tabelageral"/>
            </w:pPr>
            <w:r w:rsidRPr="00181D12">
              <w:t>--</w:t>
            </w:r>
          </w:p>
        </w:tc>
        <w:tc>
          <w:tcPr>
            <w:tcW w:w="1127" w:type="dxa"/>
            <w:shd w:val="clear" w:color="auto" w:fill="auto"/>
            <w:vAlign w:val="center"/>
          </w:tcPr>
          <w:p w14:paraId="63B33B5B" w14:textId="77777777" w:rsidR="00A6120B" w:rsidRPr="00A82CB8" w:rsidRDefault="00A6120B" w:rsidP="006E66C7">
            <w:pPr>
              <w:pStyle w:val="08-Tabelageral"/>
            </w:pPr>
            <w:r w:rsidRPr="00181D12">
              <w:t>1.817.078</w:t>
            </w:r>
          </w:p>
        </w:tc>
        <w:tc>
          <w:tcPr>
            <w:tcW w:w="1400" w:type="dxa"/>
            <w:shd w:val="clear" w:color="auto" w:fill="auto"/>
            <w:vAlign w:val="center"/>
          </w:tcPr>
          <w:p w14:paraId="6DF8FA95" w14:textId="77777777" w:rsidR="00A6120B" w:rsidRPr="00A82CB8" w:rsidRDefault="00A6120B" w:rsidP="006E66C7">
            <w:pPr>
              <w:pStyle w:val="08-Tabelageral"/>
              <w:rPr>
                <w:lang w:eastAsia="en-US"/>
              </w:rPr>
            </w:pPr>
            <w:r w:rsidRPr="00181D12">
              <w:t>--</w:t>
            </w:r>
          </w:p>
        </w:tc>
      </w:tr>
      <w:tr w:rsidR="00A6120B" w:rsidRPr="00C52004" w14:paraId="7C83FB02" w14:textId="77777777" w:rsidTr="0094232A">
        <w:trPr>
          <w:trHeight w:val="238"/>
          <w:jc w:val="center"/>
        </w:trPr>
        <w:tc>
          <w:tcPr>
            <w:tcW w:w="2134" w:type="dxa"/>
            <w:gridSpan w:val="3"/>
            <w:shd w:val="clear" w:color="auto" w:fill="auto"/>
          </w:tcPr>
          <w:p w14:paraId="60F1A52E" w14:textId="77777777" w:rsidR="00A6120B" w:rsidRPr="00A82CB8" w:rsidRDefault="00A6120B" w:rsidP="006E66C7">
            <w:pPr>
              <w:pStyle w:val="08-Tabelageral"/>
              <w:jc w:val="left"/>
              <w:rPr>
                <w:b/>
              </w:rPr>
            </w:pPr>
            <w:r w:rsidRPr="00A82CB8">
              <w:rPr>
                <w:b/>
              </w:rPr>
              <w:t>Passivos</w:t>
            </w:r>
          </w:p>
        </w:tc>
        <w:tc>
          <w:tcPr>
            <w:tcW w:w="1189" w:type="dxa"/>
            <w:shd w:val="clear" w:color="auto" w:fill="auto"/>
            <w:vAlign w:val="center"/>
          </w:tcPr>
          <w:p w14:paraId="315AAE94" w14:textId="77777777" w:rsidR="00A6120B" w:rsidRPr="00A82CB8" w:rsidRDefault="00A6120B" w:rsidP="006E66C7">
            <w:pPr>
              <w:pStyle w:val="08-Tabelageral"/>
              <w:rPr>
                <w:b/>
              </w:rPr>
            </w:pPr>
          </w:p>
        </w:tc>
        <w:tc>
          <w:tcPr>
            <w:tcW w:w="1127" w:type="dxa"/>
            <w:shd w:val="clear" w:color="auto" w:fill="auto"/>
            <w:vAlign w:val="center"/>
          </w:tcPr>
          <w:p w14:paraId="7EE82792" w14:textId="77777777" w:rsidR="00A6120B" w:rsidRPr="00A82CB8" w:rsidRDefault="00A6120B" w:rsidP="006E66C7">
            <w:pPr>
              <w:pStyle w:val="08-Tabelageral"/>
              <w:rPr>
                <w:b/>
              </w:rPr>
            </w:pPr>
          </w:p>
        </w:tc>
        <w:tc>
          <w:tcPr>
            <w:tcW w:w="1400" w:type="dxa"/>
            <w:gridSpan w:val="2"/>
            <w:shd w:val="clear" w:color="auto" w:fill="auto"/>
            <w:vAlign w:val="center"/>
          </w:tcPr>
          <w:p w14:paraId="2B431B01" w14:textId="77777777" w:rsidR="00A6120B" w:rsidRPr="00A82CB8" w:rsidRDefault="00A6120B" w:rsidP="006E66C7">
            <w:pPr>
              <w:pStyle w:val="08-Tabelageral"/>
              <w:rPr>
                <w:b/>
              </w:rPr>
            </w:pPr>
          </w:p>
        </w:tc>
        <w:tc>
          <w:tcPr>
            <w:tcW w:w="1274" w:type="dxa"/>
            <w:gridSpan w:val="2"/>
            <w:shd w:val="clear" w:color="auto" w:fill="auto"/>
            <w:vAlign w:val="center"/>
          </w:tcPr>
          <w:p w14:paraId="486FBEB8" w14:textId="77777777" w:rsidR="00A6120B" w:rsidRPr="00A82CB8" w:rsidRDefault="00A6120B" w:rsidP="006E66C7">
            <w:pPr>
              <w:pStyle w:val="08-Tabelageral"/>
              <w:rPr>
                <w:b/>
              </w:rPr>
            </w:pPr>
          </w:p>
        </w:tc>
        <w:tc>
          <w:tcPr>
            <w:tcW w:w="1127" w:type="dxa"/>
            <w:shd w:val="clear" w:color="auto" w:fill="auto"/>
            <w:vAlign w:val="center"/>
          </w:tcPr>
          <w:p w14:paraId="01F46C05" w14:textId="77777777" w:rsidR="00A6120B" w:rsidRPr="00A82CB8" w:rsidRDefault="00A6120B" w:rsidP="006E66C7">
            <w:pPr>
              <w:pStyle w:val="08-Tabelageral"/>
              <w:rPr>
                <w:b/>
              </w:rPr>
            </w:pPr>
          </w:p>
        </w:tc>
        <w:tc>
          <w:tcPr>
            <w:tcW w:w="1400" w:type="dxa"/>
            <w:shd w:val="clear" w:color="auto" w:fill="auto"/>
            <w:vAlign w:val="center"/>
          </w:tcPr>
          <w:p w14:paraId="18E0A0C2" w14:textId="77777777" w:rsidR="00A6120B" w:rsidRPr="00A82CB8" w:rsidRDefault="00A6120B" w:rsidP="006E66C7">
            <w:pPr>
              <w:pStyle w:val="08-Tabelageral"/>
              <w:rPr>
                <w:b/>
              </w:rPr>
            </w:pPr>
          </w:p>
        </w:tc>
      </w:tr>
      <w:tr w:rsidR="00A6120B" w:rsidRPr="00C52004" w14:paraId="052CA2AE" w14:textId="77777777" w:rsidTr="0094232A">
        <w:trPr>
          <w:trHeight w:val="238"/>
          <w:jc w:val="center"/>
        </w:trPr>
        <w:tc>
          <w:tcPr>
            <w:tcW w:w="2134" w:type="dxa"/>
            <w:gridSpan w:val="3"/>
            <w:shd w:val="clear" w:color="auto" w:fill="auto"/>
          </w:tcPr>
          <w:p w14:paraId="6E4165F9" w14:textId="77777777" w:rsidR="00A6120B" w:rsidRPr="00A82CB8" w:rsidRDefault="00A6120B" w:rsidP="0094232A">
            <w:pPr>
              <w:pStyle w:val="08-Tabelageral"/>
              <w:jc w:val="left"/>
            </w:pPr>
            <w:r w:rsidRPr="00A82CB8">
              <w:t>Obrigações sociais e estatutárias</w:t>
            </w:r>
          </w:p>
        </w:tc>
        <w:tc>
          <w:tcPr>
            <w:tcW w:w="1189" w:type="dxa"/>
            <w:shd w:val="clear" w:color="auto" w:fill="auto"/>
            <w:vAlign w:val="center"/>
          </w:tcPr>
          <w:p w14:paraId="5DF1F12C" w14:textId="77777777" w:rsidR="00A6120B" w:rsidRPr="00A82CB8" w:rsidRDefault="00A6120B" w:rsidP="006E66C7">
            <w:pPr>
              <w:pStyle w:val="08-Tabelageral"/>
            </w:pPr>
            <w:r w:rsidRPr="005161A9">
              <w:t>1.213.496</w:t>
            </w:r>
          </w:p>
        </w:tc>
        <w:tc>
          <w:tcPr>
            <w:tcW w:w="1127" w:type="dxa"/>
            <w:shd w:val="clear" w:color="auto" w:fill="auto"/>
            <w:vAlign w:val="center"/>
          </w:tcPr>
          <w:p w14:paraId="25BE1E98" w14:textId="77777777" w:rsidR="00A6120B" w:rsidRPr="00A82CB8" w:rsidRDefault="00A6120B" w:rsidP="006E66C7">
            <w:pPr>
              <w:pStyle w:val="08-Tabelageral"/>
            </w:pPr>
            <w:r>
              <w:t>--</w:t>
            </w:r>
          </w:p>
        </w:tc>
        <w:tc>
          <w:tcPr>
            <w:tcW w:w="1400" w:type="dxa"/>
            <w:gridSpan w:val="2"/>
            <w:shd w:val="clear" w:color="auto" w:fill="auto"/>
            <w:vAlign w:val="center"/>
          </w:tcPr>
          <w:p w14:paraId="09A87F7E" w14:textId="77777777" w:rsidR="00A6120B" w:rsidRPr="00A82CB8" w:rsidRDefault="00A6120B" w:rsidP="006E66C7">
            <w:pPr>
              <w:pStyle w:val="08-Tabelageral"/>
              <w:rPr>
                <w:lang w:eastAsia="en-US"/>
              </w:rPr>
            </w:pPr>
            <w:r>
              <w:rPr>
                <w:lang w:eastAsia="en-US"/>
              </w:rPr>
              <w:t>--</w:t>
            </w:r>
          </w:p>
        </w:tc>
        <w:tc>
          <w:tcPr>
            <w:tcW w:w="1274" w:type="dxa"/>
            <w:gridSpan w:val="2"/>
            <w:shd w:val="clear" w:color="auto" w:fill="auto"/>
            <w:vAlign w:val="center"/>
          </w:tcPr>
          <w:p w14:paraId="202FC92F" w14:textId="77777777" w:rsidR="00A6120B" w:rsidRPr="00A82CB8" w:rsidRDefault="00A6120B" w:rsidP="006E66C7">
            <w:pPr>
              <w:pStyle w:val="08-Tabelageral"/>
            </w:pPr>
            <w:r w:rsidRPr="00181D12">
              <w:t>628.377</w:t>
            </w:r>
          </w:p>
        </w:tc>
        <w:tc>
          <w:tcPr>
            <w:tcW w:w="1127" w:type="dxa"/>
            <w:shd w:val="clear" w:color="auto" w:fill="auto"/>
            <w:vAlign w:val="center"/>
          </w:tcPr>
          <w:p w14:paraId="6445E3B1" w14:textId="77777777" w:rsidR="00A6120B" w:rsidRPr="00A82CB8" w:rsidRDefault="00A6120B" w:rsidP="006E66C7">
            <w:pPr>
              <w:pStyle w:val="08-Tabelageral"/>
            </w:pPr>
            <w:r w:rsidRPr="00181D12">
              <w:t>--</w:t>
            </w:r>
          </w:p>
        </w:tc>
        <w:tc>
          <w:tcPr>
            <w:tcW w:w="1400" w:type="dxa"/>
            <w:shd w:val="clear" w:color="auto" w:fill="auto"/>
            <w:vAlign w:val="center"/>
          </w:tcPr>
          <w:p w14:paraId="683CF269" w14:textId="77777777" w:rsidR="00A6120B" w:rsidRPr="00A82CB8" w:rsidRDefault="00A6120B" w:rsidP="006E66C7">
            <w:pPr>
              <w:pStyle w:val="08-Tabelageral"/>
              <w:rPr>
                <w:lang w:eastAsia="en-US"/>
              </w:rPr>
            </w:pPr>
            <w:r w:rsidRPr="00181D12">
              <w:t>--</w:t>
            </w:r>
          </w:p>
        </w:tc>
      </w:tr>
      <w:tr w:rsidR="00A6120B" w:rsidRPr="00C52004" w14:paraId="543C1EB5" w14:textId="77777777" w:rsidTr="0094232A">
        <w:trPr>
          <w:trHeight w:val="238"/>
          <w:jc w:val="center"/>
        </w:trPr>
        <w:tc>
          <w:tcPr>
            <w:tcW w:w="2134" w:type="dxa"/>
            <w:gridSpan w:val="3"/>
            <w:tcBorders>
              <w:bottom w:val="nil"/>
            </w:tcBorders>
            <w:shd w:val="clear" w:color="auto" w:fill="auto"/>
          </w:tcPr>
          <w:p w14:paraId="1C699C58" w14:textId="77777777" w:rsidR="00A6120B" w:rsidRPr="00A82CB8" w:rsidRDefault="00A6120B" w:rsidP="0094232A">
            <w:pPr>
              <w:pStyle w:val="08-Tabelageral"/>
              <w:jc w:val="left"/>
            </w:pPr>
            <w:r w:rsidRPr="00A82CB8">
              <w:t>Valores a pagar a sociedades ligadas</w:t>
            </w:r>
          </w:p>
        </w:tc>
        <w:tc>
          <w:tcPr>
            <w:tcW w:w="1189" w:type="dxa"/>
            <w:tcBorders>
              <w:bottom w:val="nil"/>
            </w:tcBorders>
            <w:shd w:val="clear" w:color="auto" w:fill="auto"/>
            <w:vAlign w:val="center"/>
          </w:tcPr>
          <w:p w14:paraId="1A9F991D" w14:textId="77777777" w:rsidR="00A6120B" w:rsidRPr="00A82CB8" w:rsidRDefault="00A6120B" w:rsidP="00942130">
            <w:pPr>
              <w:pStyle w:val="08-Tabelageral"/>
            </w:pPr>
            <w:r w:rsidRPr="005161A9">
              <w:t>22.355</w:t>
            </w:r>
          </w:p>
        </w:tc>
        <w:tc>
          <w:tcPr>
            <w:tcW w:w="1127" w:type="dxa"/>
            <w:tcBorders>
              <w:bottom w:val="nil"/>
            </w:tcBorders>
            <w:shd w:val="clear" w:color="auto" w:fill="auto"/>
            <w:vAlign w:val="center"/>
          </w:tcPr>
          <w:p w14:paraId="77C1A966" w14:textId="77777777" w:rsidR="00A6120B" w:rsidRPr="00A82CB8" w:rsidRDefault="00A6120B" w:rsidP="00942130">
            <w:pPr>
              <w:pStyle w:val="08-Tabelageral"/>
            </w:pPr>
            <w:r w:rsidRPr="005161A9">
              <w:t>200.524</w:t>
            </w:r>
          </w:p>
        </w:tc>
        <w:tc>
          <w:tcPr>
            <w:tcW w:w="1400" w:type="dxa"/>
            <w:gridSpan w:val="2"/>
            <w:tcBorders>
              <w:bottom w:val="nil"/>
            </w:tcBorders>
            <w:shd w:val="clear" w:color="auto" w:fill="auto"/>
            <w:vAlign w:val="center"/>
          </w:tcPr>
          <w:p w14:paraId="5B8CB347" w14:textId="77777777" w:rsidR="00A6120B" w:rsidRPr="00A82CB8" w:rsidRDefault="00A6120B" w:rsidP="00942130">
            <w:pPr>
              <w:pStyle w:val="08-Tabelageral"/>
              <w:rPr>
                <w:lang w:eastAsia="en-US"/>
              </w:rPr>
            </w:pPr>
            <w:r>
              <w:rPr>
                <w:lang w:eastAsia="en-US"/>
              </w:rPr>
              <w:t>--</w:t>
            </w:r>
          </w:p>
        </w:tc>
        <w:tc>
          <w:tcPr>
            <w:tcW w:w="1274" w:type="dxa"/>
            <w:gridSpan w:val="2"/>
            <w:tcBorders>
              <w:bottom w:val="nil"/>
            </w:tcBorders>
            <w:shd w:val="clear" w:color="auto" w:fill="auto"/>
            <w:vAlign w:val="center"/>
          </w:tcPr>
          <w:p w14:paraId="3FC68322" w14:textId="77777777" w:rsidR="00A6120B" w:rsidRPr="00A82CB8" w:rsidRDefault="00A6120B" w:rsidP="00942130">
            <w:pPr>
              <w:pStyle w:val="08-Tabelageral"/>
            </w:pPr>
            <w:r w:rsidRPr="00181D12">
              <w:t>20.746</w:t>
            </w:r>
          </w:p>
        </w:tc>
        <w:tc>
          <w:tcPr>
            <w:tcW w:w="1127" w:type="dxa"/>
            <w:tcBorders>
              <w:bottom w:val="nil"/>
            </w:tcBorders>
            <w:shd w:val="clear" w:color="auto" w:fill="auto"/>
            <w:vAlign w:val="center"/>
          </w:tcPr>
          <w:p w14:paraId="3DA18F1C" w14:textId="77777777" w:rsidR="00A6120B" w:rsidRPr="00A82CB8" w:rsidRDefault="00A6120B" w:rsidP="00942130">
            <w:pPr>
              <w:pStyle w:val="08-Tabelageral"/>
            </w:pPr>
            <w:r w:rsidRPr="00181D12">
              <w:t>63.769</w:t>
            </w:r>
          </w:p>
        </w:tc>
        <w:tc>
          <w:tcPr>
            <w:tcW w:w="1400" w:type="dxa"/>
            <w:tcBorders>
              <w:bottom w:val="nil"/>
            </w:tcBorders>
            <w:shd w:val="clear" w:color="auto" w:fill="auto"/>
            <w:vAlign w:val="center"/>
          </w:tcPr>
          <w:p w14:paraId="79FC0441" w14:textId="77777777" w:rsidR="00A6120B" w:rsidRPr="00A82CB8" w:rsidRDefault="00A6120B" w:rsidP="00942130">
            <w:pPr>
              <w:pStyle w:val="08-Tabelageral"/>
              <w:rPr>
                <w:lang w:eastAsia="en-US"/>
              </w:rPr>
            </w:pPr>
            <w:r w:rsidRPr="00181D12">
              <w:t>--</w:t>
            </w:r>
          </w:p>
        </w:tc>
      </w:tr>
      <w:tr w:rsidR="00A6120B" w:rsidRPr="00C52004" w14:paraId="0E0E8A6C" w14:textId="77777777" w:rsidTr="0094232A">
        <w:trPr>
          <w:trHeight w:val="238"/>
          <w:jc w:val="center"/>
        </w:trPr>
        <w:tc>
          <w:tcPr>
            <w:tcW w:w="2134" w:type="dxa"/>
            <w:gridSpan w:val="3"/>
            <w:tcBorders>
              <w:top w:val="nil"/>
              <w:bottom w:val="single" w:sz="2" w:space="0" w:color="1F4E79" w:themeColor="accent1" w:themeShade="80"/>
            </w:tcBorders>
            <w:shd w:val="clear" w:color="auto" w:fill="auto"/>
          </w:tcPr>
          <w:p w14:paraId="2172F194" w14:textId="77777777" w:rsidR="00A6120B" w:rsidRPr="00A82CB8" w:rsidRDefault="00A6120B" w:rsidP="0094232A">
            <w:pPr>
              <w:pStyle w:val="08-Tabelageral"/>
              <w:jc w:val="left"/>
            </w:pPr>
            <w:r w:rsidRPr="00A82CB8">
              <w:t>Comissões a apropriar</w:t>
            </w:r>
          </w:p>
        </w:tc>
        <w:tc>
          <w:tcPr>
            <w:tcW w:w="1189" w:type="dxa"/>
            <w:tcBorders>
              <w:top w:val="nil"/>
              <w:bottom w:val="single" w:sz="2" w:space="0" w:color="1F4E79" w:themeColor="accent1" w:themeShade="80"/>
            </w:tcBorders>
            <w:shd w:val="clear" w:color="auto" w:fill="auto"/>
            <w:vAlign w:val="center"/>
          </w:tcPr>
          <w:p w14:paraId="51AA7CDA" w14:textId="77777777" w:rsidR="00A6120B" w:rsidRPr="00A82CB8" w:rsidRDefault="00A6120B" w:rsidP="006E66C7">
            <w:pPr>
              <w:pStyle w:val="08-Tabelageral"/>
            </w:pPr>
            <w:r>
              <w:t>--</w:t>
            </w:r>
          </w:p>
        </w:tc>
        <w:tc>
          <w:tcPr>
            <w:tcW w:w="1127" w:type="dxa"/>
            <w:tcBorders>
              <w:top w:val="nil"/>
              <w:bottom w:val="single" w:sz="2" w:space="0" w:color="1F4E79" w:themeColor="accent1" w:themeShade="80"/>
            </w:tcBorders>
            <w:shd w:val="clear" w:color="auto" w:fill="auto"/>
            <w:vAlign w:val="center"/>
          </w:tcPr>
          <w:p w14:paraId="148498FB" w14:textId="77777777" w:rsidR="00A6120B" w:rsidRPr="00A82CB8" w:rsidRDefault="00A6120B" w:rsidP="006E66C7">
            <w:pPr>
              <w:pStyle w:val="08-Tabelageral"/>
            </w:pPr>
            <w:r w:rsidRPr="005161A9">
              <w:t>2.967.027</w:t>
            </w:r>
          </w:p>
        </w:tc>
        <w:tc>
          <w:tcPr>
            <w:tcW w:w="1400" w:type="dxa"/>
            <w:gridSpan w:val="2"/>
            <w:tcBorders>
              <w:top w:val="nil"/>
              <w:bottom w:val="single" w:sz="2" w:space="0" w:color="1F4E79" w:themeColor="accent1" w:themeShade="80"/>
            </w:tcBorders>
            <w:shd w:val="clear" w:color="auto" w:fill="auto"/>
            <w:vAlign w:val="center"/>
          </w:tcPr>
          <w:p w14:paraId="3DED8A3C" w14:textId="77777777" w:rsidR="00A6120B" w:rsidRPr="00A82CB8" w:rsidRDefault="00A6120B" w:rsidP="006E66C7">
            <w:pPr>
              <w:pStyle w:val="08-Tabelageral"/>
              <w:rPr>
                <w:lang w:eastAsia="en-US"/>
              </w:rPr>
            </w:pPr>
            <w:r>
              <w:rPr>
                <w:lang w:eastAsia="en-US"/>
              </w:rPr>
              <w:t>--</w:t>
            </w:r>
          </w:p>
        </w:tc>
        <w:tc>
          <w:tcPr>
            <w:tcW w:w="1274" w:type="dxa"/>
            <w:gridSpan w:val="2"/>
            <w:tcBorders>
              <w:top w:val="nil"/>
              <w:bottom w:val="single" w:sz="2" w:space="0" w:color="1F4E79" w:themeColor="accent1" w:themeShade="80"/>
            </w:tcBorders>
            <w:shd w:val="clear" w:color="auto" w:fill="auto"/>
            <w:vAlign w:val="center"/>
          </w:tcPr>
          <w:p w14:paraId="5CDCEA59" w14:textId="77777777" w:rsidR="00A6120B" w:rsidRPr="00A82CB8" w:rsidRDefault="00A6120B" w:rsidP="006E66C7">
            <w:pPr>
              <w:pStyle w:val="08-Tabelageral"/>
            </w:pPr>
            <w:r w:rsidRPr="00181D12">
              <w:t>--</w:t>
            </w:r>
          </w:p>
        </w:tc>
        <w:tc>
          <w:tcPr>
            <w:tcW w:w="1127" w:type="dxa"/>
            <w:tcBorders>
              <w:top w:val="nil"/>
              <w:bottom w:val="single" w:sz="2" w:space="0" w:color="1F4E79" w:themeColor="accent1" w:themeShade="80"/>
            </w:tcBorders>
            <w:shd w:val="clear" w:color="auto" w:fill="auto"/>
            <w:vAlign w:val="center"/>
          </w:tcPr>
          <w:p w14:paraId="22174E45" w14:textId="77777777" w:rsidR="00A6120B" w:rsidRPr="00A82CB8" w:rsidRDefault="00A6120B" w:rsidP="006E66C7">
            <w:pPr>
              <w:pStyle w:val="08-Tabelageral"/>
            </w:pPr>
            <w:r w:rsidRPr="00181D12">
              <w:t>2.544.608</w:t>
            </w:r>
          </w:p>
        </w:tc>
        <w:tc>
          <w:tcPr>
            <w:tcW w:w="1400" w:type="dxa"/>
            <w:tcBorders>
              <w:top w:val="nil"/>
              <w:bottom w:val="single" w:sz="2" w:space="0" w:color="1F4E79" w:themeColor="accent1" w:themeShade="80"/>
            </w:tcBorders>
            <w:shd w:val="clear" w:color="auto" w:fill="auto"/>
            <w:vAlign w:val="center"/>
          </w:tcPr>
          <w:p w14:paraId="73228328" w14:textId="77777777" w:rsidR="00A6120B" w:rsidRPr="00A82CB8" w:rsidRDefault="00A6120B" w:rsidP="006E66C7">
            <w:pPr>
              <w:pStyle w:val="08-Tabelageral"/>
              <w:rPr>
                <w:lang w:eastAsia="en-US"/>
              </w:rPr>
            </w:pPr>
            <w:r w:rsidRPr="00181D12">
              <w:t>--</w:t>
            </w:r>
          </w:p>
        </w:tc>
      </w:tr>
    </w:tbl>
    <w:p w14:paraId="5EE1127F" w14:textId="77777777" w:rsidR="00A6120B" w:rsidRDefault="00A6120B" w:rsidP="00E962B6">
      <w:pPr>
        <w:pStyle w:val="01-TtulodeNota"/>
        <w:spacing w:before="0" w:after="0"/>
        <w:rPr>
          <w:sz w:val="14"/>
          <w:szCs w:val="14"/>
        </w:rPr>
      </w:pPr>
    </w:p>
    <w:p w14:paraId="7B8F73FD" w14:textId="77777777" w:rsidR="00A6120B" w:rsidRPr="00676763" w:rsidRDefault="00A6120B" w:rsidP="0059630C">
      <w:pPr>
        <w:pStyle w:val="01-TtulodeNota"/>
        <w:keepNext/>
        <w:spacing w:before="0" w:after="0"/>
        <w:jc w:val="right"/>
        <w:rPr>
          <w:sz w:val="14"/>
          <w:szCs w:val="14"/>
        </w:rPr>
      </w:pPr>
      <w:r w:rsidRPr="00676763">
        <w:rPr>
          <w:sz w:val="14"/>
          <w:szCs w:val="14"/>
        </w:rPr>
        <w:lastRenderedPageBreak/>
        <w:t>R$ mil</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65"/>
        <w:gridCol w:w="1273"/>
        <w:gridCol w:w="1148"/>
        <w:gridCol w:w="1170"/>
        <w:gridCol w:w="1325"/>
        <w:gridCol w:w="1323"/>
        <w:gridCol w:w="1112"/>
        <w:gridCol w:w="1230"/>
      </w:tblGrid>
      <w:tr w:rsidR="00A6120B" w:rsidRPr="00BC397C" w14:paraId="3864CAA5" w14:textId="77777777" w:rsidTr="002E1F2B">
        <w:trPr>
          <w:trHeight w:val="238"/>
          <w:jc w:val="center"/>
        </w:trPr>
        <w:tc>
          <w:tcPr>
            <w:tcW w:w="1165" w:type="dxa"/>
            <w:tcBorders>
              <w:top w:val="single" w:sz="2" w:space="0" w:color="1F4E79" w:themeColor="accent1" w:themeShade="80"/>
              <w:bottom w:val="nil"/>
            </w:tcBorders>
            <w:shd w:val="clear" w:color="auto" w:fill="auto"/>
          </w:tcPr>
          <w:p w14:paraId="4961B9A7" w14:textId="77777777" w:rsidR="00A6120B" w:rsidRPr="00BC397C" w:rsidRDefault="00A6120B" w:rsidP="00342F13">
            <w:pPr>
              <w:pStyle w:val="08-Tabelageral"/>
              <w:rPr>
                <w:b/>
                <w:szCs w:val="14"/>
              </w:rPr>
            </w:pPr>
          </w:p>
        </w:tc>
        <w:tc>
          <w:tcPr>
            <w:tcW w:w="1273" w:type="dxa"/>
            <w:tcBorders>
              <w:top w:val="single" w:sz="2" w:space="0" w:color="1F4E79" w:themeColor="accent1" w:themeShade="80"/>
              <w:bottom w:val="nil"/>
            </w:tcBorders>
            <w:shd w:val="clear" w:color="auto" w:fill="auto"/>
          </w:tcPr>
          <w:p w14:paraId="451C288A" w14:textId="77777777" w:rsidR="00A6120B" w:rsidRPr="00BC397C" w:rsidRDefault="00A6120B" w:rsidP="00342F13">
            <w:pPr>
              <w:pStyle w:val="08-Tabelageral"/>
              <w:rPr>
                <w:b/>
                <w:szCs w:val="14"/>
              </w:rPr>
            </w:pPr>
          </w:p>
        </w:tc>
        <w:tc>
          <w:tcPr>
            <w:tcW w:w="3643" w:type="dxa"/>
            <w:gridSpan w:val="3"/>
            <w:tcBorders>
              <w:top w:val="single" w:sz="2" w:space="0" w:color="1F4E79" w:themeColor="accent1" w:themeShade="80"/>
              <w:bottom w:val="single" w:sz="2" w:space="0" w:color="1F4E79" w:themeColor="accent1" w:themeShade="80"/>
            </w:tcBorders>
            <w:shd w:val="clear" w:color="auto" w:fill="auto"/>
            <w:vAlign w:val="center"/>
          </w:tcPr>
          <w:p w14:paraId="644C0D0C" w14:textId="77777777" w:rsidR="00A6120B" w:rsidRDefault="00A6120B" w:rsidP="00342F13">
            <w:pPr>
              <w:pStyle w:val="08-Tabelageral"/>
              <w:jc w:val="center"/>
              <w:rPr>
                <w:b/>
                <w:szCs w:val="14"/>
              </w:rPr>
            </w:pPr>
            <w:r>
              <w:rPr>
                <w:b/>
                <w:szCs w:val="14"/>
              </w:rPr>
              <w:t>31.12.2021</w:t>
            </w:r>
          </w:p>
        </w:tc>
        <w:tc>
          <w:tcPr>
            <w:tcW w:w="3665" w:type="dxa"/>
            <w:gridSpan w:val="3"/>
            <w:tcBorders>
              <w:top w:val="single" w:sz="2" w:space="0" w:color="1F4E79" w:themeColor="accent1" w:themeShade="80"/>
              <w:bottom w:val="single" w:sz="2" w:space="0" w:color="1F4E79" w:themeColor="accent1" w:themeShade="80"/>
            </w:tcBorders>
            <w:shd w:val="clear" w:color="auto" w:fill="auto"/>
            <w:vAlign w:val="center"/>
          </w:tcPr>
          <w:p w14:paraId="549D7A2C" w14:textId="77777777" w:rsidR="00A6120B" w:rsidRDefault="00A6120B" w:rsidP="00342F13">
            <w:pPr>
              <w:pStyle w:val="08-Tabelageral"/>
              <w:jc w:val="center"/>
              <w:rPr>
                <w:b/>
                <w:szCs w:val="14"/>
              </w:rPr>
            </w:pPr>
            <w:r>
              <w:rPr>
                <w:b/>
                <w:szCs w:val="14"/>
              </w:rPr>
              <w:t>31.12.2020</w:t>
            </w:r>
          </w:p>
        </w:tc>
      </w:tr>
      <w:tr w:rsidR="00A6120B" w:rsidRPr="00BC397C" w14:paraId="3BA85AF7" w14:textId="77777777" w:rsidTr="002E1F2B">
        <w:trPr>
          <w:trHeight w:val="238"/>
          <w:jc w:val="center"/>
        </w:trPr>
        <w:tc>
          <w:tcPr>
            <w:tcW w:w="2438" w:type="dxa"/>
            <w:gridSpan w:val="2"/>
            <w:tcBorders>
              <w:top w:val="nil"/>
              <w:bottom w:val="single" w:sz="2" w:space="0" w:color="1F4E79" w:themeColor="accent1" w:themeShade="80"/>
            </w:tcBorders>
            <w:shd w:val="clear" w:color="auto" w:fill="auto"/>
            <w:vAlign w:val="center"/>
          </w:tcPr>
          <w:p w14:paraId="0DBEDB8F" w14:textId="77777777" w:rsidR="00A6120B" w:rsidRPr="00BC397C" w:rsidRDefault="00A6120B" w:rsidP="00342F13">
            <w:pPr>
              <w:pStyle w:val="08-Tabelageral"/>
              <w:rPr>
                <w:b/>
                <w:szCs w:val="14"/>
              </w:rPr>
            </w:pPr>
          </w:p>
        </w:tc>
        <w:tc>
          <w:tcPr>
            <w:tcW w:w="1148" w:type="dxa"/>
            <w:tcBorders>
              <w:top w:val="single" w:sz="2" w:space="0" w:color="1F4E79" w:themeColor="accent1" w:themeShade="80"/>
              <w:bottom w:val="single" w:sz="2" w:space="0" w:color="1F4E79" w:themeColor="accent1" w:themeShade="80"/>
            </w:tcBorders>
            <w:shd w:val="clear" w:color="auto" w:fill="auto"/>
            <w:vAlign w:val="center"/>
          </w:tcPr>
          <w:p w14:paraId="6DF9B897" w14:textId="77777777" w:rsidR="00A6120B" w:rsidRPr="00BC397C" w:rsidRDefault="00A6120B" w:rsidP="00342F13">
            <w:pPr>
              <w:pStyle w:val="08-Tabelageral"/>
              <w:rPr>
                <w:b/>
                <w:szCs w:val="14"/>
              </w:rPr>
            </w:pPr>
            <w:r w:rsidRPr="00BC397C">
              <w:rPr>
                <w:b/>
                <w:szCs w:val="14"/>
              </w:rPr>
              <w:t>Controlador</w:t>
            </w:r>
            <w:r>
              <w:rPr>
                <w:b/>
                <w:szCs w:val="14"/>
              </w:rPr>
              <w:t xml:space="preserve"> </w:t>
            </w:r>
            <w:r w:rsidRPr="00BC397C">
              <w:rPr>
                <w:b/>
                <w:szCs w:val="14"/>
                <w:vertAlign w:val="superscript"/>
              </w:rPr>
              <w:t>(1)</w:t>
            </w:r>
          </w:p>
        </w:tc>
        <w:tc>
          <w:tcPr>
            <w:tcW w:w="1170" w:type="dxa"/>
            <w:tcBorders>
              <w:top w:val="single" w:sz="2" w:space="0" w:color="1F4E79" w:themeColor="accent1" w:themeShade="80"/>
              <w:bottom w:val="single" w:sz="2" w:space="0" w:color="1F4E79" w:themeColor="accent1" w:themeShade="80"/>
            </w:tcBorders>
            <w:shd w:val="clear" w:color="auto" w:fill="auto"/>
            <w:vAlign w:val="center"/>
          </w:tcPr>
          <w:p w14:paraId="202B692D" w14:textId="77777777" w:rsidR="00A6120B" w:rsidRPr="00BC397C" w:rsidRDefault="00A6120B" w:rsidP="00342F13">
            <w:pPr>
              <w:pStyle w:val="08-Tabelageral"/>
              <w:rPr>
                <w:b/>
                <w:szCs w:val="14"/>
              </w:rPr>
            </w:pPr>
            <w:r w:rsidRPr="00BC397C">
              <w:rPr>
                <w:b/>
                <w:szCs w:val="14"/>
              </w:rPr>
              <w:t xml:space="preserve">Empresas Investidas </w:t>
            </w:r>
            <w:r w:rsidRPr="00BC397C">
              <w:rPr>
                <w:b/>
                <w:szCs w:val="14"/>
                <w:vertAlign w:val="superscript"/>
              </w:rPr>
              <w:t>(2)</w:t>
            </w:r>
          </w:p>
        </w:tc>
        <w:tc>
          <w:tcPr>
            <w:tcW w:w="1325" w:type="dxa"/>
            <w:tcBorders>
              <w:top w:val="single" w:sz="2" w:space="0" w:color="1F4E79" w:themeColor="accent1" w:themeShade="80"/>
              <w:bottom w:val="single" w:sz="2" w:space="0" w:color="1F4E79" w:themeColor="accent1" w:themeShade="80"/>
            </w:tcBorders>
            <w:shd w:val="clear" w:color="auto" w:fill="auto"/>
            <w:vAlign w:val="center"/>
          </w:tcPr>
          <w:p w14:paraId="3C6EA19D" w14:textId="77777777" w:rsidR="00A6120B" w:rsidRPr="00BC397C" w:rsidRDefault="00A6120B" w:rsidP="00342F13">
            <w:pPr>
              <w:pStyle w:val="08-Tabelageral"/>
              <w:rPr>
                <w:b/>
                <w:szCs w:val="14"/>
              </w:rPr>
            </w:pPr>
            <w:r>
              <w:rPr>
                <w:b/>
                <w:szCs w:val="14"/>
              </w:rPr>
              <w:t>Outras Partes Relacionadas</w:t>
            </w:r>
          </w:p>
        </w:tc>
        <w:tc>
          <w:tcPr>
            <w:tcW w:w="1323" w:type="dxa"/>
            <w:tcBorders>
              <w:top w:val="single" w:sz="2" w:space="0" w:color="1F4E79" w:themeColor="accent1" w:themeShade="80"/>
              <w:bottom w:val="single" w:sz="2" w:space="0" w:color="1F4E79" w:themeColor="accent1" w:themeShade="80"/>
            </w:tcBorders>
            <w:shd w:val="clear" w:color="auto" w:fill="auto"/>
            <w:vAlign w:val="center"/>
          </w:tcPr>
          <w:p w14:paraId="7B3ADBB3" w14:textId="77777777" w:rsidR="00A6120B" w:rsidRPr="00BC397C" w:rsidRDefault="00A6120B" w:rsidP="00342F13">
            <w:pPr>
              <w:pStyle w:val="08-Tabelageral"/>
              <w:rPr>
                <w:b/>
                <w:szCs w:val="14"/>
              </w:rPr>
            </w:pPr>
            <w:r w:rsidRPr="00BC397C">
              <w:rPr>
                <w:b/>
                <w:szCs w:val="14"/>
              </w:rPr>
              <w:t xml:space="preserve">Controlador </w:t>
            </w:r>
            <w:r w:rsidRPr="00BC397C">
              <w:rPr>
                <w:b/>
                <w:szCs w:val="14"/>
                <w:vertAlign w:val="superscript"/>
              </w:rPr>
              <w:t>(1)</w:t>
            </w:r>
          </w:p>
        </w:tc>
        <w:tc>
          <w:tcPr>
            <w:tcW w:w="1112" w:type="dxa"/>
            <w:tcBorders>
              <w:top w:val="single" w:sz="2" w:space="0" w:color="1F4E79" w:themeColor="accent1" w:themeShade="80"/>
              <w:bottom w:val="single" w:sz="2" w:space="0" w:color="1F4E79" w:themeColor="accent1" w:themeShade="80"/>
            </w:tcBorders>
            <w:shd w:val="clear" w:color="auto" w:fill="auto"/>
            <w:vAlign w:val="center"/>
          </w:tcPr>
          <w:p w14:paraId="1C0B4FCD" w14:textId="77777777" w:rsidR="00A6120B" w:rsidRPr="00BC397C" w:rsidRDefault="00A6120B" w:rsidP="00342F13">
            <w:pPr>
              <w:pStyle w:val="08-Tabelageral"/>
              <w:rPr>
                <w:b/>
                <w:szCs w:val="14"/>
              </w:rPr>
            </w:pPr>
            <w:r w:rsidRPr="00BC397C">
              <w:rPr>
                <w:b/>
                <w:szCs w:val="14"/>
              </w:rPr>
              <w:t xml:space="preserve">Empresas Investidas </w:t>
            </w:r>
            <w:r w:rsidRPr="00BC397C">
              <w:rPr>
                <w:b/>
                <w:szCs w:val="14"/>
                <w:vertAlign w:val="superscript"/>
              </w:rPr>
              <w:t>(2)</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790122FE" w14:textId="77777777" w:rsidR="00A6120B" w:rsidRPr="00BC397C" w:rsidRDefault="00A6120B" w:rsidP="00342F13">
            <w:pPr>
              <w:pStyle w:val="08-Tabelageral"/>
              <w:rPr>
                <w:b/>
                <w:szCs w:val="14"/>
              </w:rPr>
            </w:pPr>
            <w:r>
              <w:rPr>
                <w:b/>
                <w:szCs w:val="14"/>
              </w:rPr>
              <w:t>Outras Partes Relacionadas</w:t>
            </w:r>
          </w:p>
        </w:tc>
      </w:tr>
      <w:tr w:rsidR="00A6120B" w:rsidRPr="00BC397C" w14:paraId="2418DB01" w14:textId="77777777" w:rsidTr="002E1F2B">
        <w:trPr>
          <w:trHeight w:val="238"/>
          <w:jc w:val="center"/>
        </w:trPr>
        <w:tc>
          <w:tcPr>
            <w:tcW w:w="2438" w:type="dxa"/>
            <w:gridSpan w:val="2"/>
            <w:tcBorders>
              <w:top w:val="single" w:sz="2" w:space="0" w:color="1F4E79" w:themeColor="accent1" w:themeShade="80"/>
              <w:bottom w:val="nil"/>
            </w:tcBorders>
            <w:shd w:val="clear" w:color="auto" w:fill="auto"/>
          </w:tcPr>
          <w:p w14:paraId="44B696C3" w14:textId="77777777" w:rsidR="00A6120B" w:rsidRPr="00BC397C" w:rsidRDefault="00A6120B" w:rsidP="00342F13">
            <w:pPr>
              <w:pStyle w:val="08-Tabelageral"/>
              <w:jc w:val="left"/>
              <w:rPr>
                <w:b/>
              </w:rPr>
            </w:pPr>
            <w:r w:rsidRPr="00BC397C">
              <w:rPr>
                <w:b/>
              </w:rPr>
              <w:t>Resultado</w:t>
            </w:r>
          </w:p>
        </w:tc>
        <w:tc>
          <w:tcPr>
            <w:tcW w:w="1148" w:type="dxa"/>
            <w:tcBorders>
              <w:top w:val="single" w:sz="2" w:space="0" w:color="1F4E79" w:themeColor="accent1" w:themeShade="80"/>
              <w:bottom w:val="nil"/>
            </w:tcBorders>
            <w:shd w:val="clear" w:color="auto" w:fill="auto"/>
            <w:vAlign w:val="center"/>
          </w:tcPr>
          <w:p w14:paraId="2BC2994C" w14:textId="77777777" w:rsidR="00A6120B" w:rsidRPr="00BC397C" w:rsidRDefault="00A6120B" w:rsidP="00342F13">
            <w:pPr>
              <w:pStyle w:val="08-Tabelageral"/>
              <w:rPr>
                <w:b/>
                <w:szCs w:val="14"/>
              </w:rPr>
            </w:pPr>
          </w:p>
        </w:tc>
        <w:tc>
          <w:tcPr>
            <w:tcW w:w="1170" w:type="dxa"/>
            <w:tcBorders>
              <w:top w:val="single" w:sz="2" w:space="0" w:color="1F4E79" w:themeColor="accent1" w:themeShade="80"/>
              <w:bottom w:val="nil"/>
            </w:tcBorders>
            <w:shd w:val="clear" w:color="auto" w:fill="auto"/>
            <w:vAlign w:val="center"/>
          </w:tcPr>
          <w:p w14:paraId="637FC602" w14:textId="77777777" w:rsidR="00A6120B" w:rsidRPr="00BC397C" w:rsidRDefault="00A6120B" w:rsidP="00342F13">
            <w:pPr>
              <w:pStyle w:val="08-Tabelageral"/>
              <w:rPr>
                <w:b/>
                <w:szCs w:val="14"/>
              </w:rPr>
            </w:pPr>
            <w:r w:rsidRPr="00BC397C">
              <w:rPr>
                <w:b/>
                <w:szCs w:val="14"/>
              </w:rPr>
              <w:t xml:space="preserve"> </w:t>
            </w:r>
          </w:p>
        </w:tc>
        <w:tc>
          <w:tcPr>
            <w:tcW w:w="1325" w:type="dxa"/>
            <w:tcBorders>
              <w:top w:val="single" w:sz="2" w:space="0" w:color="1F4E79" w:themeColor="accent1" w:themeShade="80"/>
              <w:bottom w:val="nil"/>
            </w:tcBorders>
            <w:shd w:val="clear" w:color="auto" w:fill="auto"/>
          </w:tcPr>
          <w:p w14:paraId="37DC2CEB" w14:textId="77777777" w:rsidR="00A6120B" w:rsidRPr="00BC397C" w:rsidRDefault="00A6120B" w:rsidP="00342F13">
            <w:pPr>
              <w:pStyle w:val="08-Tabelageral"/>
              <w:rPr>
                <w:b/>
              </w:rPr>
            </w:pPr>
          </w:p>
        </w:tc>
        <w:tc>
          <w:tcPr>
            <w:tcW w:w="1323" w:type="dxa"/>
            <w:tcBorders>
              <w:top w:val="single" w:sz="2" w:space="0" w:color="1F4E79" w:themeColor="accent1" w:themeShade="80"/>
              <w:bottom w:val="nil"/>
            </w:tcBorders>
            <w:shd w:val="clear" w:color="auto" w:fill="auto"/>
            <w:vAlign w:val="center"/>
          </w:tcPr>
          <w:p w14:paraId="14B40652" w14:textId="77777777" w:rsidR="00A6120B" w:rsidRPr="00BC397C" w:rsidRDefault="00A6120B" w:rsidP="00342F13">
            <w:pPr>
              <w:pStyle w:val="08-Tabelageral"/>
              <w:rPr>
                <w:b/>
              </w:rPr>
            </w:pPr>
          </w:p>
        </w:tc>
        <w:tc>
          <w:tcPr>
            <w:tcW w:w="1112" w:type="dxa"/>
            <w:tcBorders>
              <w:top w:val="single" w:sz="2" w:space="0" w:color="1F4E79" w:themeColor="accent1" w:themeShade="80"/>
              <w:bottom w:val="nil"/>
            </w:tcBorders>
            <w:shd w:val="clear" w:color="auto" w:fill="auto"/>
            <w:vAlign w:val="center"/>
          </w:tcPr>
          <w:p w14:paraId="59632E30" w14:textId="77777777" w:rsidR="00A6120B" w:rsidRPr="00BC397C" w:rsidRDefault="00A6120B" w:rsidP="00342F13">
            <w:pPr>
              <w:pStyle w:val="08-Tabelageral"/>
              <w:rPr>
                <w:b/>
              </w:rPr>
            </w:pPr>
          </w:p>
        </w:tc>
        <w:tc>
          <w:tcPr>
            <w:tcW w:w="1230" w:type="dxa"/>
            <w:tcBorders>
              <w:top w:val="single" w:sz="2" w:space="0" w:color="1F4E79" w:themeColor="accent1" w:themeShade="80"/>
              <w:bottom w:val="nil"/>
            </w:tcBorders>
            <w:shd w:val="clear" w:color="auto" w:fill="auto"/>
          </w:tcPr>
          <w:p w14:paraId="4CEFBC55" w14:textId="77777777" w:rsidR="00A6120B" w:rsidRPr="00BC397C" w:rsidRDefault="00A6120B" w:rsidP="00342F13">
            <w:pPr>
              <w:pStyle w:val="08-Tabelageral"/>
              <w:rPr>
                <w:b/>
              </w:rPr>
            </w:pPr>
          </w:p>
        </w:tc>
      </w:tr>
      <w:tr w:rsidR="00A6120B" w:rsidRPr="00BC397C" w14:paraId="7434FC55" w14:textId="77777777" w:rsidTr="0081354C">
        <w:trPr>
          <w:trHeight w:val="238"/>
          <w:jc w:val="center"/>
        </w:trPr>
        <w:tc>
          <w:tcPr>
            <w:tcW w:w="2438" w:type="dxa"/>
            <w:gridSpan w:val="2"/>
            <w:tcBorders>
              <w:top w:val="nil"/>
            </w:tcBorders>
            <w:shd w:val="clear" w:color="auto" w:fill="auto"/>
            <w:vAlign w:val="center"/>
          </w:tcPr>
          <w:p w14:paraId="68966BD6" w14:textId="77777777" w:rsidR="00A6120B" w:rsidRPr="00BC397C" w:rsidRDefault="00A6120B" w:rsidP="00CD3BCB">
            <w:pPr>
              <w:pStyle w:val="08-Tabelageral"/>
              <w:jc w:val="left"/>
            </w:pPr>
            <w:r w:rsidRPr="00BC397C">
              <w:t>Receita de juros de instrumentos financeiros</w:t>
            </w:r>
          </w:p>
        </w:tc>
        <w:tc>
          <w:tcPr>
            <w:tcW w:w="1148" w:type="dxa"/>
            <w:tcBorders>
              <w:top w:val="nil"/>
            </w:tcBorders>
            <w:shd w:val="clear" w:color="auto" w:fill="auto"/>
            <w:vAlign w:val="center"/>
          </w:tcPr>
          <w:p w14:paraId="6DB3CC9A" w14:textId="77777777" w:rsidR="00A6120B" w:rsidRPr="00BC397C" w:rsidRDefault="00A6120B" w:rsidP="0081354C">
            <w:pPr>
              <w:pStyle w:val="08-Tabelageral"/>
            </w:pPr>
            <w:r w:rsidRPr="005161A9">
              <w:t>125.090</w:t>
            </w:r>
          </w:p>
        </w:tc>
        <w:tc>
          <w:tcPr>
            <w:tcW w:w="1170" w:type="dxa"/>
            <w:tcBorders>
              <w:top w:val="nil"/>
            </w:tcBorders>
            <w:shd w:val="clear" w:color="auto" w:fill="auto"/>
            <w:vAlign w:val="center"/>
          </w:tcPr>
          <w:p w14:paraId="25BD2450" w14:textId="77777777" w:rsidR="00A6120B" w:rsidRPr="00BC397C" w:rsidRDefault="00A6120B" w:rsidP="0081354C">
            <w:pPr>
              <w:pStyle w:val="08-Tabelageral"/>
            </w:pPr>
            <w:r>
              <w:t>--</w:t>
            </w:r>
          </w:p>
        </w:tc>
        <w:tc>
          <w:tcPr>
            <w:tcW w:w="1325" w:type="dxa"/>
            <w:tcBorders>
              <w:top w:val="nil"/>
            </w:tcBorders>
            <w:shd w:val="clear" w:color="auto" w:fill="auto"/>
            <w:vAlign w:val="center"/>
          </w:tcPr>
          <w:p w14:paraId="6426C7FC" w14:textId="77777777" w:rsidR="00A6120B" w:rsidRDefault="00A6120B" w:rsidP="0081354C">
            <w:pPr>
              <w:pStyle w:val="08-Tabelageral"/>
            </w:pPr>
            <w:r>
              <w:t>--</w:t>
            </w:r>
          </w:p>
        </w:tc>
        <w:tc>
          <w:tcPr>
            <w:tcW w:w="1323" w:type="dxa"/>
            <w:tcBorders>
              <w:top w:val="nil"/>
            </w:tcBorders>
            <w:shd w:val="clear" w:color="auto" w:fill="auto"/>
            <w:vAlign w:val="center"/>
          </w:tcPr>
          <w:p w14:paraId="3ED2EDDB" w14:textId="77777777" w:rsidR="00A6120B" w:rsidRPr="00BC397C" w:rsidRDefault="00A6120B" w:rsidP="0081354C">
            <w:pPr>
              <w:pStyle w:val="08-Tabelageral"/>
              <w:rPr>
                <w:rFonts w:cs="Arial"/>
                <w:szCs w:val="14"/>
              </w:rPr>
            </w:pPr>
            <w:r w:rsidRPr="002E5F94">
              <w:t>115.558</w:t>
            </w:r>
          </w:p>
        </w:tc>
        <w:tc>
          <w:tcPr>
            <w:tcW w:w="1112" w:type="dxa"/>
            <w:tcBorders>
              <w:top w:val="nil"/>
            </w:tcBorders>
            <w:shd w:val="clear" w:color="auto" w:fill="auto"/>
            <w:vAlign w:val="center"/>
          </w:tcPr>
          <w:p w14:paraId="3CFBC632" w14:textId="77777777" w:rsidR="00A6120B" w:rsidRPr="00BC397C" w:rsidRDefault="00A6120B" w:rsidP="0081354C">
            <w:pPr>
              <w:pStyle w:val="08-Tabelageral"/>
              <w:rPr>
                <w:rFonts w:cs="Arial"/>
                <w:szCs w:val="14"/>
              </w:rPr>
            </w:pPr>
            <w:r w:rsidRPr="002E5F94">
              <w:t>--</w:t>
            </w:r>
          </w:p>
        </w:tc>
        <w:tc>
          <w:tcPr>
            <w:tcW w:w="1230" w:type="dxa"/>
            <w:tcBorders>
              <w:top w:val="nil"/>
            </w:tcBorders>
            <w:shd w:val="clear" w:color="auto" w:fill="auto"/>
            <w:vAlign w:val="center"/>
          </w:tcPr>
          <w:p w14:paraId="21EF4BA0" w14:textId="77777777" w:rsidR="00A6120B" w:rsidRDefault="00A6120B" w:rsidP="0081354C">
            <w:pPr>
              <w:pStyle w:val="08-Tabelageral"/>
            </w:pPr>
            <w:r w:rsidRPr="002E5F94">
              <w:t>4.449</w:t>
            </w:r>
          </w:p>
        </w:tc>
      </w:tr>
      <w:tr w:rsidR="00A6120B" w:rsidRPr="00BC397C" w14:paraId="0EB402D3" w14:textId="77777777" w:rsidTr="0081354C">
        <w:trPr>
          <w:trHeight w:val="238"/>
          <w:jc w:val="center"/>
        </w:trPr>
        <w:tc>
          <w:tcPr>
            <w:tcW w:w="2438" w:type="dxa"/>
            <w:gridSpan w:val="2"/>
            <w:shd w:val="clear" w:color="auto" w:fill="auto"/>
            <w:vAlign w:val="center"/>
          </w:tcPr>
          <w:p w14:paraId="2FC14676" w14:textId="77777777" w:rsidR="00A6120B" w:rsidRPr="00BC397C" w:rsidRDefault="00A6120B" w:rsidP="00CD3BCB">
            <w:pPr>
              <w:pStyle w:val="08-Tabelageral"/>
              <w:jc w:val="left"/>
            </w:pPr>
            <w:r w:rsidRPr="00BC397C">
              <w:t>Receita de comissões</w:t>
            </w:r>
          </w:p>
        </w:tc>
        <w:tc>
          <w:tcPr>
            <w:tcW w:w="1148" w:type="dxa"/>
            <w:shd w:val="clear" w:color="auto" w:fill="auto"/>
            <w:vAlign w:val="center"/>
          </w:tcPr>
          <w:p w14:paraId="24B8E0D4" w14:textId="77777777" w:rsidR="00A6120B" w:rsidRPr="00BC397C" w:rsidRDefault="00A6120B" w:rsidP="0081354C">
            <w:pPr>
              <w:pStyle w:val="08-Tabelageral"/>
            </w:pPr>
            <w:r>
              <w:t>--</w:t>
            </w:r>
          </w:p>
        </w:tc>
        <w:tc>
          <w:tcPr>
            <w:tcW w:w="1170" w:type="dxa"/>
            <w:shd w:val="clear" w:color="auto" w:fill="auto"/>
            <w:vAlign w:val="center"/>
          </w:tcPr>
          <w:p w14:paraId="6395F530" w14:textId="77777777" w:rsidR="00A6120B" w:rsidRPr="00BC397C" w:rsidRDefault="00A6120B" w:rsidP="0081354C">
            <w:pPr>
              <w:pStyle w:val="08-Tabelageral"/>
            </w:pPr>
            <w:r w:rsidRPr="005161A9">
              <w:t>3.813.331</w:t>
            </w:r>
          </w:p>
        </w:tc>
        <w:tc>
          <w:tcPr>
            <w:tcW w:w="1325" w:type="dxa"/>
            <w:shd w:val="clear" w:color="auto" w:fill="auto"/>
            <w:vAlign w:val="center"/>
          </w:tcPr>
          <w:p w14:paraId="0AEC19EB" w14:textId="77777777" w:rsidR="00A6120B" w:rsidRDefault="00A6120B" w:rsidP="0081354C">
            <w:pPr>
              <w:pStyle w:val="08-Tabelageral"/>
            </w:pPr>
            <w:r>
              <w:t>--</w:t>
            </w:r>
          </w:p>
        </w:tc>
        <w:tc>
          <w:tcPr>
            <w:tcW w:w="1323" w:type="dxa"/>
            <w:shd w:val="clear" w:color="auto" w:fill="auto"/>
            <w:vAlign w:val="center"/>
          </w:tcPr>
          <w:p w14:paraId="1EAAF9EE" w14:textId="77777777" w:rsidR="00A6120B" w:rsidRPr="00BC397C" w:rsidRDefault="00A6120B" w:rsidP="0081354C">
            <w:pPr>
              <w:pStyle w:val="08-Tabelageral"/>
              <w:rPr>
                <w:rFonts w:cs="Arial"/>
                <w:szCs w:val="14"/>
              </w:rPr>
            </w:pPr>
            <w:r w:rsidRPr="002E5F94">
              <w:t>--</w:t>
            </w:r>
          </w:p>
        </w:tc>
        <w:tc>
          <w:tcPr>
            <w:tcW w:w="1112" w:type="dxa"/>
            <w:shd w:val="clear" w:color="auto" w:fill="auto"/>
            <w:vAlign w:val="center"/>
          </w:tcPr>
          <w:p w14:paraId="2042E3B9" w14:textId="77777777" w:rsidR="00A6120B" w:rsidRPr="00BC397C" w:rsidRDefault="00A6120B" w:rsidP="0081354C">
            <w:pPr>
              <w:pStyle w:val="08-Tabelageral"/>
              <w:rPr>
                <w:rFonts w:cs="Arial"/>
                <w:szCs w:val="14"/>
              </w:rPr>
            </w:pPr>
            <w:r w:rsidRPr="002E5F94">
              <w:t>3.532.176</w:t>
            </w:r>
          </w:p>
        </w:tc>
        <w:tc>
          <w:tcPr>
            <w:tcW w:w="1230" w:type="dxa"/>
            <w:shd w:val="clear" w:color="auto" w:fill="auto"/>
            <w:vAlign w:val="center"/>
          </w:tcPr>
          <w:p w14:paraId="4126F5E4" w14:textId="77777777" w:rsidR="00A6120B" w:rsidRDefault="00A6120B" w:rsidP="0081354C">
            <w:pPr>
              <w:pStyle w:val="08-Tabelageral"/>
            </w:pPr>
            <w:r w:rsidRPr="002E5F94">
              <w:t>--</w:t>
            </w:r>
          </w:p>
        </w:tc>
      </w:tr>
      <w:tr w:rsidR="00A6120B" w:rsidRPr="00BC397C" w14:paraId="32417F97" w14:textId="77777777" w:rsidTr="0081354C">
        <w:trPr>
          <w:trHeight w:val="238"/>
          <w:jc w:val="center"/>
        </w:trPr>
        <w:tc>
          <w:tcPr>
            <w:tcW w:w="2438" w:type="dxa"/>
            <w:gridSpan w:val="2"/>
            <w:shd w:val="clear" w:color="auto" w:fill="auto"/>
            <w:vAlign w:val="center"/>
          </w:tcPr>
          <w:p w14:paraId="2ADD07B5" w14:textId="77777777" w:rsidR="00A6120B" w:rsidRPr="00BC397C" w:rsidRDefault="00A6120B" w:rsidP="00CD3BCB">
            <w:pPr>
              <w:pStyle w:val="08-Tabelageral"/>
              <w:jc w:val="left"/>
            </w:pPr>
            <w:r w:rsidRPr="00BC397C">
              <w:t>Despesas com pessoal</w:t>
            </w:r>
          </w:p>
        </w:tc>
        <w:tc>
          <w:tcPr>
            <w:tcW w:w="1148" w:type="dxa"/>
            <w:shd w:val="clear" w:color="auto" w:fill="auto"/>
            <w:vAlign w:val="center"/>
          </w:tcPr>
          <w:p w14:paraId="7C7D8749" w14:textId="77777777" w:rsidR="00A6120B" w:rsidRPr="00BC397C" w:rsidRDefault="00A6120B" w:rsidP="0081354C">
            <w:pPr>
              <w:pStyle w:val="08-Tabelageral"/>
            </w:pPr>
            <w:r>
              <w:t>(</w:t>
            </w:r>
            <w:r w:rsidRPr="005161A9">
              <w:t>63.114</w:t>
            </w:r>
            <w:r>
              <w:t>)</w:t>
            </w:r>
          </w:p>
        </w:tc>
        <w:tc>
          <w:tcPr>
            <w:tcW w:w="1170" w:type="dxa"/>
            <w:shd w:val="clear" w:color="auto" w:fill="auto"/>
            <w:vAlign w:val="center"/>
          </w:tcPr>
          <w:p w14:paraId="76BC083B" w14:textId="77777777" w:rsidR="00A6120B" w:rsidRPr="00BC397C" w:rsidRDefault="00A6120B" w:rsidP="0081354C">
            <w:pPr>
              <w:pStyle w:val="08-Tabelageral"/>
            </w:pPr>
            <w:r>
              <w:t>--</w:t>
            </w:r>
          </w:p>
        </w:tc>
        <w:tc>
          <w:tcPr>
            <w:tcW w:w="1325" w:type="dxa"/>
            <w:shd w:val="clear" w:color="auto" w:fill="auto"/>
            <w:vAlign w:val="center"/>
          </w:tcPr>
          <w:p w14:paraId="2694C46F" w14:textId="77777777" w:rsidR="00A6120B" w:rsidRDefault="00A6120B" w:rsidP="0081354C">
            <w:pPr>
              <w:pStyle w:val="08-Tabelageral"/>
            </w:pPr>
            <w:r>
              <w:t>--</w:t>
            </w:r>
          </w:p>
        </w:tc>
        <w:tc>
          <w:tcPr>
            <w:tcW w:w="1323" w:type="dxa"/>
            <w:shd w:val="clear" w:color="auto" w:fill="auto"/>
            <w:vAlign w:val="center"/>
          </w:tcPr>
          <w:p w14:paraId="344099B0" w14:textId="77777777" w:rsidR="00A6120B" w:rsidRPr="00BC397C" w:rsidRDefault="00A6120B" w:rsidP="0081354C">
            <w:pPr>
              <w:pStyle w:val="08-Tabelageral"/>
              <w:rPr>
                <w:rFonts w:cs="Arial"/>
                <w:szCs w:val="14"/>
              </w:rPr>
            </w:pPr>
            <w:r w:rsidRPr="002E5F94">
              <w:t>(63.893)</w:t>
            </w:r>
          </w:p>
        </w:tc>
        <w:tc>
          <w:tcPr>
            <w:tcW w:w="1112" w:type="dxa"/>
            <w:shd w:val="clear" w:color="auto" w:fill="auto"/>
            <w:vAlign w:val="center"/>
          </w:tcPr>
          <w:p w14:paraId="2D54B3BB" w14:textId="77777777" w:rsidR="00A6120B" w:rsidRPr="00BC397C" w:rsidRDefault="00A6120B" w:rsidP="0081354C">
            <w:pPr>
              <w:pStyle w:val="08-Tabelageral"/>
              <w:rPr>
                <w:rFonts w:cs="Arial"/>
                <w:szCs w:val="14"/>
              </w:rPr>
            </w:pPr>
            <w:r w:rsidRPr="002E5F94">
              <w:t>--</w:t>
            </w:r>
          </w:p>
        </w:tc>
        <w:tc>
          <w:tcPr>
            <w:tcW w:w="1230" w:type="dxa"/>
            <w:shd w:val="clear" w:color="auto" w:fill="auto"/>
            <w:vAlign w:val="center"/>
          </w:tcPr>
          <w:p w14:paraId="257FC8A7" w14:textId="77777777" w:rsidR="00A6120B" w:rsidRDefault="00A6120B" w:rsidP="0081354C">
            <w:pPr>
              <w:pStyle w:val="08-Tabelageral"/>
            </w:pPr>
            <w:r w:rsidRPr="002E5F94">
              <w:t>--</w:t>
            </w:r>
          </w:p>
        </w:tc>
      </w:tr>
      <w:tr w:rsidR="00A6120B" w:rsidRPr="00BC397C" w14:paraId="22B8E622" w14:textId="77777777" w:rsidTr="0081354C">
        <w:trPr>
          <w:trHeight w:val="238"/>
          <w:jc w:val="center"/>
        </w:trPr>
        <w:tc>
          <w:tcPr>
            <w:tcW w:w="2438" w:type="dxa"/>
            <w:gridSpan w:val="2"/>
            <w:shd w:val="clear" w:color="auto" w:fill="auto"/>
            <w:vAlign w:val="center"/>
          </w:tcPr>
          <w:p w14:paraId="15C8A44B" w14:textId="77777777" w:rsidR="00A6120B" w:rsidRPr="00BC397C" w:rsidRDefault="00A6120B" w:rsidP="00CD3BCB">
            <w:pPr>
              <w:pStyle w:val="08-Tabelageral"/>
              <w:jc w:val="left"/>
            </w:pPr>
            <w:r w:rsidRPr="00BC397C">
              <w:t>Despesas administrativas diversas/Custos dos serviços prestados</w:t>
            </w:r>
            <w:r>
              <w:t xml:space="preserve"> </w:t>
            </w:r>
            <w:r w:rsidRPr="00BC397C">
              <w:rPr>
                <w:vertAlign w:val="superscript"/>
              </w:rPr>
              <w:t>(</w:t>
            </w:r>
            <w:r>
              <w:rPr>
                <w:vertAlign w:val="superscript"/>
              </w:rPr>
              <w:t>3</w:t>
            </w:r>
            <w:r w:rsidRPr="00BC397C">
              <w:rPr>
                <w:vertAlign w:val="superscript"/>
              </w:rPr>
              <w:t>)</w:t>
            </w:r>
          </w:p>
        </w:tc>
        <w:tc>
          <w:tcPr>
            <w:tcW w:w="1148" w:type="dxa"/>
            <w:shd w:val="clear" w:color="auto" w:fill="auto"/>
            <w:vAlign w:val="center"/>
          </w:tcPr>
          <w:p w14:paraId="4D537BF4" w14:textId="77777777" w:rsidR="00A6120B" w:rsidRPr="00BC397C" w:rsidRDefault="00A6120B" w:rsidP="0081354C">
            <w:pPr>
              <w:pStyle w:val="08-Tabelageral"/>
            </w:pPr>
            <w:r>
              <w:t>(</w:t>
            </w:r>
            <w:r w:rsidRPr="005161A9">
              <w:t>203.959</w:t>
            </w:r>
            <w:r>
              <w:t>)</w:t>
            </w:r>
          </w:p>
        </w:tc>
        <w:tc>
          <w:tcPr>
            <w:tcW w:w="1170" w:type="dxa"/>
            <w:shd w:val="clear" w:color="auto" w:fill="auto"/>
            <w:vAlign w:val="center"/>
          </w:tcPr>
          <w:p w14:paraId="16C72E03" w14:textId="77777777" w:rsidR="00A6120B" w:rsidRPr="00BC397C" w:rsidRDefault="00A6120B" w:rsidP="0081354C">
            <w:pPr>
              <w:pStyle w:val="08-Tabelageral"/>
            </w:pPr>
            <w:r>
              <w:t>--</w:t>
            </w:r>
          </w:p>
        </w:tc>
        <w:tc>
          <w:tcPr>
            <w:tcW w:w="1325" w:type="dxa"/>
            <w:shd w:val="clear" w:color="auto" w:fill="auto"/>
            <w:vAlign w:val="center"/>
          </w:tcPr>
          <w:p w14:paraId="723CF1EB" w14:textId="77777777" w:rsidR="00A6120B" w:rsidRDefault="00A6120B" w:rsidP="0081354C">
            <w:pPr>
              <w:pStyle w:val="08-Tabelageral"/>
            </w:pPr>
            <w:r>
              <w:t>--</w:t>
            </w:r>
          </w:p>
        </w:tc>
        <w:tc>
          <w:tcPr>
            <w:tcW w:w="1323" w:type="dxa"/>
            <w:shd w:val="clear" w:color="auto" w:fill="auto"/>
            <w:vAlign w:val="center"/>
          </w:tcPr>
          <w:p w14:paraId="2719B37E" w14:textId="77777777" w:rsidR="00A6120B" w:rsidRPr="00BC397C" w:rsidRDefault="00A6120B" w:rsidP="0081354C">
            <w:pPr>
              <w:pStyle w:val="08-Tabelageral"/>
              <w:rPr>
                <w:rFonts w:cs="Arial"/>
                <w:szCs w:val="14"/>
              </w:rPr>
            </w:pPr>
            <w:r w:rsidRPr="002E5F94">
              <w:t>(186.105)</w:t>
            </w:r>
          </w:p>
        </w:tc>
        <w:tc>
          <w:tcPr>
            <w:tcW w:w="1112" w:type="dxa"/>
            <w:shd w:val="clear" w:color="auto" w:fill="auto"/>
            <w:vAlign w:val="center"/>
          </w:tcPr>
          <w:p w14:paraId="2007AAA3" w14:textId="77777777" w:rsidR="00A6120B" w:rsidRPr="00BC397C" w:rsidRDefault="00A6120B" w:rsidP="0081354C">
            <w:pPr>
              <w:pStyle w:val="08-Tabelageral"/>
              <w:rPr>
                <w:rFonts w:cs="Arial"/>
                <w:szCs w:val="14"/>
              </w:rPr>
            </w:pPr>
            <w:r w:rsidRPr="002E5F94">
              <w:t>--</w:t>
            </w:r>
          </w:p>
        </w:tc>
        <w:tc>
          <w:tcPr>
            <w:tcW w:w="1230" w:type="dxa"/>
            <w:shd w:val="clear" w:color="auto" w:fill="auto"/>
            <w:vAlign w:val="center"/>
          </w:tcPr>
          <w:p w14:paraId="6129FC17" w14:textId="77777777" w:rsidR="00A6120B" w:rsidRDefault="00A6120B" w:rsidP="0081354C">
            <w:pPr>
              <w:pStyle w:val="08-Tabelageral"/>
            </w:pPr>
            <w:r w:rsidRPr="002E5F94">
              <w:t>--</w:t>
            </w:r>
          </w:p>
        </w:tc>
      </w:tr>
      <w:tr w:rsidR="00A6120B" w:rsidRPr="00BC397C" w14:paraId="0F6744A9" w14:textId="77777777" w:rsidTr="0081354C">
        <w:trPr>
          <w:trHeight w:val="238"/>
          <w:jc w:val="center"/>
        </w:trPr>
        <w:tc>
          <w:tcPr>
            <w:tcW w:w="2438" w:type="dxa"/>
            <w:gridSpan w:val="2"/>
            <w:shd w:val="clear" w:color="auto" w:fill="auto"/>
            <w:vAlign w:val="center"/>
          </w:tcPr>
          <w:p w14:paraId="2A616FC8" w14:textId="77777777" w:rsidR="00A6120B" w:rsidRPr="00BC397C" w:rsidRDefault="00A6120B" w:rsidP="00CD3BCB">
            <w:pPr>
              <w:pStyle w:val="08-Tabelageral"/>
              <w:jc w:val="left"/>
            </w:pPr>
            <w:r w:rsidRPr="00BC397C">
              <w:t>Variações monetárias passivas</w:t>
            </w:r>
          </w:p>
        </w:tc>
        <w:tc>
          <w:tcPr>
            <w:tcW w:w="1148" w:type="dxa"/>
            <w:shd w:val="clear" w:color="auto" w:fill="auto"/>
            <w:vAlign w:val="center"/>
          </w:tcPr>
          <w:p w14:paraId="770A25CB" w14:textId="77777777" w:rsidR="00A6120B" w:rsidRPr="00BC397C" w:rsidRDefault="00A6120B" w:rsidP="0081354C">
            <w:pPr>
              <w:pStyle w:val="08-Tabelageral"/>
            </w:pPr>
            <w:r>
              <w:t>(1.738)</w:t>
            </w:r>
          </w:p>
        </w:tc>
        <w:tc>
          <w:tcPr>
            <w:tcW w:w="1170" w:type="dxa"/>
            <w:shd w:val="clear" w:color="auto" w:fill="auto"/>
            <w:vAlign w:val="center"/>
          </w:tcPr>
          <w:p w14:paraId="5B58CA4A" w14:textId="77777777" w:rsidR="00A6120B" w:rsidRPr="00BC397C" w:rsidRDefault="00A6120B" w:rsidP="0081354C">
            <w:pPr>
              <w:pStyle w:val="08-Tabelageral"/>
            </w:pPr>
            <w:r>
              <w:t>--</w:t>
            </w:r>
          </w:p>
        </w:tc>
        <w:tc>
          <w:tcPr>
            <w:tcW w:w="1325" w:type="dxa"/>
            <w:shd w:val="clear" w:color="auto" w:fill="auto"/>
            <w:vAlign w:val="center"/>
          </w:tcPr>
          <w:p w14:paraId="7855684C" w14:textId="77777777" w:rsidR="00A6120B" w:rsidRDefault="00A6120B" w:rsidP="0081354C">
            <w:pPr>
              <w:pStyle w:val="08-Tabelageral"/>
            </w:pPr>
            <w:r>
              <w:t>--</w:t>
            </w:r>
          </w:p>
        </w:tc>
        <w:tc>
          <w:tcPr>
            <w:tcW w:w="1323" w:type="dxa"/>
            <w:shd w:val="clear" w:color="auto" w:fill="auto"/>
            <w:vAlign w:val="center"/>
          </w:tcPr>
          <w:p w14:paraId="7F8F2FA1" w14:textId="77777777" w:rsidR="00A6120B" w:rsidRPr="00BC397C" w:rsidRDefault="00A6120B" w:rsidP="0081354C">
            <w:pPr>
              <w:pStyle w:val="08-Tabelageral"/>
              <w:rPr>
                <w:rFonts w:cs="Arial"/>
                <w:szCs w:val="14"/>
              </w:rPr>
            </w:pPr>
            <w:r w:rsidRPr="002E5F94">
              <w:t>(16.477)</w:t>
            </w:r>
          </w:p>
        </w:tc>
        <w:tc>
          <w:tcPr>
            <w:tcW w:w="1112" w:type="dxa"/>
            <w:shd w:val="clear" w:color="auto" w:fill="auto"/>
            <w:vAlign w:val="center"/>
          </w:tcPr>
          <w:p w14:paraId="332335CA" w14:textId="77777777" w:rsidR="00A6120B" w:rsidRPr="00BC397C" w:rsidRDefault="00A6120B" w:rsidP="0081354C">
            <w:pPr>
              <w:pStyle w:val="08-Tabelageral"/>
              <w:rPr>
                <w:rFonts w:cs="Arial"/>
                <w:szCs w:val="14"/>
              </w:rPr>
            </w:pPr>
            <w:r w:rsidRPr="002E5F94">
              <w:t>--</w:t>
            </w:r>
          </w:p>
        </w:tc>
        <w:tc>
          <w:tcPr>
            <w:tcW w:w="1230" w:type="dxa"/>
            <w:shd w:val="clear" w:color="auto" w:fill="auto"/>
            <w:vAlign w:val="center"/>
          </w:tcPr>
          <w:p w14:paraId="68D35B6D" w14:textId="77777777" w:rsidR="00A6120B" w:rsidRDefault="00A6120B" w:rsidP="0081354C">
            <w:pPr>
              <w:pStyle w:val="08-Tabelageral"/>
            </w:pPr>
            <w:r w:rsidRPr="002E5F94">
              <w:t>--</w:t>
            </w:r>
          </w:p>
        </w:tc>
      </w:tr>
    </w:tbl>
    <w:p w14:paraId="07C1B5A1" w14:textId="77777777" w:rsidR="00A6120B" w:rsidRPr="00C36A31" w:rsidRDefault="00A6120B" w:rsidP="00A6120B">
      <w:pPr>
        <w:pStyle w:val="07-Legenda"/>
        <w:keepNext/>
        <w:numPr>
          <w:ilvl w:val="0"/>
          <w:numId w:val="32"/>
        </w:numPr>
        <w:tabs>
          <w:tab w:val="clear" w:pos="284"/>
          <w:tab w:val="left" w:pos="142"/>
        </w:tabs>
        <w:spacing w:before="0"/>
        <w:ind w:left="284" w:hanging="284"/>
      </w:pPr>
      <w:r w:rsidRPr="00C36A31">
        <w:t>Banco do Brasil S.A.</w:t>
      </w:r>
    </w:p>
    <w:p w14:paraId="2D6197BD" w14:textId="77777777" w:rsidR="00A6120B" w:rsidRPr="00DF3293" w:rsidRDefault="00A6120B" w:rsidP="00A6120B">
      <w:pPr>
        <w:pStyle w:val="07-Legenda"/>
        <w:keepNext/>
        <w:numPr>
          <w:ilvl w:val="0"/>
          <w:numId w:val="32"/>
        </w:numPr>
        <w:tabs>
          <w:tab w:val="clear" w:pos="284"/>
          <w:tab w:val="left" w:pos="142"/>
        </w:tabs>
        <w:spacing w:before="0"/>
        <w:ind w:left="284" w:hanging="284"/>
      </w:pPr>
      <w:r w:rsidRPr="00C36A31">
        <w:t>Empresas relacionadas BB MAPFRE Participações S.A. e suas controladas, Brasilprev Seguros e Previdência S.A., Brasilcap Capitalização S.A</w:t>
      </w:r>
      <w:r>
        <w:t>. e a Brasildental Operadora de Planos Odontológicos S.A</w:t>
      </w:r>
      <w:r w:rsidRPr="00C36A31">
        <w:t>.</w:t>
      </w:r>
    </w:p>
    <w:p w14:paraId="1406F49F" w14:textId="77777777" w:rsidR="00A6120B" w:rsidRDefault="00A6120B" w:rsidP="00A6120B">
      <w:pPr>
        <w:pStyle w:val="07-Legenda"/>
        <w:numPr>
          <w:ilvl w:val="0"/>
          <w:numId w:val="32"/>
        </w:numPr>
        <w:tabs>
          <w:tab w:val="clear" w:pos="284"/>
          <w:tab w:val="left" w:pos="142"/>
        </w:tabs>
        <w:spacing w:before="0"/>
        <w:ind w:left="284" w:hanging="284"/>
      </w:pPr>
      <w:r w:rsidRPr="00C36A31">
        <w:t xml:space="preserve">Refere-se às despesas conforme </w:t>
      </w:r>
      <w:r>
        <w:t>convênio</w:t>
      </w:r>
      <w:r w:rsidRPr="00C36A31">
        <w:t xml:space="preserve">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69E32BC2" w14:textId="77777777" w:rsidR="00A6120B" w:rsidRPr="00971822" w:rsidRDefault="00A6120B" w:rsidP="00A6120B">
      <w:pPr>
        <w:pStyle w:val="03-SubttulodeNota"/>
        <w:numPr>
          <w:ilvl w:val="0"/>
          <w:numId w:val="19"/>
        </w:numPr>
        <w:ind w:left="284" w:hanging="284"/>
        <w:rPr>
          <w:color w:val="1F4E79" w:themeColor="accent1" w:themeShade="80"/>
          <w:sz w:val="18"/>
          <w:szCs w:val="18"/>
        </w:rPr>
      </w:pPr>
      <w:r w:rsidRPr="00971822">
        <w:rPr>
          <w:color w:val="1F4E79" w:themeColor="accent1" w:themeShade="80"/>
          <w:sz w:val="18"/>
          <w:szCs w:val="18"/>
        </w:rPr>
        <w:t>Convênio de Cessão de Funcionários</w:t>
      </w:r>
    </w:p>
    <w:p w14:paraId="4B12B3ED" w14:textId="77777777" w:rsidR="00A6120B" w:rsidRDefault="00A6120B" w:rsidP="000652B0">
      <w:pPr>
        <w:pStyle w:val="05-Textonormal"/>
      </w:pPr>
      <w:r>
        <w:t>Em 15.04.2021 e 27.05.2021 foram assinadas novas versões dos convênios de cessão de funcionários do Banco do Brasil S.A. para a BB Seguridade Participações S.A. para o exercício de funções não estatutárias e estatutárias, respectivamente. A cessão dá-se na forma de disponibilidade sem ônus. O Banco do Brasil S.A. continua processando a folha de pagamento dos funcionários cedidos, mediante ressarcimento mensal pela BB Seguridade de todos os custos correntes.</w:t>
      </w:r>
    </w:p>
    <w:p w14:paraId="278D6E01" w14:textId="77777777" w:rsidR="00A6120B" w:rsidRPr="00971822" w:rsidRDefault="00A6120B" w:rsidP="00A6120B">
      <w:pPr>
        <w:pStyle w:val="03-SubttulodeNota"/>
        <w:keepNext/>
        <w:numPr>
          <w:ilvl w:val="0"/>
          <w:numId w:val="19"/>
        </w:numPr>
        <w:ind w:left="284" w:hanging="284"/>
        <w:rPr>
          <w:color w:val="1F4E79" w:themeColor="accent1" w:themeShade="80"/>
          <w:sz w:val="18"/>
          <w:szCs w:val="18"/>
        </w:rPr>
      </w:pPr>
      <w:r w:rsidRPr="00971822">
        <w:rPr>
          <w:color w:val="1F4E79" w:themeColor="accent1" w:themeShade="80"/>
          <w:sz w:val="18"/>
          <w:szCs w:val="18"/>
        </w:rPr>
        <w:t xml:space="preserve">Remuneração paga a Empregados e Administradores </w:t>
      </w:r>
    </w:p>
    <w:p w14:paraId="77C1ED35" w14:textId="77777777" w:rsidR="00A6120B" w:rsidRDefault="00A6120B" w:rsidP="009B537E">
      <w:pPr>
        <w:pStyle w:val="05-Textonormal"/>
        <w:keepNext/>
        <w:spacing w:before="0" w:line="240" w:lineRule="auto"/>
        <w:rPr>
          <w:rFonts w:cs="Arial"/>
          <w:lang w:eastAsia="zh-CN"/>
        </w:rPr>
      </w:pPr>
      <w:r w:rsidRPr="0063531C">
        <w:rPr>
          <w:rFonts w:cs="Arial"/>
          <w:lang w:eastAsia="zh-CN"/>
        </w:rPr>
        <w:t>Remuneração mensal paga aos funcionários e à Administração d</w:t>
      </w:r>
      <w:r>
        <w:rPr>
          <w:rFonts w:cs="Arial"/>
          <w:lang w:eastAsia="zh-CN"/>
        </w:rPr>
        <w:t>a BB Seguridade S.A.</w:t>
      </w:r>
    </w:p>
    <w:p w14:paraId="65B60A14" w14:textId="77777777" w:rsidR="00A6120B" w:rsidRPr="00A872FC" w:rsidRDefault="00A6120B" w:rsidP="009B537E">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A6120B" w:rsidRPr="00EC49EB" w14:paraId="2A59EF87" w14:textId="77777777" w:rsidTr="00456CD8">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13AD9CFA" w14:textId="77777777" w:rsidR="00A6120B" w:rsidRPr="00EC49EB" w:rsidRDefault="00A6120B" w:rsidP="00257FAD">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066BD207" w14:textId="77777777" w:rsidR="00A6120B" w:rsidRPr="00EC49EB" w:rsidRDefault="00A6120B" w:rsidP="00257FAD">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1651AA6" w14:textId="77777777" w:rsidR="00A6120B" w:rsidRPr="00EC49EB" w:rsidRDefault="00A6120B" w:rsidP="009F2860">
            <w:pPr>
              <w:keepNext/>
              <w:keepLines/>
              <w:spacing w:before="40" w:after="40"/>
              <w:jc w:val="right"/>
              <w:rPr>
                <w:rFonts w:cs="Arial"/>
                <w:b/>
                <w:spacing w:val="-2"/>
                <w:sz w:val="14"/>
                <w:szCs w:val="18"/>
              </w:rPr>
            </w:pPr>
            <w:r>
              <w:rPr>
                <w:rFonts w:cs="Arial"/>
                <w:b/>
                <w:spacing w:val="-2"/>
                <w:sz w:val="14"/>
                <w:szCs w:val="18"/>
              </w:rPr>
              <w:t>31.12.2021</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4EBC56C7" w14:textId="77777777" w:rsidR="00A6120B" w:rsidRPr="00EC49EB" w:rsidRDefault="00A6120B" w:rsidP="00257FAD">
            <w:pPr>
              <w:keepNext/>
              <w:keepLines/>
              <w:spacing w:before="40" w:after="40"/>
              <w:jc w:val="right"/>
              <w:rPr>
                <w:rFonts w:cs="Arial"/>
                <w:b/>
                <w:spacing w:val="-2"/>
                <w:sz w:val="14"/>
                <w:szCs w:val="18"/>
              </w:rPr>
            </w:pPr>
            <w:r>
              <w:rPr>
                <w:rFonts w:cs="Arial"/>
                <w:b/>
                <w:spacing w:val="-2"/>
                <w:sz w:val="14"/>
                <w:szCs w:val="18"/>
              </w:rPr>
              <w:t>31.12.2020</w:t>
            </w:r>
          </w:p>
        </w:tc>
      </w:tr>
      <w:tr w:rsidR="00A6120B" w:rsidRPr="003735AD" w14:paraId="4C165540" w14:textId="77777777" w:rsidTr="00456CD8">
        <w:trPr>
          <w:trHeight w:val="227"/>
          <w:jc w:val="center"/>
        </w:trPr>
        <w:tc>
          <w:tcPr>
            <w:tcW w:w="2986" w:type="dxa"/>
            <w:tcBorders>
              <w:top w:val="single" w:sz="2" w:space="0" w:color="1F4E79" w:themeColor="accent1" w:themeShade="80"/>
            </w:tcBorders>
            <w:shd w:val="clear" w:color="auto" w:fill="auto"/>
          </w:tcPr>
          <w:p w14:paraId="5746E2B6" w14:textId="77777777" w:rsidR="00A6120B" w:rsidRPr="0078045C" w:rsidRDefault="00A6120B" w:rsidP="00A92CAB">
            <w:pPr>
              <w:pStyle w:val="08-Tabelageral"/>
              <w:jc w:val="left"/>
              <w:rPr>
                <w:b/>
              </w:rPr>
            </w:pPr>
            <w:r w:rsidRPr="0078045C">
              <w:t xml:space="preserve">Menor salário </w:t>
            </w:r>
          </w:p>
        </w:tc>
        <w:tc>
          <w:tcPr>
            <w:tcW w:w="604" w:type="dxa"/>
            <w:tcBorders>
              <w:top w:val="single" w:sz="2" w:space="0" w:color="1F4E79" w:themeColor="accent1" w:themeShade="80"/>
            </w:tcBorders>
            <w:shd w:val="clear" w:color="auto" w:fill="auto"/>
          </w:tcPr>
          <w:p w14:paraId="557443B2" w14:textId="77777777" w:rsidR="00A6120B" w:rsidRPr="003735AD" w:rsidRDefault="00A6120B" w:rsidP="00A92CAB">
            <w:pPr>
              <w:pStyle w:val="08-Tabelageral"/>
              <w:rPr>
                <w:b/>
              </w:rPr>
            </w:pPr>
          </w:p>
        </w:tc>
        <w:tc>
          <w:tcPr>
            <w:tcW w:w="1411" w:type="dxa"/>
            <w:tcBorders>
              <w:top w:val="single" w:sz="2" w:space="0" w:color="1F4E79" w:themeColor="accent1" w:themeShade="80"/>
            </w:tcBorders>
            <w:shd w:val="clear" w:color="auto" w:fill="auto"/>
          </w:tcPr>
          <w:p w14:paraId="6855ECDC" w14:textId="77777777" w:rsidR="00A6120B" w:rsidRPr="003735AD" w:rsidRDefault="00A6120B" w:rsidP="00A92CAB">
            <w:pPr>
              <w:pStyle w:val="08-Tabelageral"/>
              <w:rPr>
                <w:b/>
              </w:rPr>
            </w:pPr>
          </w:p>
        </w:tc>
        <w:tc>
          <w:tcPr>
            <w:tcW w:w="1412" w:type="dxa"/>
            <w:tcBorders>
              <w:top w:val="single" w:sz="2" w:space="0" w:color="1F4E79" w:themeColor="accent1" w:themeShade="80"/>
            </w:tcBorders>
            <w:shd w:val="clear" w:color="auto" w:fill="auto"/>
          </w:tcPr>
          <w:p w14:paraId="436CB506" w14:textId="77777777" w:rsidR="00A6120B" w:rsidRPr="003735AD" w:rsidRDefault="00A6120B" w:rsidP="00A92CAB">
            <w:pPr>
              <w:pStyle w:val="08-Tabelageral"/>
              <w:rPr>
                <w:b/>
              </w:rPr>
            </w:pPr>
          </w:p>
        </w:tc>
        <w:tc>
          <w:tcPr>
            <w:tcW w:w="283" w:type="dxa"/>
            <w:tcBorders>
              <w:top w:val="single" w:sz="2" w:space="0" w:color="1F4E79" w:themeColor="accent1" w:themeShade="80"/>
            </w:tcBorders>
            <w:shd w:val="clear" w:color="auto" w:fill="auto"/>
          </w:tcPr>
          <w:p w14:paraId="3C697FBF" w14:textId="77777777" w:rsidR="00A6120B" w:rsidRPr="003735AD" w:rsidRDefault="00A6120B" w:rsidP="00A92CAB">
            <w:pPr>
              <w:pStyle w:val="08-Tabelageral"/>
              <w:rPr>
                <w:b/>
              </w:rPr>
            </w:pPr>
          </w:p>
        </w:tc>
        <w:tc>
          <w:tcPr>
            <w:tcW w:w="1417" w:type="dxa"/>
            <w:tcBorders>
              <w:top w:val="single" w:sz="2" w:space="0" w:color="8EAADB" w:themeColor="accent5" w:themeTint="99"/>
            </w:tcBorders>
            <w:shd w:val="clear" w:color="auto" w:fill="auto"/>
            <w:vAlign w:val="center"/>
          </w:tcPr>
          <w:p w14:paraId="365690B0" w14:textId="77777777" w:rsidR="00A6120B" w:rsidRPr="0077047F" w:rsidRDefault="00A6120B" w:rsidP="00A92CAB">
            <w:pPr>
              <w:pStyle w:val="08-Tabelageral"/>
            </w:pPr>
            <w:r>
              <w:t>7.149,77</w:t>
            </w:r>
          </w:p>
        </w:tc>
        <w:tc>
          <w:tcPr>
            <w:tcW w:w="1526" w:type="dxa"/>
            <w:tcBorders>
              <w:top w:val="single" w:sz="2" w:space="0" w:color="1F4E79" w:themeColor="accent1" w:themeShade="80"/>
            </w:tcBorders>
            <w:shd w:val="clear" w:color="auto" w:fill="auto"/>
          </w:tcPr>
          <w:p w14:paraId="31F982A9" w14:textId="77777777" w:rsidR="00A6120B" w:rsidRPr="00C75209" w:rsidRDefault="00A6120B" w:rsidP="00A92CAB">
            <w:pPr>
              <w:pStyle w:val="08-Tabelageral"/>
            </w:pPr>
            <w:r w:rsidRPr="00483F0F">
              <w:t>7.378,28</w:t>
            </w:r>
          </w:p>
        </w:tc>
      </w:tr>
      <w:tr w:rsidR="00A6120B" w:rsidRPr="0049410B" w14:paraId="0000E1AF" w14:textId="77777777" w:rsidTr="00456CD8">
        <w:trPr>
          <w:trHeight w:val="227"/>
          <w:jc w:val="center"/>
        </w:trPr>
        <w:tc>
          <w:tcPr>
            <w:tcW w:w="2986" w:type="dxa"/>
            <w:shd w:val="clear" w:color="auto" w:fill="auto"/>
          </w:tcPr>
          <w:p w14:paraId="0FD15983" w14:textId="77777777" w:rsidR="00A6120B" w:rsidRPr="0078045C" w:rsidRDefault="00A6120B" w:rsidP="00A92CAB">
            <w:pPr>
              <w:pStyle w:val="08-Tabelageral"/>
              <w:jc w:val="left"/>
              <w:rPr>
                <w:b/>
              </w:rPr>
            </w:pPr>
            <w:r w:rsidRPr="0078045C">
              <w:t>Maior salário</w:t>
            </w:r>
          </w:p>
        </w:tc>
        <w:tc>
          <w:tcPr>
            <w:tcW w:w="604" w:type="dxa"/>
            <w:shd w:val="clear" w:color="auto" w:fill="auto"/>
          </w:tcPr>
          <w:p w14:paraId="6D63A139" w14:textId="77777777" w:rsidR="00A6120B" w:rsidRPr="0049410B" w:rsidRDefault="00A6120B" w:rsidP="00A92CAB">
            <w:pPr>
              <w:pStyle w:val="08-Tabelageral"/>
            </w:pPr>
          </w:p>
        </w:tc>
        <w:tc>
          <w:tcPr>
            <w:tcW w:w="1411" w:type="dxa"/>
            <w:shd w:val="clear" w:color="auto" w:fill="auto"/>
          </w:tcPr>
          <w:p w14:paraId="222CEF1C" w14:textId="77777777" w:rsidR="00A6120B" w:rsidRPr="00110D6B" w:rsidRDefault="00A6120B" w:rsidP="00A92CAB">
            <w:pPr>
              <w:pStyle w:val="08-Tabelageral"/>
            </w:pPr>
          </w:p>
        </w:tc>
        <w:tc>
          <w:tcPr>
            <w:tcW w:w="1412" w:type="dxa"/>
            <w:shd w:val="clear" w:color="auto" w:fill="auto"/>
          </w:tcPr>
          <w:p w14:paraId="30DDD220" w14:textId="77777777" w:rsidR="00A6120B" w:rsidRPr="00BB5EF7" w:rsidRDefault="00A6120B" w:rsidP="00A92CAB">
            <w:pPr>
              <w:pStyle w:val="08-Tabelageral"/>
            </w:pPr>
          </w:p>
        </w:tc>
        <w:tc>
          <w:tcPr>
            <w:tcW w:w="283" w:type="dxa"/>
            <w:shd w:val="clear" w:color="auto" w:fill="auto"/>
          </w:tcPr>
          <w:p w14:paraId="48D2DE01" w14:textId="77777777" w:rsidR="00A6120B" w:rsidRPr="0049410B" w:rsidRDefault="00A6120B" w:rsidP="00A92CAB">
            <w:pPr>
              <w:pStyle w:val="08-Tabelageral"/>
            </w:pPr>
          </w:p>
        </w:tc>
        <w:tc>
          <w:tcPr>
            <w:tcW w:w="1417" w:type="dxa"/>
            <w:shd w:val="clear" w:color="auto" w:fill="auto"/>
            <w:vAlign w:val="center"/>
          </w:tcPr>
          <w:p w14:paraId="5C9BB809" w14:textId="77777777" w:rsidR="00A6120B" w:rsidRPr="0077047F" w:rsidRDefault="00A6120B" w:rsidP="00A92CAB">
            <w:pPr>
              <w:pStyle w:val="08-Tabelageral"/>
            </w:pPr>
            <w:r>
              <w:t>42.722,42</w:t>
            </w:r>
          </w:p>
        </w:tc>
        <w:tc>
          <w:tcPr>
            <w:tcW w:w="1526" w:type="dxa"/>
            <w:shd w:val="clear" w:color="auto" w:fill="auto"/>
          </w:tcPr>
          <w:p w14:paraId="5CF00BC8" w14:textId="77777777" w:rsidR="00A6120B" w:rsidRPr="00C75209" w:rsidRDefault="00A6120B" w:rsidP="00A92CAB">
            <w:pPr>
              <w:pStyle w:val="08-Tabelageral"/>
            </w:pPr>
            <w:r w:rsidRPr="00483F0F">
              <w:t>38.499,07</w:t>
            </w:r>
          </w:p>
        </w:tc>
      </w:tr>
      <w:tr w:rsidR="00A6120B" w:rsidRPr="0049410B" w14:paraId="6D5D8848" w14:textId="77777777" w:rsidTr="00456CD8">
        <w:trPr>
          <w:trHeight w:val="227"/>
          <w:jc w:val="center"/>
        </w:trPr>
        <w:tc>
          <w:tcPr>
            <w:tcW w:w="2986" w:type="dxa"/>
            <w:shd w:val="clear" w:color="auto" w:fill="auto"/>
          </w:tcPr>
          <w:p w14:paraId="3CDEAAE0" w14:textId="77777777" w:rsidR="00A6120B" w:rsidRPr="0078045C" w:rsidRDefault="00A6120B" w:rsidP="00A92CAB">
            <w:pPr>
              <w:pStyle w:val="08-Tabelageral"/>
              <w:jc w:val="left"/>
              <w:rPr>
                <w:b/>
              </w:rPr>
            </w:pPr>
            <w:r w:rsidRPr="0078045C">
              <w:t>Salário médio</w:t>
            </w:r>
          </w:p>
        </w:tc>
        <w:tc>
          <w:tcPr>
            <w:tcW w:w="604" w:type="dxa"/>
            <w:shd w:val="clear" w:color="auto" w:fill="auto"/>
          </w:tcPr>
          <w:p w14:paraId="454E24F9" w14:textId="77777777" w:rsidR="00A6120B" w:rsidRPr="0049410B" w:rsidRDefault="00A6120B" w:rsidP="00A92CAB">
            <w:pPr>
              <w:pStyle w:val="08-Tabelageral"/>
            </w:pPr>
          </w:p>
        </w:tc>
        <w:tc>
          <w:tcPr>
            <w:tcW w:w="1411" w:type="dxa"/>
            <w:shd w:val="clear" w:color="auto" w:fill="auto"/>
          </w:tcPr>
          <w:p w14:paraId="61ED44AA" w14:textId="77777777" w:rsidR="00A6120B" w:rsidRPr="00110D6B" w:rsidRDefault="00A6120B" w:rsidP="00A92CAB">
            <w:pPr>
              <w:pStyle w:val="08-Tabelageral"/>
            </w:pPr>
          </w:p>
        </w:tc>
        <w:tc>
          <w:tcPr>
            <w:tcW w:w="1412" w:type="dxa"/>
            <w:shd w:val="clear" w:color="auto" w:fill="auto"/>
          </w:tcPr>
          <w:p w14:paraId="66701049" w14:textId="77777777" w:rsidR="00A6120B" w:rsidRPr="00BB5EF7" w:rsidRDefault="00A6120B" w:rsidP="00A92CAB">
            <w:pPr>
              <w:pStyle w:val="08-Tabelageral"/>
            </w:pPr>
          </w:p>
        </w:tc>
        <w:tc>
          <w:tcPr>
            <w:tcW w:w="283" w:type="dxa"/>
            <w:shd w:val="clear" w:color="auto" w:fill="auto"/>
          </w:tcPr>
          <w:p w14:paraId="742DBB40" w14:textId="77777777" w:rsidR="00A6120B" w:rsidRPr="0049410B" w:rsidRDefault="00A6120B" w:rsidP="00A92CAB">
            <w:pPr>
              <w:pStyle w:val="08-Tabelageral"/>
            </w:pPr>
          </w:p>
        </w:tc>
        <w:tc>
          <w:tcPr>
            <w:tcW w:w="1417" w:type="dxa"/>
            <w:shd w:val="clear" w:color="auto" w:fill="auto"/>
            <w:vAlign w:val="center"/>
          </w:tcPr>
          <w:p w14:paraId="19757453" w14:textId="77777777" w:rsidR="00A6120B" w:rsidRPr="0077047F" w:rsidRDefault="00A6120B" w:rsidP="00A92CAB">
            <w:pPr>
              <w:pStyle w:val="08-Tabelageral"/>
            </w:pPr>
            <w:r>
              <w:t>17.104,87</w:t>
            </w:r>
          </w:p>
        </w:tc>
        <w:tc>
          <w:tcPr>
            <w:tcW w:w="1526" w:type="dxa"/>
            <w:shd w:val="clear" w:color="auto" w:fill="auto"/>
          </w:tcPr>
          <w:p w14:paraId="49FC412F" w14:textId="77777777" w:rsidR="00A6120B" w:rsidRPr="00C75209" w:rsidRDefault="00A6120B" w:rsidP="00A92CAB">
            <w:pPr>
              <w:pStyle w:val="08-Tabelageral"/>
            </w:pPr>
            <w:r w:rsidRPr="00483F0F">
              <w:t>15.252,91</w:t>
            </w:r>
          </w:p>
        </w:tc>
      </w:tr>
      <w:tr w:rsidR="00A6120B" w:rsidRPr="0049410B" w14:paraId="2DBDF58F" w14:textId="77777777" w:rsidTr="00456CD8">
        <w:trPr>
          <w:trHeight w:val="227"/>
          <w:jc w:val="center"/>
        </w:trPr>
        <w:tc>
          <w:tcPr>
            <w:tcW w:w="2986" w:type="dxa"/>
            <w:shd w:val="clear" w:color="auto" w:fill="auto"/>
          </w:tcPr>
          <w:p w14:paraId="384214B0" w14:textId="77777777" w:rsidR="00A6120B" w:rsidRPr="0078045C" w:rsidRDefault="00A6120B" w:rsidP="00A92CAB">
            <w:pPr>
              <w:pStyle w:val="08-Tabelageral"/>
              <w:jc w:val="left"/>
              <w:rPr>
                <w:b/>
              </w:rPr>
            </w:pPr>
          </w:p>
        </w:tc>
        <w:tc>
          <w:tcPr>
            <w:tcW w:w="604" w:type="dxa"/>
            <w:shd w:val="clear" w:color="auto" w:fill="auto"/>
          </w:tcPr>
          <w:p w14:paraId="5A207861" w14:textId="77777777" w:rsidR="00A6120B" w:rsidRPr="0049410B" w:rsidRDefault="00A6120B" w:rsidP="00A92CAB">
            <w:pPr>
              <w:pStyle w:val="08-Tabelageral"/>
            </w:pPr>
          </w:p>
        </w:tc>
        <w:tc>
          <w:tcPr>
            <w:tcW w:w="1411" w:type="dxa"/>
            <w:shd w:val="clear" w:color="auto" w:fill="auto"/>
          </w:tcPr>
          <w:p w14:paraId="2AB71647" w14:textId="77777777" w:rsidR="00A6120B" w:rsidRPr="00110D6B" w:rsidRDefault="00A6120B" w:rsidP="00A92CAB">
            <w:pPr>
              <w:pStyle w:val="08-Tabelageral"/>
            </w:pPr>
          </w:p>
        </w:tc>
        <w:tc>
          <w:tcPr>
            <w:tcW w:w="1412" w:type="dxa"/>
            <w:shd w:val="clear" w:color="auto" w:fill="auto"/>
          </w:tcPr>
          <w:p w14:paraId="4CDE70FE" w14:textId="77777777" w:rsidR="00A6120B" w:rsidRPr="00BB5EF7" w:rsidRDefault="00A6120B" w:rsidP="00A92CAB">
            <w:pPr>
              <w:pStyle w:val="08-Tabelageral"/>
            </w:pPr>
          </w:p>
        </w:tc>
        <w:tc>
          <w:tcPr>
            <w:tcW w:w="283" w:type="dxa"/>
            <w:shd w:val="clear" w:color="auto" w:fill="auto"/>
          </w:tcPr>
          <w:p w14:paraId="0CA199E4" w14:textId="77777777" w:rsidR="00A6120B" w:rsidRPr="0049410B" w:rsidRDefault="00A6120B" w:rsidP="00A92CAB">
            <w:pPr>
              <w:pStyle w:val="08-Tabelageral"/>
            </w:pPr>
          </w:p>
        </w:tc>
        <w:tc>
          <w:tcPr>
            <w:tcW w:w="1417" w:type="dxa"/>
            <w:shd w:val="clear" w:color="auto" w:fill="auto"/>
            <w:vAlign w:val="center"/>
          </w:tcPr>
          <w:p w14:paraId="2E997C99" w14:textId="77777777" w:rsidR="00A6120B" w:rsidRPr="0077047F" w:rsidRDefault="00A6120B" w:rsidP="00A92CAB">
            <w:pPr>
              <w:pStyle w:val="08-Tabelageral"/>
            </w:pPr>
          </w:p>
        </w:tc>
        <w:tc>
          <w:tcPr>
            <w:tcW w:w="1526" w:type="dxa"/>
            <w:shd w:val="clear" w:color="auto" w:fill="auto"/>
          </w:tcPr>
          <w:p w14:paraId="514DB8F8" w14:textId="77777777" w:rsidR="00A6120B" w:rsidRPr="00C75209" w:rsidRDefault="00A6120B" w:rsidP="00A92CAB">
            <w:pPr>
              <w:pStyle w:val="08-Tabelageral"/>
            </w:pPr>
          </w:p>
        </w:tc>
      </w:tr>
      <w:tr w:rsidR="00A6120B" w:rsidRPr="00257FAD" w14:paraId="298EE6E3" w14:textId="77777777" w:rsidTr="00456CD8">
        <w:trPr>
          <w:trHeight w:val="227"/>
          <w:jc w:val="center"/>
        </w:trPr>
        <w:tc>
          <w:tcPr>
            <w:tcW w:w="2986" w:type="dxa"/>
            <w:shd w:val="clear" w:color="auto" w:fill="auto"/>
          </w:tcPr>
          <w:p w14:paraId="6B824544" w14:textId="77777777" w:rsidR="00A6120B" w:rsidRPr="00257FAD" w:rsidRDefault="00A6120B" w:rsidP="00A92CAB">
            <w:pPr>
              <w:pStyle w:val="08-Tabelageral"/>
              <w:jc w:val="left"/>
              <w:rPr>
                <w:b/>
              </w:rPr>
            </w:pPr>
            <w:r w:rsidRPr="00257FAD">
              <w:rPr>
                <w:b/>
              </w:rPr>
              <w:t xml:space="preserve">Dirigentes </w:t>
            </w:r>
          </w:p>
        </w:tc>
        <w:tc>
          <w:tcPr>
            <w:tcW w:w="604" w:type="dxa"/>
            <w:shd w:val="clear" w:color="auto" w:fill="auto"/>
          </w:tcPr>
          <w:p w14:paraId="7FA82521" w14:textId="77777777" w:rsidR="00A6120B" w:rsidRPr="00257FAD" w:rsidRDefault="00A6120B" w:rsidP="00A92CAB">
            <w:pPr>
              <w:pStyle w:val="08-Tabelageral"/>
              <w:rPr>
                <w:b/>
              </w:rPr>
            </w:pPr>
          </w:p>
        </w:tc>
        <w:tc>
          <w:tcPr>
            <w:tcW w:w="1411" w:type="dxa"/>
            <w:shd w:val="clear" w:color="auto" w:fill="auto"/>
          </w:tcPr>
          <w:p w14:paraId="70A564B0" w14:textId="77777777" w:rsidR="00A6120B" w:rsidRPr="00257FAD" w:rsidRDefault="00A6120B" w:rsidP="00A92CAB">
            <w:pPr>
              <w:pStyle w:val="08-Tabelageral"/>
              <w:rPr>
                <w:b/>
              </w:rPr>
            </w:pPr>
          </w:p>
        </w:tc>
        <w:tc>
          <w:tcPr>
            <w:tcW w:w="1412" w:type="dxa"/>
            <w:shd w:val="clear" w:color="auto" w:fill="auto"/>
          </w:tcPr>
          <w:p w14:paraId="14149DF7" w14:textId="77777777" w:rsidR="00A6120B" w:rsidRPr="00257FAD" w:rsidRDefault="00A6120B" w:rsidP="00A92CAB">
            <w:pPr>
              <w:pStyle w:val="08-Tabelageral"/>
              <w:rPr>
                <w:b/>
              </w:rPr>
            </w:pPr>
          </w:p>
        </w:tc>
        <w:tc>
          <w:tcPr>
            <w:tcW w:w="283" w:type="dxa"/>
            <w:shd w:val="clear" w:color="auto" w:fill="auto"/>
          </w:tcPr>
          <w:p w14:paraId="75FCC11A" w14:textId="77777777" w:rsidR="00A6120B" w:rsidRPr="00257FAD" w:rsidRDefault="00A6120B" w:rsidP="00A92CAB">
            <w:pPr>
              <w:pStyle w:val="08-Tabelageral"/>
              <w:rPr>
                <w:b/>
              </w:rPr>
            </w:pPr>
          </w:p>
        </w:tc>
        <w:tc>
          <w:tcPr>
            <w:tcW w:w="1417" w:type="dxa"/>
            <w:shd w:val="clear" w:color="auto" w:fill="auto"/>
            <w:vAlign w:val="center"/>
          </w:tcPr>
          <w:p w14:paraId="7C89015F" w14:textId="77777777" w:rsidR="00A6120B" w:rsidRPr="00257FAD" w:rsidRDefault="00A6120B" w:rsidP="00A92CAB">
            <w:pPr>
              <w:pStyle w:val="08-Tabelageral"/>
              <w:rPr>
                <w:b/>
              </w:rPr>
            </w:pPr>
          </w:p>
        </w:tc>
        <w:tc>
          <w:tcPr>
            <w:tcW w:w="1526" w:type="dxa"/>
            <w:shd w:val="clear" w:color="auto" w:fill="auto"/>
          </w:tcPr>
          <w:p w14:paraId="2F068E54" w14:textId="77777777" w:rsidR="00A6120B" w:rsidRPr="00257FAD" w:rsidRDefault="00A6120B" w:rsidP="00A92CAB">
            <w:pPr>
              <w:pStyle w:val="08-Tabelageral"/>
              <w:rPr>
                <w:b/>
              </w:rPr>
            </w:pPr>
          </w:p>
        </w:tc>
      </w:tr>
      <w:tr w:rsidR="00A6120B" w:rsidRPr="0049410B" w14:paraId="03E0D8C6" w14:textId="77777777" w:rsidTr="002B4E4E">
        <w:trPr>
          <w:trHeight w:val="227"/>
          <w:jc w:val="center"/>
        </w:trPr>
        <w:tc>
          <w:tcPr>
            <w:tcW w:w="2986" w:type="dxa"/>
            <w:shd w:val="clear" w:color="auto" w:fill="auto"/>
          </w:tcPr>
          <w:p w14:paraId="6A3C590C" w14:textId="77777777" w:rsidR="00A6120B" w:rsidRPr="0078045C" w:rsidRDefault="00A6120B" w:rsidP="00A92CAB">
            <w:pPr>
              <w:pStyle w:val="08-Tabelageral"/>
              <w:jc w:val="left"/>
              <w:rPr>
                <w:b/>
              </w:rPr>
            </w:pPr>
            <w:r w:rsidRPr="0078045C">
              <w:t>Diretor Presidente</w:t>
            </w:r>
          </w:p>
        </w:tc>
        <w:tc>
          <w:tcPr>
            <w:tcW w:w="604" w:type="dxa"/>
            <w:shd w:val="clear" w:color="auto" w:fill="auto"/>
          </w:tcPr>
          <w:p w14:paraId="2830FF3F" w14:textId="77777777" w:rsidR="00A6120B" w:rsidRPr="0049410B" w:rsidRDefault="00A6120B" w:rsidP="00A92CAB">
            <w:pPr>
              <w:pStyle w:val="08-Tabelageral"/>
            </w:pPr>
          </w:p>
        </w:tc>
        <w:tc>
          <w:tcPr>
            <w:tcW w:w="1411" w:type="dxa"/>
            <w:shd w:val="clear" w:color="auto" w:fill="auto"/>
          </w:tcPr>
          <w:p w14:paraId="7ABCDE36" w14:textId="77777777" w:rsidR="00A6120B" w:rsidRPr="00110D6B" w:rsidRDefault="00A6120B" w:rsidP="00A92CAB">
            <w:pPr>
              <w:pStyle w:val="08-Tabelageral"/>
            </w:pPr>
          </w:p>
        </w:tc>
        <w:tc>
          <w:tcPr>
            <w:tcW w:w="1412" w:type="dxa"/>
            <w:shd w:val="clear" w:color="auto" w:fill="auto"/>
          </w:tcPr>
          <w:p w14:paraId="3AA5C503" w14:textId="77777777" w:rsidR="00A6120B" w:rsidRPr="00BB5EF7" w:rsidRDefault="00A6120B" w:rsidP="00A92CAB">
            <w:pPr>
              <w:pStyle w:val="08-Tabelageral"/>
            </w:pPr>
          </w:p>
        </w:tc>
        <w:tc>
          <w:tcPr>
            <w:tcW w:w="283" w:type="dxa"/>
            <w:shd w:val="clear" w:color="auto" w:fill="auto"/>
          </w:tcPr>
          <w:p w14:paraId="0483E6A0" w14:textId="77777777" w:rsidR="00A6120B" w:rsidRPr="0049410B" w:rsidRDefault="00A6120B" w:rsidP="00A92CAB">
            <w:pPr>
              <w:pStyle w:val="08-Tabelageral"/>
            </w:pPr>
          </w:p>
        </w:tc>
        <w:tc>
          <w:tcPr>
            <w:tcW w:w="1417" w:type="dxa"/>
            <w:shd w:val="clear" w:color="auto" w:fill="auto"/>
          </w:tcPr>
          <w:p w14:paraId="53333621" w14:textId="77777777" w:rsidR="00A6120B" w:rsidRPr="0077047F" w:rsidRDefault="00A6120B" w:rsidP="00A92CAB">
            <w:pPr>
              <w:pStyle w:val="08-Tabelageral"/>
            </w:pPr>
            <w:r w:rsidRPr="00483F0F">
              <w:t>61.564,83</w:t>
            </w:r>
          </w:p>
        </w:tc>
        <w:tc>
          <w:tcPr>
            <w:tcW w:w="1526" w:type="dxa"/>
            <w:shd w:val="clear" w:color="auto" w:fill="auto"/>
          </w:tcPr>
          <w:p w14:paraId="6EB07E0E" w14:textId="77777777" w:rsidR="00A6120B" w:rsidRPr="00C75209" w:rsidRDefault="00A6120B" w:rsidP="00A92CAB">
            <w:pPr>
              <w:pStyle w:val="08-Tabelageral"/>
            </w:pPr>
            <w:r w:rsidRPr="00483F0F">
              <w:t>61.564,83</w:t>
            </w:r>
          </w:p>
        </w:tc>
      </w:tr>
      <w:tr w:rsidR="00A6120B" w:rsidRPr="0049410B" w14:paraId="7764CD68" w14:textId="77777777" w:rsidTr="002B4E4E">
        <w:trPr>
          <w:trHeight w:val="227"/>
          <w:jc w:val="center"/>
        </w:trPr>
        <w:tc>
          <w:tcPr>
            <w:tcW w:w="2986" w:type="dxa"/>
            <w:shd w:val="clear" w:color="auto" w:fill="auto"/>
          </w:tcPr>
          <w:p w14:paraId="63E8D6CE" w14:textId="77777777" w:rsidR="00A6120B" w:rsidRPr="0078045C" w:rsidRDefault="00A6120B" w:rsidP="00A92CAB">
            <w:pPr>
              <w:pStyle w:val="08-Tabelageral"/>
              <w:jc w:val="left"/>
              <w:rPr>
                <w:b/>
              </w:rPr>
            </w:pPr>
            <w:r w:rsidRPr="0078045C">
              <w:t>Diretores</w:t>
            </w:r>
          </w:p>
        </w:tc>
        <w:tc>
          <w:tcPr>
            <w:tcW w:w="604" w:type="dxa"/>
            <w:shd w:val="clear" w:color="auto" w:fill="auto"/>
          </w:tcPr>
          <w:p w14:paraId="7685837C" w14:textId="77777777" w:rsidR="00A6120B" w:rsidRPr="0049410B" w:rsidRDefault="00A6120B" w:rsidP="00A92CAB">
            <w:pPr>
              <w:pStyle w:val="08-Tabelageral"/>
            </w:pPr>
          </w:p>
        </w:tc>
        <w:tc>
          <w:tcPr>
            <w:tcW w:w="1411" w:type="dxa"/>
            <w:shd w:val="clear" w:color="auto" w:fill="auto"/>
          </w:tcPr>
          <w:p w14:paraId="7B122667" w14:textId="77777777" w:rsidR="00A6120B" w:rsidRPr="00110D6B" w:rsidRDefault="00A6120B" w:rsidP="00A92CAB">
            <w:pPr>
              <w:pStyle w:val="08-Tabelageral"/>
            </w:pPr>
          </w:p>
        </w:tc>
        <w:tc>
          <w:tcPr>
            <w:tcW w:w="1412" w:type="dxa"/>
            <w:shd w:val="clear" w:color="auto" w:fill="auto"/>
          </w:tcPr>
          <w:p w14:paraId="02582F17" w14:textId="77777777" w:rsidR="00A6120B" w:rsidRPr="00BB5EF7" w:rsidRDefault="00A6120B" w:rsidP="00A92CAB">
            <w:pPr>
              <w:pStyle w:val="08-Tabelageral"/>
            </w:pPr>
          </w:p>
        </w:tc>
        <w:tc>
          <w:tcPr>
            <w:tcW w:w="283" w:type="dxa"/>
            <w:shd w:val="clear" w:color="auto" w:fill="auto"/>
          </w:tcPr>
          <w:p w14:paraId="0C13279A" w14:textId="77777777" w:rsidR="00A6120B" w:rsidRPr="0049410B" w:rsidRDefault="00A6120B" w:rsidP="00A92CAB">
            <w:pPr>
              <w:pStyle w:val="08-Tabelageral"/>
            </w:pPr>
          </w:p>
        </w:tc>
        <w:tc>
          <w:tcPr>
            <w:tcW w:w="1417" w:type="dxa"/>
            <w:shd w:val="clear" w:color="auto" w:fill="auto"/>
          </w:tcPr>
          <w:p w14:paraId="55E2F2CC" w14:textId="77777777" w:rsidR="00A6120B" w:rsidRPr="0077047F" w:rsidRDefault="00A6120B" w:rsidP="00A92CAB">
            <w:pPr>
              <w:pStyle w:val="08-Tabelageral"/>
            </w:pPr>
            <w:r w:rsidRPr="00483F0F">
              <w:t>52.177,45</w:t>
            </w:r>
          </w:p>
        </w:tc>
        <w:tc>
          <w:tcPr>
            <w:tcW w:w="1526" w:type="dxa"/>
            <w:shd w:val="clear" w:color="auto" w:fill="auto"/>
          </w:tcPr>
          <w:p w14:paraId="7E896140" w14:textId="77777777" w:rsidR="00A6120B" w:rsidRPr="00C75209" w:rsidRDefault="00A6120B" w:rsidP="00A92CAB">
            <w:pPr>
              <w:pStyle w:val="08-Tabelageral"/>
            </w:pPr>
            <w:r w:rsidRPr="00483F0F">
              <w:t>52.177,45</w:t>
            </w:r>
          </w:p>
        </w:tc>
      </w:tr>
      <w:tr w:rsidR="00A6120B" w:rsidRPr="0049410B" w14:paraId="1C78905E" w14:textId="77777777" w:rsidTr="00456CD8">
        <w:trPr>
          <w:trHeight w:val="227"/>
          <w:jc w:val="center"/>
        </w:trPr>
        <w:tc>
          <w:tcPr>
            <w:tcW w:w="2986" w:type="dxa"/>
            <w:shd w:val="clear" w:color="auto" w:fill="auto"/>
          </w:tcPr>
          <w:p w14:paraId="7129040B" w14:textId="77777777" w:rsidR="00A6120B" w:rsidRPr="0078045C" w:rsidRDefault="00A6120B" w:rsidP="00A92CAB">
            <w:pPr>
              <w:pStyle w:val="08-Tabelageral"/>
              <w:jc w:val="left"/>
              <w:rPr>
                <w:b/>
              </w:rPr>
            </w:pPr>
          </w:p>
        </w:tc>
        <w:tc>
          <w:tcPr>
            <w:tcW w:w="604" w:type="dxa"/>
            <w:shd w:val="clear" w:color="auto" w:fill="auto"/>
          </w:tcPr>
          <w:p w14:paraId="4D8CFE2D" w14:textId="77777777" w:rsidR="00A6120B" w:rsidRPr="0049410B" w:rsidRDefault="00A6120B" w:rsidP="00A92CAB">
            <w:pPr>
              <w:pStyle w:val="08-Tabelageral"/>
            </w:pPr>
          </w:p>
        </w:tc>
        <w:tc>
          <w:tcPr>
            <w:tcW w:w="1411" w:type="dxa"/>
            <w:shd w:val="clear" w:color="auto" w:fill="auto"/>
          </w:tcPr>
          <w:p w14:paraId="34FFD8A5" w14:textId="77777777" w:rsidR="00A6120B" w:rsidRPr="00110D6B" w:rsidRDefault="00A6120B" w:rsidP="00A92CAB">
            <w:pPr>
              <w:pStyle w:val="08-Tabelageral"/>
            </w:pPr>
          </w:p>
        </w:tc>
        <w:tc>
          <w:tcPr>
            <w:tcW w:w="1412" w:type="dxa"/>
            <w:shd w:val="clear" w:color="auto" w:fill="auto"/>
          </w:tcPr>
          <w:p w14:paraId="5626F2AE" w14:textId="77777777" w:rsidR="00A6120B" w:rsidRPr="00BB5EF7" w:rsidRDefault="00A6120B" w:rsidP="00A92CAB">
            <w:pPr>
              <w:pStyle w:val="08-Tabelageral"/>
            </w:pPr>
          </w:p>
        </w:tc>
        <w:tc>
          <w:tcPr>
            <w:tcW w:w="283" w:type="dxa"/>
            <w:shd w:val="clear" w:color="auto" w:fill="auto"/>
          </w:tcPr>
          <w:p w14:paraId="2F38D4A7" w14:textId="77777777" w:rsidR="00A6120B" w:rsidRPr="0049410B" w:rsidRDefault="00A6120B" w:rsidP="00A92CAB">
            <w:pPr>
              <w:pStyle w:val="08-Tabelageral"/>
            </w:pPr>
          </w:p>
        </w:tc>
        <w:tc>
          <w:tcPr>
            <w:tcW w:w="1417" w:type="dxa"/>
            <w:shd w:val="clear" w:color="auto" w:fill="auto"/>
            <w:vAlign w:val="center"/>
          </w:tcPr>
          <w:p w14:paraId="3242E389" w14:textId="77777777" w:rsidR="00A6120B" w:rsidRPr="0077047F" w:rsidRDefault="00A6120B" w:rsidP="00A92CAB">
            <w:pPr>
              <w:pStyle w:val="08-Tabelageral"/>
            </w:pPr>
          </w:p>
        </w:tc>
        <w:tc>
          <w:tcPr>
            <w:tcW w:w="1526" w:type="dxa"/>
            <w:shd w:val="clear" w:color="auto" w:fill="auto"/>
          </w:tcPr>
          <w:p w14:paraId="4B1FC294" w14:textId="77777777" w:rsidR="00A6120B" w:rsidRPr="00C75209" w:rsidRDefault="00A6120B" w:rsidP="00A92CAB">
            <w:pPr>
              <w:pStyle w:val="08-Tabelageral"/>
            </w:pPr>
          </w:p>
        </w:tc>
      </w:tr>
      <w:tr w:rsidR="00A6120B" w:rsidRPr="00257FAD" w14:paraId="04D54F1F" w14:textId="77777777" w:rsidTr="00456CD8">
        <w:trPr>
          <w:trHeight w:val="227"/>
          <w:jc w:val="center"/>
        </w:trPr>
        <w:tc>
          <w:tcPr>
            <w:tcW w:w="2986" w:type="dxa"/>
            <w:shd w:val="clear" w:color="auto" w:fill="auto"/>
          </w:tcPr>
          <w:p w14:paraId="58472F81" w14:textId="77777777" w:rsidR="00A6120B" w:rsidRPr="00257FAD" w:rsidRDefault="00A6120B" w:rsidP="00A92CAB">
            <w:pPr>
              <w:pStyle w:val="08-Tabelageral"/>
              <w:jc w:val="left"/>
              <w:rPr>
                <w:b/>
              </w:rPr>
            </w:pPr>
            <w:r w:rsidRPr="00257FAD">
              <w:rPr>
                <w:b/>
              </w:rPr>
              <w:t>Conselheiros</w:t>
            </w:r>
          </w:p>
        </w:tc>
        <w:tc>
          <w:tcPr>
            <w:tcW w:w="604" w:type="dxa"/>
            <w:shd w:val="clear" w:color="auto" w:fill="auto"/>
          </w:tcPr>
          <w:p w14:paraId="3DF63B09" w14:textId="77777777" w:rsidR="00A6120B" w:rsidRPr="00257FAD" w:rsidRDefault="00A6120B" w:rsidP="00A92CAB">
            <w:pPr>
              <w:pStyle w:val="08-Tabelageral"/>
              <w:rPr>
                <w:b/>
              </w:rPr>
            </w:pPr>
          </w:p>
        </w:tc>
        <w:tc>
          <w:tcPr>
            <w:tcW w:w="1411" w:type="dxa"/>
            <w:shd w:val="clear" w:color="auto" w:fill="auto"/>
          </w:tcPr>
          <w:p w14:paraId="2A439393" w14:textId="77777777" w:rsidR="00A6120B" w:rsidRPr="00257FAD" w:rsidRDefault="00A6120B" w:rsidP="00A92CAB">
            <w:pPr>
              <w:pStyle w:val="08-Tabelageral"/>
              <w:rPr>
                <w:b/>
              </w:rPr>
            </w:pPr>
          </w:p>
        </w:tc>
        <w:tc>
          <w:tcPr>
            <w:tcW w:w="1412" w:type="dxa"/>
            <w:shd w:val="clear" w:color="auto" w:fill="auto"/>
          </w:tcPr>
          <w:p w14:paraId="7D8136EE" w14:textId="77777777" w:rsidR="00A6120B" w:rsidRPr="00257FAD" w:rsidRDefault="00A6120B" w:rsidP="00A92CAB">
            <w:pPr>
              <w:pStyle w:val="08-Tabelageral"/>
              <w:rPr>
                <w:b/>
              </w:rPr>
            </w:pPr>
          </w:p>
        </w:tc>
        <w:tc>
          <w:tcPr>
            <w:tcW w:w="283" w:type="dxa"/>
            <w:shd w:val="clear" w:color="auto" w:fill="auto"/>
          </w:tcPr>
          <w:p w14:paraId="61254211" w14:textId="77777777" w:rsidR="00A6120B" w:rsidRPr="00257FAD" w:rsidRDefault="00A6120B" w:rsidP="00A92CAB">
            <w:pPr>
              <w:pStyle w:val="08-Tabelageral"/>
              <w:rPr>
                <w:b/>
              </w:rPr>
            </w:pPr>
          </w:p>
        </w:tc>
        <w:tc>
          <w:tcPr>
            <w:tcW w:w="1417" w:type="dxa"/>
            <w:shd w:val="clear" w:color="auto" w:fill="auto"/>
            <w:vAlign w:val="center"/>
          </w:tcPr>
          <w:p w14:paraId="6D647EE2" w14:textId="77777777" w:rsidR="00A6120B" w:rsidRPr="00257FAD" w:rsidRDefault="00A6120B" w:rsidP="00A92CAB">
            <w:pPr>
              <w:pStyle w:val="08-Tabelageral"/>
              <w:rPr>
                <w:b/>
              </w:rPr>
            </w:pPr>
          </w:p>
        </w:tc>
        <w:tc>
          <w:tcPr>
            <w:tcW w:w="1526" w:type="dxa"/>
            <w:shd w:val="clear" w:color="auto" w:fill="auto"/>
          </w:tcPr>
          <w:p w14:paraId="436495D8" w14:textId="77777777" w:rsidR="00A6120B" w:rsidRPr="00257FAD" w:rsidRDefault="00A6120B" w:rsidP="00A92CAB">
            <w:pPr>
              <w:pStyle w:val="08-Tabelageral"/>
              <w:rPr>
                <w:b/>
              </w:rPr>
            </w:pPr>
          </w:p>
        </w:tc>
      </w:tr>
      <w:tr w:rsidR="00A6120B" w:rsidRPr="0049410B" w14:paraId="27AF829B" w14:textId="77777777" w:rsidTr="002B4E4E">
        <w:trPr>
          <w:trHeight w:val="227"/>
          <w:jc w:val="center"/>
        </w:trPr>
        <w:tc>
          <w:tcPr>
            <w:tcW w:w="2986" w:type="dxa"/>
            <w:shd w:val="clear" w:color="auto" w:fill="auto"/>
          </w:tcPr>
          <w:p w14:paraId="06490EF7" w14:textId="77777777" w:rsidR="00A6120B" w:rsidRPr="0078045C" w:rsidRDefault="00A6120B" w:rsidP="00A92CAB">
            <w:pPr>
              <w:pStyle w:val="08-Tabelageral"/>
              <w:jc w:val="left"/>
              <w:rPr>
                <w:b/>
              </w:rPr>
            </w:pPr>
            <w:r w:rsidRPr="0078045C">
              <w:t>Conselho de Administração</w:t>
            </w:r>
          </w:p>
        </w:tc>
        <w:tc>
          <w:tcPr>
            <w:tcW w:w="604" w:type="dxa"/>
            <w:shd w:val="clear" w:color="auto" w:fill="auto"/>
          </w:tcPr>
          <w:p w14:paraId="3BCFBDC6" w14:textId="77777777" w:rsidR="00A6120B" w:rsidRPr="0049410B" w:rsidRDefault="00A6120B" w:rsidP="00A92CAB">
            <w:pPr>
              <w:pStyle w:val="08-Tabelageral"/>
            </w:pPr>
          </w:p>
        </w:tc>
        <w:tc>
          <w:tcPr>
            <w:tcW w:w="1411" w:type="dxa"/>
            <w:shd w:val="clear" w:color="auto" w:fill="auto"/>
          </w:tcPr>
          <w:p w14:paraId="2BB01692" w14:textId="77777777" w:rsidR="00A6120B" w:rsidRPr="00110D6B" w:rsidRDefault="00A6120B" w:rsidP="00A92CAB">
            <w:pPr>
              <w:pStyle w:val="08-Tabelageral"/>
            </w:pPr>
          </w:p>
        </w:tc>
        <w:tc>
          <w:tcPr>
            <w:tcW w:w="1412" w:type="dxa"/>
            <w:shd w:val="clear" w:color="auto" w:fill="auto"/>
          </w:tcPr>
          <w:p w14:paraId="1D5E9703" w14:textId="77777777" w:rsidR="00A6120B" w:rsidRPr="00BB5EF7" w:rsidRDefault="00A6120B" w:rsidP="00A92CAB">
            <w:pPr>
              <w:pStyle w:val="08-Tabelageral"/>
            </w:pPr>
          </w:p>
        </w:tc>
        <w:tc>
          <w:tcPr>
            <w:tcW w:w="283" w:type="dxa"/>
            <w:shd w:val="clear" w:color="auto" w:fill="auto"/>
          </w:tcPr>
          <w:p w14:paraId="50D41BDD" w14:textId="77777777" w:rsidR="00A6120B" w:rsidRPr="0049410B" w:rsidRDefault="00A6120B" w:rsidP="00A92CAB">
            <w:pPr>
              <w:pStyle w:val="08-Tabelageral"/>
            </w:pPr>
          </w:p>
        </w:tc>
        <w:tc>
          <w:tcPr>
            <w:tcW w:w="1417" w:type="dxa"/>
            <w:shd w:val="clear" w:color="auto" w:fill="auto"/>
          </w:tcPr>
          <w:p w14:paraId="743DDBF4" w14:textId="77777777" w:rsidR="00A6120B" w:rsidRPr="0077047F" w:rsidRDefault="00A6120B" w:rsidP="00A92CAB">
            <w:pPr>
              <w:pStyle w:val="08-Tabelageral"/>
            </w:pPr>
            <w:r w:rsidRPr="00483F0F">
              <w:t>5.906,80</w:t>
            </w:r>
          </w:p>
        </w:tc>
        <w:tc>
          <w:tcPr>
            <w:tcW w:w="1526" w:type="dxa"/>
            <w:shd w:val="clear" w:color="auto" w:fill="auto"/>
          </w:tcPr>
          <w:p w14:paraId="042C0459" w14:textId="77777777" w:rsidR="00A6120B" w:rsidRPr="00C75209" w:rsidRDefault="00A6120B" w:rsidP="00A92CAB">
            <w:pPr>
              <w:pStyle w:val="08-Tabelageral"/>
            </w:pPr>
            <w:r w:rsidRPr="00483F0F">
              <w:t>5.906,80</w:t>
            </w:r>
          </w:p>
        </w:tc>
      </w:tr>
      <w:tr w:rsidR="00A6120B" w:rsidRPr="003735AD" w14:paraId="5E0C4EDF" w14:textId="77777777" w:rsidTr="003715FB">
        <w:trPr>
          <w:trHeight w:val="227"/>
          <w:jc w:val="center"/>
        </w:trPr>
        <w:tc>
          <w:tcPr>
            <w:tcW w:w="2986" w:type="dxa"/>
            <w:tcBorders>
              <w:bottom w:val="nil"/>
            </w:tcBorders>
            <w:shd w:val="clear" w:color="auto" w:fill="auto"/>
          </w:tcPr>
          <w:p w14:paraId="13323799" w14:textId="77777777" w:rsidR="00A6120B" w:rsidRPr="0078045C" w:rsidRDefault="00A6120B" w:rsidP="00A92CAB">
            <w:pPr>
              <w:pStyle w:val="08-Tabelageral"/>
              <w:jc w:val="left"/>
              <w:rPr>
                <w:b/>
              </w:rPr>
            </w:pPr>
            <w:r w:rsidRPr="0078045C">
              <w:t>Conselho Fiscal</w:t>
            </w:r>
          </w:p>
        </w:tc>
        <w:tc>
          <w:tcPr>
            <w:tcW w:w="604" w:type="dxa"/>
            <w:tcBorders>
              <w:bottom w:val="nil"/>
            </w:tcBorders>
            <w:shd w:val="clear" w:color="auto" w:fill="auto"/>
          </w:tcPr>
          <w:p w14:paraId="088BA068" w14:textId="77777777" w:rsidR="00A6120B" w:rsidRPr="003735AD" w:rsidRDefault="00A6120B" w:rsidP="00A92CAB">
            <w:pPr>
              <w:pStyle w:val="08-Tabelageral"/>
              <w:rPr>
                <w:b/>
              </w:rPr>
            </w:pPr>
          </w:p>
        </w:tc>
        <w:tc>
          <w:tcPr>
            <w:tcW w:w="1411" w:type="dxa"/>
            <w:tcBorders>
              <w:bottom w:val="nil"/>
            </w:tcBorders>
            <w:shd w:val="clear" w:color="auto" w:fill="auto"/>
          </w:tcPr>
          <w:p w14:paraId="6F95759E" w14:textId="77777777" w:rsidR="00A6120B" w:rsidRPr="003735AD" w:rsidRDefault="00A6120B" w:rsidP="00A92CAB">
            <w:pPr>
              <w:pStyle w:val="08-Tabelageral"/>
              <w:rPr>
                <w:b/>
              </w:rPr>
            </w:pPr>
          </w:p>
        </w:tc>
        <w:tc>
          <w:tcPr>
            <w:tcW w:w="1412" w:type="dxa"/>
            <w:tcBorders>
              <w:bottom w:val="nil"/>
            </w:tcBorders>
            <w:shd w:val="clear" w:color="auto" w:fill="auto"/>
          </w:tcPr>
          <w:p w14:paraId="53CE254F" w14:textId="77777777" w:rsidR="00A6120B" w:rsidRPr="003735AD" w:rsidRDefault="00A6120B" w:rsidP="00A92CAB">
            <w:pPr>
              <w:pStyle w:val="08-Tabelageral"/>
              <w:rPr>
                <w:b/>
              </w:rPr>
            </w:pPr>
          </w:p>
        </w:tc>
        <w:tc>
          <w:tcPr>
            <w:tcW w:w="283" w:type="dxa"/>
            <w:tcBorders>
              <w:bottom w:val="nil"/>
            </w:tcBorders>
            <w:shd w:val="clear" w:color="auto" w:fill="auto"/>
          </w:tcPr>
          <w:p w14:paraId="267A2BBB" w14:textId="77777777" w:rsidR="00A6120B" w:rsidRPr="003735AD" w:rsidRDefault="00A6120B" w:rsidP="00A92CAB">
            <w:pPr>
              <w:pStyle w:val="08-Tabelageral"/>
              <w:rPr>
                <w:b/>
              </w:rPr>
            </w:pPr>
          </w:p>
        </w:tc>
        <w:tc>
          <w:tcPr>
            <w:tcW w:w="1417" w:type="dxa"/>
            <w:tcBorders>
              <w:bottom w:val="nil"/>
            </w:tcBorders>
            <w:shd w:val="clear" w:color="auto" w:fill="auto"/>
          </w:tcPr>
          <w:p w14:paraId="37EC6B38" w14:textId="77777777" w:rsidR="00A6120B" w:rsidRPr="0077047F" w:rsidRDefault="00A6120B" w:rsidP="00A92CAB">
            <w:pPr>
              <w:pStyle w:val="08-Tabelageral"/>
            </w:pPr>
            <w:r w:rsidRPr="00483F0F">
              <w:t>5.906,80</w:t>
            </w:r>
          </w:p>
        </w:tc>
        <w:tc>
          <w:tcPr>
            <w:tcW w:w="1526" w:type="dxa"/>
            <w:tcBorders>
              <w:bottom w:val="nil"/>
            </w:tcBorders>
            <w:shd w:val="clear" w:color="auto" w:fill="auto"/>
          </w:tcPr>
          <w:p w14:paraId="03DA055C" w14:textId="77777777" w:rsidR="00A6120B" w:rsidRPr="00C75209" w:rsidRDefault="00A6120B" w:rsidP="00A92CAB">
            <w:pPr>
              <w:pStyle w:val="08-Tabelageral"/>
            </w:pPr>
            <w:r w:rsidRPr="00483F0F">
              <w:t>5.906,80</w:t>
            </w:r>
          </w:p>
        </w:tc>
      </w:tr>
      <w:tr w:rsidR="00A6120B" w:rsidRPr="003735AD" w14:paraId="1965EEC8" w14:textId="77777777" w:rsidTr="003715FB">
        <w:trPr>
          <w:trHeight w:val="227"/>
          <w:jc w:val="center"/>
        </w:trPr>
        <w:tc>
          <w:tcPr>
            <w:tcW w:w="2986" w:type="dxa"/>
            <w:tcBorders>
              <w:top w:val="nil"/>
              <w:bottom w:val="single" w:sz="4" w:space="0" w:color="1F4E79" w:themeColor="accent1" w:themeShade="80"/>
            </w:tcBorders>
            <w:shd w:val="clear" w:color="auto" w:fill="auto"/>
          </w:tcPr>
          <w:p w14:paraId="193AA08C" w14:textId="77777777" w:rsidR="00A6120B" w:rsidRPr="0078045C" w:rsidRDefault="00A6120B" w:rsidP="00A92CAB">
            <w:pPr>
              <w:pStyle w:val="08-Tabelageral"/>
              <w:jc w:val="left"/>
              <w:rPr>
                <w:b/>
              </w:rPr>
            </w:pPr>
            <w:r w:rsidRPr="0078045C">
              <w:t>Comitê de Auditoria - Titular</w:t>
            </w:r>
          </w:p>
        </w:tc>
        <w:tc>
          <w:tcPr>
            <w:tcW w:w="604" w:type="dxa"/>
            <w:tcBorders>
              <w:top w:val="nil"/>
              <w:bottom w:val="single" w:sz="4" w:space="0" w:color="1F4E79" w:themeColor="accent1" w:themeShade="80"/>
            </w:tcBorders>
            <w:shd w:val="clear" w:color="auto" w:fill="auto"/>
          </w:tcPr>
          <w:p w14:paraId="792DE509" w14:textId="77777777" w:rsidR="00A6120B" w:rsidRPr="003735AD" w:rsidRDefault="00A6120B" w:rsidP="00A92CAB">
            <w:pPr>
              <w:pStyle w:val="08-Tabelageral"/>
              <w:rPr>
                <w:b/>
                <w:szCs w:val="14"/>
              </w:rPr>
            </w:pPr>
          </w:p>
        </w:tc>
        <w:tc>
          <w:tcPr>
            <w:tcW w:w="1411" w:type="dxa"/>
            <w:tcBorders>
              <w:top w:val="nil"/>
              <w:bottom w:val="single" w:sz="4" w:space="0" w:color="1F4E79" w:themeColor="accent1" w:themeShade="80"/>
            </w:tcBorders>
            <w:shd w:val="clear" w:color="auto" w:fill="auto"/>
          </w:tcPr>
          <w:p w14:paraId="70B883BA" w14:textId="77777777" w:rsidR="00A6120B" w:rsidRPr="003735AD" w:rsidRDefault="00A6120B" w:rsidP="00A92CAB">
            <w:pPr>
              <w:pStyle w:val="08-Tabelageral"/>
              <w:rPr>
                <w:b/>
              </w:rPr>
            </w:pPr>
          </w:p>
        </w:tc>
        <w:tc>
          <w:tcPr>
            <w:tcW w:w="1412" w:type="dxa"/>
            <w:tcBorders>
              <w:top w:val="nil"/>
              <w:bottom w:val="single" w:sz="4" w:space="0" w:color="1F4E79" w:themeColor="accent1" w:themeShade="80"/>
            </w:tcBorders>
            <w:shd w:val="clear" w:color="auto" w:fill="auto"/>
          </w:tcPr>
          <w:p w14:paraId="71A26157" w14:textId="77777777" w:rsidR="00A6120B" w:rsidRPr="003735AD" w:rsidRDefault="00A6120B" w:rsidP="00A92CAB">
            <w:pPr>
              <w:pStyle w:val="08-Tabelageral"/>
              <w:rPr>
                <w:b/>
              </w:rPr>
            </w:pPr>
          </w:p>
        </w:tc>
        <w:tc>
          <w:tcPr>
            <w:tcW w:w="283" w:type="dxa"/>
            <w:tcBorders>
              <w:top w:val="nil"/>
              <w:bottom w:val="single" w:sz="4" w:space="0" w:color="1F4E79" w:themeColor="accent1" w:themeShade="80"/>
            </w:tcBorders>
            <w:shd w:val="clear" w:color="auto" w:fill="auto"/>
          </w:tcPr>
          <w:p w14:paraId="7D7D40A9" w14:textId="77777777" w:rsidR="00A6120B" w:rsidRPr="003735AD" w:rsidRDefault="00A6120B" w:rsidP="00A92CAB">
            <w:pPr>
              <w:pStyle w:val="08-Tabelageral"/>
              <w:rPr>
                <w:b/>
                <w:szCs w:val="14"/>
              </w:rPr>
            </w:pPr>
          </w:p>
        </w:tc>
        <w:tc>
          <w:tcPr>
            <w:tcW w:w="1417" w:type="dxa"/>
            <w:tcBorders>
              <w:top w:val="nil"/>
              <w:bottom w:val="single" w:sz="4" w:space="0" w:color="1F4E79" w:themeColor="accent1" w:themeShade="80"/>
            </w:tcBorders>
            <w:shd w:val="clear" w:color="auto" w:fill="auto"/>
          </w:tcPr>
          <w:p w14:paraId="49268F8D" w14:textId="77777777" w:rsidR="00A6120B" w:rsidRPr="0077047F" w:rsidRDefault="00A6120B" w:rsidP="00A92CAB">
            <w:pPr>
              <w:pStyle w:val="08-Tabelageral"/>
            </w:pPr>
            <w:r w:rsidRPr="00483F0F">
              <w:t>9.8</w:t>
            </w:r>
            <w:r>
              <w:t>70</w:t>
            </w:r>
            <w:r w:rsidRPr="00483F0F">
              <w:t>,</w:t>
            </w:r>
            <w:r>
              <w:t>26</w:t>
            </w:r>
          </w:p>
        </w:tc>
        <w:tc>
          <w:tcPr>
            <w:tcW w:w="1526" w:type="dxa"/>
            <w:tcBorders>
              <w:top w:val="nil"/>
              <w:bottom w:val="single" w:sz="4" w:space="0" w:color="1F4E79" w:themeColor="accent1" w:themeShade="80"/>
            </w:tcBorders>
            <w:shd w:val="clear" w:color="auto" w:fill="auto"/>
          </w:tcPr>
          <w:p w14:paraId="675DED4F" w14:textId="77777777" w:rsidR="00A6120B" w:rsidRDefault="00A6120B" w:rsidP="00A92CAB">
            <w:pPr>
              <w:pStyle w:val="08-Tabelageral"/>
            </w:pPr>
            <w:r w:rsidRPr="00483F0F">
              <w:t>9.868,90</w:t>
            </w:r>
          </w:p>
        </w:tc>
      </w:tr>
      <w:bookmarkEnd w:id="110"/>
    </w:tbl>
    <w:p w14:paraId="76862487" w14:textId="77777777" w:rsidR="00A6120B" w:rsidRDefault="00A6120B" w:rsidP="00ED0DAC">
      <w:pPr>
        <w:pStyle w:val="05-Textonormal2"/>
        <w:spacing w:before="0" w:line="240" w:lineRule="auto"/>
      </w:pPr>
    </w:p>
    <w:p w14:paraId="1A51D6E7" w14:textId="43402939" w:rsidR="00716A4A" w:rsidRDefault="00716A4A" w:rsidP="00A6120B">
      <w:pPr>
        <w:pStyle w:val="01-TtulodeNota"/>
        <w:spacing w:before="0" w:after="0"/>
        <w:jc w:val="right"/>
      </w:pPr>
    </w:p>
    <w:p w14:paraId="07E6B6F2" w14:textId="4E523821" w:rsidR="00A4533A" w:rsidRPr="00A4533A" w:rsidRDefault="00A4533A" w:rsidP="00376D0F">
      <w:pPr>
        <w:pStyle w:val="02-TtulodeNota"/>
        <w:keepNext/>
        <w:keepLines/>
        <w:pageBreakBefore/>
        <w:rPr>
          <w:color w:val="1F4E79" w:themeColor="accent1" w:themeShade="80"/>
        </w:rPr>
      </w:pPr>
      <w:bookmarkStart w:id="112" w:name="OLE_LINK27"/>
      <w:bookmarkStart w:id="113" w:name="_Toc94861085"/>
      <w:r w:rsidRPr="00A4533A">
        <w:rPr>
          <w:color w:val="1F4E79" w:themeColor="accent1" w:themeShade="80"/>
        </w:rPr>
        <w:lastRenderedPageBreak/>
        <w:t>27 – OUTRAS INFORMAÇÕES</w:t>
      </w:r>
      <w:bookmarkEnd w:id="113"/>
    </w:p>
    <w:bookmarkEnd w:id="112"/>
    <w:p w14:paraId="39052161" w14:textId="77777777" w:rsidR="00A4533A" w:rsidRPr="00E01EF0" w:rsidRDefault="00A4533A" w:rsidP="004002B0">
      <w:pPr>
        <w:pStyle w:val="01-TtulodeNota"/>
        <w:rPr>
          <w:color w:val="1F4E79" w:themeColor="accent1" w:themeShade="80"/>
          <w:sz w:val="18"/>
          <w:szCs w:val="18"/>
        </w:rPr>
      </w:pPr>
      <w:r w:rsidRPr="00E01EF0">
        <w:rPr>
          <w:color w:val="1F4E79" w:themeColor="accent1" w:themeShade="80"/>
          <w:sz w:val="18"/>
          <w:szCs w:val="18"/>
        </w:rPr>
        <w:t>Teste de Imparidade</w:t>
      </w:r>
    </w:p>
    <w:p w14:paraId="14DE5A50" w14:textId="77777777" w:rsidR="00A4533A" w:rsidRPr="006509A3" w:rsidRDefault="00A4533A" w:rsidP="006509A3">
      <w:pPr>
        <w:jc w:val="both"/>
        <w:rPr>
          <w:rFonts w:eastAsia="Times New Roman" w:cs="Times New Roman"/>
          <w:spacing w:val="-2"/>
          <w:szCs w:val="18"/>
          <w:lang w:eastAsia="pt-BR"/>
        </w:rPr>
      </w:pPr>
      <w:r w:rsidRPr="006509A3">
        <w:rPr>
          <w:rFonts w:eastAsia="Times New Roman" w:cs="Times New Roman"/>
          <w:spacing w:val="-2"/>
          <w:szCs w:val="18"/>
          <w:lang w:eastAsia="pt-BR"/>
        </w:rPr>
        <w:t>Durante o ano de 2021, ainda muito influenciado pela Covid-19 e suas implicações sanitárias, sociais e econômicas, foi dada especial atenção aos eventos que pudessem afetar a mensuração do valor justo e a recuperabilidade dos ativos. Neste sentido, tendo em vista o movimento observado nos índices de preço e na taxa de juros, foram realizadas avaliações em duas ocasiões em 2021 e em nenhuma delas se identificou ativos com indícios de desvalorização. Da mesma forma, para os ativos sujeitados ao teste de imparidade, observou-se que o valor recuperável obtido foi superior ao saldo contábil dos investimentos e ativo intangível de vida útil indefinida, incluindo o ágio, quando existente, não havendo necessidade de registro de perda por desvalorização de ativos.</w:t>
      </w:r>
    </w:p>
    <w:p w14:paraId="313B5AE6" w14:textId="77777777" w:rsidR="00A4533A" w:rsidRPr="006509A3" w:rsidRDefault="00A4533A" w:rsidP="006509A3">
      <w:pPr>
        <w:jc w:val="both"/>
        <w:rPr>
          <w:rFonts w:eastAsia="Times New Roman" w:cs="Times New Roman"/>
          <w:spacing w:val="-2"/>
          <w:szCs w:val="18"/>
          <w:lang w:eastAsia="pt-BR"/>
        </w:rPr>
      </w:pPr>
      <w:r w:rsidRPr="006509A3">
        <w:rPr>
          <w:rFonts w:eastAsia="Times New Roman" w:cs="Times New Roman"/>
          <w:spacing w:val="-2"/>
          <w:szCs w:val="18"/>
          <w:lang w:eastAsia="pt-BR"/>
        </w:rPr>
        <w:t xml:space="preserve">A metodologia utilizada consistiu em uma avaliação em duas etapas, na primeira houve o levantamento de indícios de perda para os ativos, com exceção dos investimentos em participações. Estes ativos, dos quais os mais representativos são caixa e equivalentes seguidos por recebíveis da BB Corretora, o resultado da avaliação apontou para inexistência de indícios de perdas. A segunda etapa consistiu na elaboração do teste de imparidade para os ativos relativos aos investimentos em participações, que representam mais de 50% dos ativos do grupo. </w:t>
      </w:r>
    </w:p>
    <w:p w14:paraId="4D1AE6FF" w14:textId="77777777" w:rsidR="00A4533A" w:rsidRPr="006509A3" w:rsidRDefault="00A4533A" w:rsidP="006509A3">
      <w:pPr>
        <w:jc w:val="both"/>
        <w:rPr>
          <w:rFonts w:eastAsia="Times New Roman" w:cs="Times New Roman"/>
          <w:spacing w:val="-2"/>
          <w:szCs w:val="18"/>
          <w:lang w:eastAsia="pt-BR"/>
        </w:rPr>
      </w:pPr>
      <w:r w:rsidRPr="006509A3">
        <w:rPr>
          <w:rFonts w:eastAsia="Times New Roman" w:cs="Times New Roman"/>
          <w:spacing w:val="-2"/>
          <w:szCs w:val="18"/>
          <w:lang w:eastAsia="pt-BR"/>
        </w:rPr>
        <w:t xml:space="preserve">Para realização do teste de imparidade foi utilizado o método de Fluxo de Dividendos Descontados, portanto, uma avaliação por valor em uso, onde se estimou o valor a ser recebido de dividendos das empresas investidas. Foi estimado um fluxo de caixa para o prazo de cinco anos mais o valor residual na perpetuidade. Cabe citar que o teste considerou três cenários, base, otimista e adverso, com pesos de 60%, 10% e 30%, respetivamente. A taxa de desconto utilizada foi equivalente a Taxa Mínima de Atratividade adotada pelo grupo BB Seguros e aprovada pelo Conselho de Administração da Companhia. </w:t>
      </w:r>
    </w:p>
    <w:p w14:paraId="1C1C9C61" w14:textId="77777777" w:rsidR="00A4533A" w:rsidRPr="006509A3" w:rsidRDefault="00A4533A" w:rsidP="006509A3">
      <w:pPr>
        <w:jc w:val="both"/>
        <w:rPr>
          <w:rFonts w:eastAsia="Times New Roman" w:cs="Times New Roman"/>
          <w:spacing w:val="-2"/>
          <w:szCs w:val="18"/>
          <w:lang w:eastAsia="pt-BR"/>
        </w:rPr>
      </w:pPr>
      <w:r w:rsidRPr="006509A3">
        <w:rPr>
          <w:rFonts w:eastAsia="Times New Roman" w:cs="Times New Roman"/>
          <w:spacing w:val="-2"/>
          <w:szCs w:val="18"/>
          <w:lang w:eastAsia="pt-BR"/>
        </w:rPr>
        <w:t xml:space="preserve">Para o teste do valor recuperável do exercício de 2021, foi considerado no valor contábil o </w:t>
      </w:r>
      <w:r w:rsidRPr="006509A3">
        <w:rPr>
          <w:rFonts w:eastAsia="Times New Roman" w:cs="Times New Roman"/>
          <w:i/>
          <w:iCs/>
          <w:spacing w:val="-2"/>
          <w:szCs w:val="18"/>
          <w:lang w:eastAsia="pt-BR"/>
        </w:rPr>
        <w:t>goodwill</w:t>
      </w:r>
      <w:r w:rsidRPr="006509A3">
        <w:rPr>
          <w:rFonts w:eastAsia="Times New Roman" w:cs="Times New Roman"/>
          <w:spacing w:val="-2"/>
          <w:szCs w:val="18"/>
          <w:lang w:eastAsia="pt-BR"/>
        </w:rPr>
        <w:t xml:space="preserve"> relativo a R$ 110.749 mil da aquisição da totalidade das ações de propriedade da Sulacap na Brasilcap e R$ 528.595 mil referentes aos intangíveis de vida útil indefinida decorrentes do acordo de parceria com a Mapfre na SH1.</w:t>
      </w:r>
    </w:p>
    <w:p w14:paraId="10A8039E" w14:textId="77777777" w:rsidR="00A4533A" w:rsidRPr="006509A3" w:rsidRDefault="00A4533A" w:rsidP="006509A3">
      <w:pPr>
        <w:jc w:val="both"/>
        <w:rPr>
          <w:rFonts w:eastAsia="Times New Roman" w:cs="Times New Roman"/>
          <w:spacing w:val="-2"/>
          <w:szCs w:val="18"/>
          <w:lang w:eastAsia="pt-BR"/>
        </w:rPr>
      </w:pPr>
      <w:r w:rsidRPr="006509A3">
        <w:rPr>
          <w:rFonts w:eastAsia="Times New Roman" w:cs="Times New Roman"/>
          <w:spacing w:val="-2"/>
          <w:szCs w:val="18"/>
          <w:lang w:eastAsia="pt-BR"/>
        </w:rPr>
        <w:t>Principais premissas utilizadas no cenário base do teste de imparidade:</w:t>
      </w:r>
    </w:p>
    <w:p w14:paraId="189F77BA"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Receitas e Custos: foi utilizada base histórica, refletindo assim a experiência passada, e expectativas de crescimento do mercado, do segmento onde atuam e do desempenho de cada negócio;</w:t>
      </w:r>
    </w:p>
    <w:p w14:paraId="38C0DE4E"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Resultado Financeiro: projeção da rentabilidade média condizente com os níveis atuais de remuneração no mercado financeiro;</w:t>
      </w:r>
    </w:p>
    <w:p w14:paraId="5A1D37F7"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Capital Mínimo Requerido: considerado o capital regulatório vigente na data da avaliação, conforme estabelecido pelo Conselho Nacional Seguros Privados e Agência Nacional de Saúde Suplementar.</w:t>
      </w:r>
    </w:p>
    <w:p w14:paraId="2DF8F292"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Imposto de Renda e Contribuição Social: consideradas as alíquotas previstas na legislação vigente.</w:t>
      </w:r>
    </w:p>
    <w:p w14:paraId="427E9DD6"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Perpetuidade: foi considerada taxa condizente com investimentos de longo prazo.</w:t>
      </w:r>
    </w:p>
    <w:p w14:paraId="0E79E992" w14:textId="77777777" w:rsidR="00A4533A" w:rsidRPr="006509A3" w:rsidRDefault="00A4533A" w:rsidP="006509A3">
      <w:pPr>
        <w:pStyle w:val="PargrafodaLista"/>
        <w:ind w:left="1065" w:hanging="705"/>
        <w:jc w:val="both"/>
        <w:rPr>
          <w:rFonts w:ascii="Arial" w:eastAsia="Times New Roman" w:hAnsi="Arial" w:cs="Times New Roman"/>
          <w:spacing w:val="-2"/>
          <w:sz w:val="18"/>
          <w:szCs w:val="18"/>
          <w:lang w:eastAsia="pt-BR"/>
        </w:rPr>
      </w:pPr>
      <w:r w:rsidRPr="006509A3">
        <w:rPr>
          <w:rFonts w:ascii="Arial" w:eastAsia="Times New Roman" w:hAnsi="Arial" w:cs="Times New Roman"/>
          <w:spacing w:val="-2"/>
          <w:sz w:val="18"/>
          <w:szCs w:val="18"/>
          <w:lang w:eastAsia="pt-BR"/>
        </w:rPr>
        <w:t>•</w:t>
      </w:r>
      <w:r w:rsidRPr="006509A3">
        <w:rPr>
          <w:rFonts w:ascii="Arial" w:eastAsia="Times New Roman" w:hAnsi="Arial" w:cs="Times New Roman"/>
          <w:spacing w:val="-2"/>
          <w:sz w:val="18"/>
          <w:szCs w:val="18"/>
          <w:lang w:eastAsia="pt-BR"/>
        </w:rPr>
        <w:tab/>
        <w:t>Taxa de Desconto: para a determinação da taxa de desconto, utilizou-se de metodologia para apuração do custo do capital próprio. A taxa foi obtida pelo modelo CAPM (</w:t>
      </w:r>
      <w:r w:rsidRPr="006509A3">
        <w:rPr>
          <w:rFonts w:ascii="Arial" w:eastAsia="Times New Roman" w:hAnsi="Arial" w:cs="Times New Roman"/>
          <w:i/>
          <w:iCs/>
          <w:spacing w:val="-2"/>
          <w:sz w:val="18"/>
          <w:szCs w:val="18"/>
          <w:lang w:eastAsia="pt-BR"/>
        </w:rPr>
        <w:t>Capital Asset Pricing Model</w:t>
      </w:r>
      <w:r w:rsidRPr="006509A3">
        <w:rPr>
          <w:rFonts w:ascii="Arial" w:eastAsia="Times New Roman" w:hAnsi="Arial" w:cs="Times New Roman"/>
          <w:spacing w:val="-2"/>
          <w:sz w:val="18"/>
          <w:szCs w:val="18"/>
          <w:lang w:eastAsia="pt-BR"/>
        </w:rPr>
        <w:t>), que considera o custo de capital correspondente à rentabilidade exigida pelos acionistas como compensação pelo risco de mercado ao qual estão expostos.</w:t>
      </w:r>
    </w:p>
    <w:p w14:paraId="37E40258" w14:textId="2D7A77C9" w:rsidR="00C61DF8" w:rsidRDefault="00C61DF8" w:rsidP="00214867">
      <w:pPr>
        <w:pStyle w:val="PargrafodaLista"/>
        <w:ind w:left="1065" w:hanging="705"/>
        <w:jc w:val="both"/>
        <w:rPr>
          <w:rFonts w:ascii="Arial" w:eastAsia="Times New Roman" w:hAnsi="Arial" w:cs="Times New Roman"/>
          <w:spacing w:val="-2"/>
          <w:sz w:val="20"/>
          <w:szCs w:val="20"/>
          <w:lang w:eastAsia="pt-BR"/>
        </w:rPr>
      </w:pPr>
    </w:p>
    <w:p w14:paraId="56F34572" w14:textId="77777777" w:rsidR="008115B4" w:rsidRDefault="008115B4" w:rsidP="00214867">
      <w:pPr>
        <w:pStyle w:val="PargrafodaLista"/>
        <w:ind w:left="1065" w:hanging="705"/>
        <w:jc w:val="both"/>
        <w:rPr>
          <w:rFonts w:cs="Arial"/>
        </w:rPr>
        <w:sectPr w:rsidR="008115B4" w:rsidSect="00FC31C4">
          <w:headerReference w:type="even" r:id="rId24"/>
          <w:headerReference w:type="default" r:id="rId25"/>
          <w:headerReference w:type="first" r:id="rId26"/>
          <w:footerReference w:type="first" r:id="rId27"/>
          <w:type w:val="continuous"/>
          <w:pgSz w:w="11906" w:h="16838" w:code="9"/>
          <w:pgMar w:top="1134" w:right="1134" w:bottom="1134" w:left="1134" w:header="709" w:footer="284" w:gutter="0"/>
          <w:cols w:space="708"/>
          <w:docGrid w:linePitch="360"/>
        </w:sectPr>
      </w:pPr>
    </w:p>
    <w:p w14:paraId="2FF2EC60" w14:textId="77777777" w:rsidR="00FC31C4" w:rsidRDefault="00FC31C4" w:rsidP="00FD4A45">
      <w:pPr>
        <w:pStyle w:val="02-TtulodeNota"/>
        <w:spacing w:before="0" w:after="200"/>
        <w:jc w:val="left"/>
        <w:outlineLvl w:val="9"/>
        <w:rPr>
          <w:b w:val="0"/>
          <w:bCs/>
        </w:rPr>
        <w:sectPr w:rsidR="00FC31C4" w:rsidSect="00FC31C4">
          <w:headerReference w:type="even" r:id="rId28"/>
          <w:headerReference w:type="default" r:id="rId29"/>
          <w:footerReference w:type="default" r:id="rId30"/>
          <w:headerReference w:type="first" r:id="rId31"/>
          <w:footerReference w:type="first" r:id="rId32"/>
          <w:type w:val="continuous"/>
          <w:pgSz w:w="11906" w:h="16838" w:code="9"/>
          <w:pgMar w:top="1134" w:right="1134" w:bottom="851" w:left="1134" w:header="851" w:footer="284" w:gutter="0"/>
          <w:cols w:space="708"/>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DC5865" w:rsidRPr="00E365CA" w14:paraId="165625E4" w14:textId="77777777" w:rsidTr="00C71B37">
        <w:trPr>
          <w:cantSplit/>
          <w:trHeight w:val="3969"/>
        </w:trPr>
        <w:tc>
          <w:tcPr>
            <w:tcW w:w="5385" w:type="dxa"/>
          </w:tcPr>
          <w:p w14:paraId="61D34FD3" w14:textId="77777777" w:rsidR="00DC5865" w:rsidRPr="00E365CA" w:rsidRDefault="00DC5865" w:rsidP="00C71B37">
            <w:pPr>
              <w:pStyle w:val="Normal1"/>
              <w:widowControl w:val="0"/>
              <w:spacing w:after="200"/>
              <w:jc w:val="left"/>
              <w:rPr>
                <w:rFonts w:asciiTheme="minorHAnsi" w:hAnsiTheme="minorHAnsi" w:cstheme="minorHAnsi"/>
                <w:b/>
                <w:sz w:val="36"/>
                <w:szCs w:val="38"/>
              </w:rPr>
            </w:pPr>
            <w:r w:rsidRPr="00E365CA">
              <w:rPr>
                <w:rFonts w:asciiTheme="minorHAnsi" w:hAnsiTheme="minorHAnsi" w:cstheme="minorHAnsi"/>
                <w:b/>
                <w:sz w:val="36"/>
                <w:szCs w:val="38"/>
              </w:rPr>
              <w:lastRenderedPageBreak/>
              <w:t>BB Seguridade Participações S.A.</w:t>
            </w:r>
          </w:p>
          <w:p w14:paraId="02AA2F77"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sz w:val="22"/>
              </w:rPr>
              <w:t xml:space="preserve">Demonstrações Contábeis </w:t>
            </w:r>
            <w:r w:rsidRPr="00DC5865">
              <w:rPr>
                <w:rFonts w:asciiTheme="minorHAnsi" w:hAnsiTheme="minorHAnsi" w:cstheme="minorHAnsi"/>
                <w:sz w:val="22"/>
              </w:rPr>
              <w:br/>
              <w:t xml:space="preserve">Individuais e Consolidadas </w:t>
            </w:r>
            <w:r w:rsidRPr="00DC5865">
              <w:rPr>
                <w:rFonts w:asciiTheme="minorHAnsi" w:hAnsiTheme="minorHAnsi" w:cstheme="minorHAnsi"/>
                <w:sz w:val="22"/>
              </w:rPr>
              <w:br/>
              <w:t xml:space="preserve">Referentes ao Exercício Findo </w:t>
            </w:r>
            <w:r w:rsidRPr="00DC5865">
              <w:rPr>
                <w:rFonts w:asciiTheme="minorHAnsi" w:hAnsiTheme="minorHAnsi" w:cstheme="minorHAnsi"/>
                <w:sz w:val="22"/>
              </w:rPr>
              <w:br/>
              <w:t xml:space="preserve">em 31 de </w:t>
            </w:r>
            <w:proofErr w:type="gramStart"/>
            <w:r w:rsidRPr="00DC5865">
              <w:rPr>
                <w:rFonts w:asciiTheme="minorHAnsi" w:hAnsiTheme="minorHAnsi" w:cstheme="minorHAnsi"/>
                <w:sz w:val="22"/>
              </w:rPr>
              <w:t>Dezembro</w:t>
            </w:r>
            <w:proofErr w:type="gramEnd"/>
            <w:r w:rsidRPr="00DC5865">
              <w:rPr>
                <w:rFonts w:asciiTheme="minorHAnsi" w:hAnsiTheme="minorHAnsi" w:cstheme="minorHAnsi"/>
                <w:sz w:val="22"/>
              </w:rPr>
              <w:t xml:space="preserve"> de 2021 e </w:t>
            </w:r>
            <w:r w:rsidRPr="00DC5865">
              <w:rPr>
                <w:rFonts w:asciiTheme="minorHAnsi" w:hAnsiTheme="minorHAnsi" w:cstheme="minorHAnsi"/>
                <w:sz w:val="22"/>
              </w:rPr>
              <w:br/>
              <w:t>Relatório do Auditor Independente</w:t>
            </w:r>
          </w:p>
          <w:p w14:paraId="55EBAB97" w14:textId="77777777" w:rsidR="00DC5865" w:rsidRPr="00DC5865" w:rsidRDefault="00DC5865" w:rsidP="00C71B37">
            <w:pPr>
              <w:pStyle w:val="DTT"/>
              <w:widowControl w:val="0"/>
              <w:rPr>
                <w:rFonts w:asciiTheme="minorHAnsi" w:hAnsiTheme="minorHAnsi" w:cstheme="minorHAnsi"/>
                <w:sz w:val="22"/>
                <w:szCs w:val="22"/>
                <w:lang w:val="pt-BR"/>
              </w:rPr>
            </w:pPr>
          </w:p>
          <w:p w14:paraId="4D22A503" w14:textId="77777777" w:rsidR="00DC5865" w:rsidRPr="00DC5865" w:rsidRDefault="00DC5865" w:rsidP="00C71B37">
            <w:pPr>
              <w:pStyle w:val="DTT"/>
              <w:widowControl w:val="0"/>
              <w:rPr>
                <w:rFonts w:asciiTheme="minorHAnsi" w:hAnsiTheme="minorHAnsi" w:cstheme="minorHAnsi"/>
                <w:sz w:val="22"/>
                <w:szCs w:val="22"/>
                <w:lang w:val="pt-BR"/>
              </w:rPr>
            </w:pPr>
          </w:p>
          <w:p w14:paraId="452136D0" w14:textId="77777777" w:rsidR="00DC5865" w:rsidRPr="00DC5865" w:rsidRDefault="00DC5865" w:rsidP="00C71B37">
            <w:pPr>
              <w:pStyle w:val="DTT"/>
              <w:widowControl w:val="0"/>
              <w:rPr>
                <w:rFonts w:asciiTheme="minorHAnsi" w:hAnsiTheme="minorHAnsi" w:cstheme="minorHAnsi"/>
                <w:sz w:val="22"/>
                <w:szCs w:val="22"/>
                <w:lang w:val="pt-BR"/>
              </w:rPr>
            </w:pPr>
          </w:p>
          <w:p w14:paraId="2640916C" w14:textId="77777777" w:rsidR="00DC5865" w:rsidRPr="00DC5865" w:rsidRDefault="00DC5865" w:rsidP="00C71B37">
            <w:pPr>
              <w:pStyle w:val="DTT"/>
              <w:widowControl w:val="0"/>
              <w:rPr>
                <w:rFonts w:asciiTheme="minorHAnsi" w:hAnsiTheme="minorHAnsi" w:cstheme="minorHAnsi"/>
                <w:sz w:val="22"/>
                <w:szCs w:val="22"/>
                <w:lang w:val="pt-BR"/>
              </w:rPr>
            </w:pPr>
          </w:p>
          <w:p w14:paraId="16179722" w14:textId="77777777" w:rsidR="00DC5865" w:rsidRPr="00DC5865" w:rsidRDefault="00DC5865" w:rsidP="00C71B37">
            <w:pPr>
              <w:pStyle w:val="DTT"/>
              <w:widowControl w:val="0"/>
              <w:rPr>
                <w:rFonts w:asciiTheme="minorHAnsi" w:hAnsiTheme="minorHAnsi" w:cstheme="minorHAnsi"/>
                <w:sz w:val="22"/>
                <w:szCs w:val="22"/>
                <w:lang w:val="pt-BR"/>
              </w:rPr>
            </w:pPr>
          </w:p>
          <w:p w14:paraId="220D9DFD" w14:textId="77777777" w:rsidR="00DC5865" w:rsidRPr="00DC5865" w:rsidRDefault="00DC5865" w:rsidP="00C71B37">
            <w:pPr>
              <w:pStyle w:val="DTT"/>
              <w:widowControl w:val="0"/>
              <w:rPr>
                <w:rFonts w:asciiTheme="minorHAnsi" w:hAnsiTheme="minorHAnsi" w:cstheme="minorHAnsi"/>
                <w:sz w:val="22"/>
                <w:szCs w:val="22"/>
                <w:lang w:val="pt-BR"/>
              </w:rPr>
            </w:pPr>
          </w:p>
          <w:p w14:paraId="7F72B3F2" w14:textId="77777777" w:rsidR="00DC5865" w:rsidRPr="00DC5865" w:rsidRDefault="00DC5865" w:rsidP="00C71B37">
            <w:pPr>
              <w:pStyle w:val="DTT"/>
              <w:widowControl w:val="0"/>
              <w:rPr>
                <w:rFonts w:asciiTheme="minorHAnsi" w:hAnsiTheme="minorHAnsi" w:cstheme="minorHAnsi"/>
                <w:sz w:val="22"/>
                <w:szCs w:val="22"/>
                <w:lang w:val="pt-BR"/>
              </w:rPr>
            </w:pPr>
          </w:p>
          <w:p w14:paraId="431FAB20" w14:textId="77777777" w:rsidR="00DC5865" w:rsidRDefault="00DC5865" w:rsidP="00C71B37">
            <w:pPr>
              <w:pStyle w:val="DTT"/>
              <w:widowControl w:val="0"/>
              <w:rPr>
                <w:rFonts w:asciiTheme="minorHAnsi" w:hAnsiTheme="minorHAnsi" w:cstheme="minorHAnsi"/>
                <w:szCs w:val="18"/>
                <w:lang w:val="pt-BR"/>
              </w:rPr>
            </w:pPr>
            <w:r w:rsidRPr="00DC5865">
              <w:rPr>
                <w:rFonts w:asciiTheme="minorHAnsi" w:hAnsiTheme="minorHAnsi" w:cstheme="minorHAnsi"/>
                <w:szCs w:val="18"/>
                <w:lang w:val="pt-BR"/>
              </w:rPr>
              <w:t>Deloitte Touche Tohmatsu Auditores Independentes Ltda.</w:t>
            </w:r>
          </w:p>
          <w:p w14:paraId="3BAB7DAD" w14:textId="77777777" w:rsidR="005A430F" w:rsidRPr="005A430F" w:rsidRDefault="005A430F" w:rsidP="005A430F"/>
          <w:p w14:paraId="6FE5D7BF" w14:textId="77777777" w:rsidR="005A430F" w:rsidRPr="005A430F" w:rsidRDefault="005A430F" w:rsidP="005A430F"/>
          <w:p w14:paraId="1A664C1B" w14:textId="77777777" w:rsidR="005A430F" w:rsidRPr="005A430F" w:rsidRDefault="005A430F" w:rsidP="005A430F"/>
          <w:p w14:paraId="634216AE" w14:textId="77777777" w:rsidR="005A430F" w:rsidRPr="005A430F" w:rsidRDefault="005A430F" w:rsidP="005A430F"/>
          <w:p w14:paraId="62514597" w14:textId="77777777" w:rsidR="005A430F" w:rsidRPr="005A430F" w:rsidRDefault="005A430F" w:rsidP="005A430F"/>
          <w:p w14:paraId="6C988746" w14:textId="77777777" w:rsidR="005A430F" w:rsidRPr="005A430F" w:rsidRDefault="005A430F" w:rsidP="005A430F"/>
          <w:p w14:paraId="0826FAE9" w14:textId="77777777" w:rsidR="005A430F" w:rsidRPr="005A430F" w:rsidRDefault="005A430F" w:rsidP="005A430F"/>
          <w:p w14:paraId="428AA994" w14:textId="77777777" w:rsidR="005A430F" w:rsidRPr="005A430F" w:rsidRDefault="005A430F" w:rsidP="005A430F"/>
          <w:p w14:paraId="5C43C23B" w14:textId="77777777" w:rsidR="005A430F" w:rsidRPr="005A430F" w:rsidRDefault="005A430F" w:rsidP="005A430F"/>
          <w:p w14:paraId="643DD977" w14:textId="77777777" w:rsidR="005A430F" w:rsidRPr="005A430F" w:rsidRDefault="005A430F" w:rsidP="005A430F"/>
          <w:p w14:paraId="497D467E" w14:textId="77777777" w:rsidR="005A430F" w:rsidRPr="005A430F" w:rsidRDefault="005A430F" w:rsidP="005A430F"/>
          <w:p w14:paraId="1706CBBC" w14:textId="77777777" w:rsidR="005A430F" w:rsidRPr="005A430F" w:rsidRDefault="005A430F" w:rsidP="005A430F"/>
          <w:p w14:paraId="17A53FDB" w14:textId="77777777" w:rsidR="005A430F" w:rsidRPr="005A430F" w:rsidRDefault="005A430F" w:rsidP="005A430F"/>
          <w:p w14:paraId="4CDEFB38" w14:textId="77777777" w:rsidR="005A430F" w:rsidRPr="005A430F" w:rsidRDefault="005A430F" w:rsidP="005A430F"/>
          <w:p w14:paraId="57983ECC" w14:textId="77777777" w:rsidR="005A430F" w:rsidRPr="005A430F" w:rsidRDefault="005A430F" w:rsidP="005A430F"/>
          <w:p w14:paraId="5D132753" w14:textId="77777777" w:rsidR="005A430F" w:rsidRPr="005A430F" w:rsidRDefault="005A430F" w:rsidP="005A430F"/>
          <w:p w14:paraId="05634212" w14:textId="77777777" w:rsidR="005A430F" w:rsidRPr="005A430F" w:rsidRDefault="005A430F" w:rsidP="005A430F"/>
          <w:p w14:paraId="78195AA4" w14:textId="77777777" w:rsidR="005A430F" w:rsidRPr="005A430F" w:rsidRDefault="005A430F" w:rsidP="005A430F"/>
          <w:p w14:paraId="344AA36C" w14:textId="77777777" w:rsidR="005A430F" w:rsidRPr="005A430F" w:rsidRDefault="005A430F" w:rsidP="005A430F"/>
          <w:p w14:paraId="08EBB5B3" w14:textId="77777777" w:rsidR="005A430F" w:rsidRPr="005A430F" w:rsidRDefault="005A430F" w:rsidP="005A430F"/>
          <w:p w14:paraId="685F6288" w14:textId="77777777" w:rsidR="005A430F" w:rsidRPr="005A430F" w:rsidRDefault="005A430F" w:rsidP="005A430F"/>
          <w:p w14:paraId="6430C0A4" w14:textId="77777777" w:rsidR="005A430F" w:rsidRDefault="005A430F" w:rsidP="005A430F">
            <w:pPr>
              <w:rPr>
                <w:rFonts w:asciiTheme="minorHAnsi" w:eastAsia="Calibri" w:hAnsiTheme="minorHAnsi" w:cstheme="minorHAnsi"/>
                <w:szCs w:val="18"/>
              </w:rPr>
            </w:pPr>
          </w:p>
          <w:p w14:paraId="6E6E3E3A" w14:textId="2E53E97A" w:rsidR="005A430F" w:rsidRPr="005A430F" w:rsidRDefault="005A430F" w:rsidP="005A430F">
            <w:pPr>
              <w:jc w:val="right"/>
            </w:pPr>
          </w:p>
        </w:tc>
      </w:tr>
    </w:tbl>
    <w:p w14:paraId="01F8682F" w14:textId="77777777" w:rsidR="00DC5865" w:rsidRPr="00E365CA" w:rsidRDefault="00DC5865" w:rsidP="00DC5865">
      <w:pPr>
        <w:spacing w:line="240" w:lineRule="auto"/>
        <w:rPr>
          <w:rFonts w:asciiTheme="minorHAnsi" w:eastAsia="Arial" w:hAnsiTheme="minorHAnsi" w:cstheme="minorHAnsi"/>
          <w:bCs/>
        </w:rPr>
        <w:sectPr w:rsidR="00DC5865" w:rsidRPr="00E365CA" w:rsidSect="00DC5865">
          <w:headerReference w:type="even" r:id="rId33"/>
          <w:headerReference w:type="default" r:id="rId34"/>
          <w:footerReference w:type="even" r:id="rId35"/>
          <w:footerReference w:type="default" r:id="rId36"/>
          <w:headerReference w:type="first" r:id="rId37"/>
          <w:pgSz w:w="11907" w:h="16840" w:code="9"/>
          <w:pgMar w:top="3402" w:right="1134" w:bottom="1134" w:left="1134" w:header="850" w:footer="567" w:gutter="0"/>
          <w:pgNumType w:start="1"/>
          <w:cols w:space="720"/>
          <w:titlePg/>
          <w:docGrid w:linePitch="299"/>
        </w:sectPr>
      </w:pPr>
    </w:p>
    <w:p w14:paraId="31C18A13" w14:textId="77777777" w:rsidR="00DC5865" w:rsidRPr="00DC5865" w:rsidRDefault="00DC5865" w:rsidP="00DC5865">
      <w:pPr>
        <w:spacing w:before="1400" w:line="240" w:lineRule="auto"/>
        <w:rPr>
          <w:rFonts w:asciiTheme="minorHAnsi" w:hAnsiTheme="minorHAnsi" w:cstheme="minorHAnsi"/>
          <w:sz w:val="22"/>
        </w:rPr>
      </w:pPr>
      <w:r w:rsidRPr="00DC5865">
        <w:rPr>
          <w:rFonts w:asciiTheme="minorHAnsi" w:eastAsia="Arial" w:hAnsiTheme="minorHAnsi" w:cstheme="minorHAnsi"/>
          <w:bCs/>
          <w:sz w:val="22"/>
        </w:rPr>
        <w:lastRenderedPageBreak/>
        <w:t xml:space="preserve">RELATÓRIO DO AUDITOR INDEPENDENTE SOBRE AS </w:t>
      </w:r>
      <w:r w:rsidRPr="00DC5865">
        <w:rPr>
          <w:rFonts w:asciiTheme="minorHAnsi" w:eastAsia="Arial" w:hAnsiTheme="minorHAnsi" w:cstheme="minorHAnsi"/>
          <w:bCs/>
          <w:sz w:val="22"/>
        </w:rPr>
        <w:br/>
      </w:r>
      <w:r w:rsidRPr="00DC5865">
        <w:rPr>
          <w:rFonts w:asciiTheme="minorHAnsi" w:eastAsia="Arial" w:hAnsiTheme="minorHAnsi" w:cstheme="minorHAnsi"/>
          <w:bCs/>
          <w:sz w:val="22"/>
          <w:u w:val="single"/>
        </w:rPr>
        <w:t>DEMONSTRAÇÕES CONTÁBEIS INDIVIDUAIS E CONSOLIDADAS</w:t>
      </w:r>
    </w:p>
    <w:p w14:paraId="68DABAD1" w14:textId="77777777" w:rsidR="00DC5865" w:rsidRPr="00DC5865" w:rsidRDefault="00DC5865" w:rsidP="00DC5865">
      <w:pPr>
        <w:spacing w:after="0" w:line="240" w:lineRule="auto"/>
        <w:rPr>
          <w:rFonts w:asciiTheme="minorHAnsi" w:hAnsiTheme="minorHAnsi" w:cstheme="minorHAnsi"/>
          <w:color w:val="000000"/>
          <w:sz w:val="22"/>
        </w:rPr>
      </w:pPr>
      <w:r w:rsidRPr="00DC5865">
        <w:rPr>
          <w:rFonts w:asciiTheme="minorHAnsi" w:hAnsiTheme="minorHAnsi" w:cstheme="minorHAnsi"/>
          <w:color w:val="000000"/>
          <w:sz w:val="22"/>
        </w:rPr>
        <w:t>Aos Administradores, Conselheiros e Acionistas da</w:t>
      </w:r>
    </w:p>
    <w:p w14:paraId="2A3DD272" w14:textId="77777777" w:rsidR="00DC5865" w:rsidRPr="00DC5865" w:rsidRDefault="00DC5865" w:rsidP="00DC5865">
      <w:pPr>
        <w:pStyle w:val="17TEXTOcorpojustificado"/>
        <w:widowControl w:val="0"/>
        <w:spacing w:line="240" w:lineRule="auto"/>
        <w:jc w:val="left"/>
        <w:rPr>
          <w:rFonts w:asciiTheme="minorHAnsi" w:hAnsiTheme="minorHAnsi" w:cstheme="minorHAnsi"/>
          <w:szCs w:val="22"/>
        </w:rPr>
      </w:pPr>
      <w:r w:rsidRPr="00DC5865">
        <w:rPr>
          <w:rFonts w:asciiTheme="minorHAnsi" w:hAnsiTheme="minorHAnsi" w:cstheme="minorHAnsi"/>
          <w:szCs w:val="22"/>
        </w:rPr>
        <w:t>BB Seguridade Participações S.A.</w:t>
      </w:r>
    </w:p>
    <w:p w14:paraId="20BF362F" w14:textId="77777777" w:rsidR="00DC5865" w:rsidRPr="00DC5865" w:rsidRDefault="00DC5865" w:rsidP="00DC5865">
      <w:pPr>
        <w:pStyle w:val="17TEXTOcorpojustificado"/>
        <w:widowControl w:val="0"/>
        <w:spacing w:after="200" w:line="240" w:lineRule="auto"/>
        <w:jc w:val="left"/>
        <w:rPr>
          <w:rFonts w:asciiTheme="minorHAnsi" w:hAnsiTheme="minorHAnsi" w:cstheme="minorHAnsi"/>
          <w:szCs w:val="22"/>
          <w:u w:val="single"/>
        </w:rPr>
      </w:pPr>
      <w:r w:rsidRPr="00DC5865">
        <w:rPr>
          <w:rFonts w:asciiTheme="minorHAnsi" w:hAnsiTheme="minorHAnsi" w:cstheme="minorHAnsi"/>
          <w:szCs w:val="22"/>
          <w:u w:val="single"/>
        </w:rPr>
        <w:t>Brasília - DF</w:t>
      </w:r>
    </w:p>
    <w:p w14:paraId="628E6996"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hAnsiTheme="minorHAnsi" w:cstheme="minorHAnsi"/>
          <w:b/>
          <w:sz w:val="22"/>
        </w:rPr>
        <w:t>Opinião</w:t>
      </w:r>
    </w:p>
    <w:p w14:paraId="0C758865" w14:textId="77777777" w:rsidR="00DC5865" w:rsidRPr="00DC5865" w:rsidRDefault="00DC5865" w:rsidP="00DC5865">
      <w:pPr>
        <w:pStyle w:val="17TEXTOcorpojustificado"/>
        <w:widowControl w:val="0"/>
        <w:spacing w:after="200" w:line="240" w:lineRule="auto"/>
        <w:jc w:val="left"/>
        <w:rPr>
          <w:rFonts w:asciiTheme="minorHAnsi" w:eastAsia="Calibri" w:hAnsiTheme="minorHAnsi" w:cstheme="minorHAnsi"/>
          <w:color w:val="000000"/>
          <w:szCs w:val="22"/>
        </w:rPr>
      </w:pPr>
      <w:r w:rsidRPr="00DC5865">
        <w:rPr>
          <w:rFonts w:asciiTheme="minorHAnsi" w:hAnsiTheme="minorHAnsi" w:cstheme="minorHAnsi"/>
          <w:szCs w:val="22"/>
        </w:rPr>
        <w:t xml:space="preserve">Examinamos as demonstrações contábeis individuais e </w:t>
      </w:r>
      <w:r w:rsidRPr="00DC5865">
        <w:rPr>
          <w:rFonts w:asciiTheme="minorHAnsi" w:eastAsia="Calibri" w:hAnsiTheme="minorHAnsi" w:cstheme="minorHAnsi"/>
          <w:color w:val="000000"/>
          <w:szCs w:val="22"/>
        </w:rPr>
        <w:t>consolidadas da BB Seguridade Participações S.A. (“Companhia”), identificadas como controladora e consolidado, respectivamente, que compreendem o balanço patrimonial em 31 de dezembro de 2021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13FE498F" w14:textId="77777777" w:rsidR="00DC5865" w:rsidRPr="00DC5865" w:rsidRDefault="00DC5865" w:rsidP="00DC5865">
      <w:pPr>
        <w:pStyle w:val="Corpodetexto"/>
        <w:spacing w:after="200"/>
        <w:rPr>
          <w:rFonts w:asciiTheme="minorHAnsi" w:hAnsiTheme="minorHAnsi" w:cstheme="minorHAnsi"/>
          <w:sz w:val="22"/>
          <w:szCs w:val="22"/>
        </w:rPr>
      </w:pPr>
      <w:r w:rsidRPr="00DC5865">
        <w:rPr>
          <w:rFonts w:asciiTheme="minorHAnsi" w:hAnsiTheme="minorHAnsi" w:cstheme="minorHAnsi"/>
          <w:sz w:val="22"/>
          <w:szCs w:val="22"/>
        </w:rPr>
        <w:t xml:space="preserve">Em nossa opinião, as demonstrações contábeis individuais e consolidadas acima referidas apresentam adequadamente, em todos os aspectos relevantes, a posição patrimonial e financeira, individual e consolidada, da </w:t>
      </w:r>
      <w:r w:rsidRPr="00DC5865">
        <w:rPr>
          <w:rFonts w:asciiTheme="minorHAnsi" w:eastAsia="Calibri" w:hAnsiTheme="minorHAnsi" w:cstheme="minorHAnsi"/>
          <w:color w:val="000000"/>
          <w:sz w:val="22"/>
          <w:szCs w:val="22"/>
        </w:rPr>
        <w:t>BB Seguridade Participações S.A.</w:t>
      </w:r>
      <w:r w:rsidRPr="00DC5865">
        <w:rPr>
          <w:rFonts w:asciiTheme="minorHAnsi" w:hAnsiTheme="minorHAnsi" w:cstheme="minorHAnsi"/>
          <w:sz w:val="22"/>
          <w:szCs w:val="22"/>
        </w:rPr>
        <w:t xml:space="preserve"> em 31 de dezembro de 2021, o desempenho individual e consolidado de suas operações e os seus respectivos fluxos de caixa individuais e consolidados para o exercício findo nessa data, de acordo com as práticas contábeis adotadas no Brasil e com as normas internacionais de relatório financeiro </w:t>
      </w:r>
      <w:r w:rsidRPr="00DC5865">
        <w:rPr>
          <w:rFonts w:asciiTheme="minorHAnsi" w:eastAsia="Calibri" w:hAnsiTheme="minorHAnsi" w:cstheme="minorHAnsi"/>
          <w:sz w:val="22"/>
          <w:szCs w:val="22"/>
        </w:rPr>
        <w:t xml:space="preserve">(“International Financial Reporting Standards - IFRS”), </w:t>
      </w:r>
      <w:r w:rsidRPr="00DC5865">
        <w:rPr>
          <w:rFonts w:asciiTheme="minorHAnsi" w:hAnsiTheme="minorHAnsi" w:cstheme="minorHAnsi"/>
          <w:sz w:val="22"/>
          <w:szCs w:val="22"/>
        </w:rPr>
        <w:t>emitidas pelo “International Accounting Standards Board - IASB”.</w:t>
      </w:r>
    </w:p>
    <w:p w14:paraId="1D58B5A3"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hAnsiTheme="minorHAnsi" w:cstheme="minorHAnsi"/>
          <w:b/>
          <w:sz w:val="22"/>
        </w:rPr>
        <w:t>Base para opinião</w:t>
      </w:r>
    </w:p>
    <w:p w14:paraId="6F3CFB04" w14:textId="77777777" w:rsidR="00DC5865" w:rsidRPr="00DC5865" w:rsidRDefault="00DC5865" w:rsidP="00DC5865">
      <w:pPr>
        <w:spacing w:line="240" w:lineRule="auto"/>
        <w:rPr>
          <w:rFonts w:asciiTheme="minorHAnsi" w:eastAsia="Arial" w:hAnsiTheme="minorHAnsi" w:cstheme="minorHAnsi"/>
          <w:sz w:val="22"/>
        </w:rPr>
      </w:pPr>
      <w:bookmarkStart w:id="114" w:name="_bookmark36"/>
      <w:bookmarkEnd w:id="114"/>
      <w:r w:rsidRPr="00DC5865">
        <w:rPr>
          <w:rFonts w:asciiTheme="minorHAnsi" w:eastAsia="Arial" w:hAnsiTheme="minorHAnsi" w:cstheme="minorHAnsi"/>
          <w:sz w:val="22"/>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individuais e consolidadas”. Somos independentes em relação à Companhia e a suas controladas,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14:paraId="1176A943"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hAnsiTheme="minorHAnsi" w:cstheme="minorHAnsi"/>
          <w:b/>
          <w:sz w:val="22"/>
        </w:rPr>
        <w:t>Principais assuntos de auditoria</w:t>
      </w:r>
    </w:p>
    <w:p w14:paraId="10483CE5"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eastAsia="Arial" w:hAnsiTheme="minorHAnsi" w:cstheme="minorHAnsi"/>
          <w:sz w:val="22"/>
        </w:rPr>
        <w:t>Principais assuntos de auditoria são aqueles que, em nosso julgamento profissional, foram os mais significativos em nossa auditoria do exercício corrente. Esses assuntos foram tratados no contexto de nossa auditoria das demonstrações contábeis individuais e consolidadas como um todo e na formação de nossa opinião sobre essas demonstrações contábeis individuais e consolidadas, e, portanto, não expressamos uma opinião separada sobre esses assuntos.</w:t>
      </w:r>
    </w:p>
    <w:p w14:paraId="3E54D098" w14:textId="77777777" w:rsidR="00DC5865" w:rsidRPr="00DC5865" w:rsidRDefault="00DC5865" w:rsidP="00DC5865">
      <w:pPr>
        <w:spacing w:after="0" w:line="240" w:lineRule="auto"/>
        <w:rPr>
          <w:rFonts w:asciiTheme="minorHAnsi" w:eastAsia="Arial" w:hAnsiTheme="minorHAnsi" w:cstheme="minorHAnsi"/>
          <w:iCs/>
          <w:sz w:val="22"/>
        </w:rPr>
        <w:sectPr w:rsidR="00DC5865" w:rsidRPr="00DC5865" w:rsidSect="00E365CA">
          <w:headerReference w:type="default" r:id="rId38"/>
          <w:footerReference w:type="default" r:id="rId39"/>
          <w:headerReference w:type="first" r:id="rId40"/>
          <w:footerReference w:type="first" r:id="rId41"/>
          <w:pgSz w:w="11907" w:h="16840" w:code="9"/>
          <w:pgMar w:top="1701" w:right="1134" w:bottom="1134" w:left="1134" w:header="851" w:footer="567" w:gutter="0"/>
          <w:pgNumType w:start="1"/>
          <w:cols w:space="720"/>
          <w:titlePg/>
          <w:docGrid w:linePitch="299"/>
        </w:sectPr>
      </w:pPr>
    </w:p>
    <w:p w14:paraId="56D321EC" w14:textId="77777777" w:rsidR="00DC5865" w:rsidRPr="00DC5865" w:rsidRDefault="00DC5865" w:rsidP="00DC5865">
      <w:pPr>
        <w:spacing w:line="240" w:lineRule="auto"/>
        <w:rPr>
          <w:rFonts w:asciiTheme="minorHAnsi" w:eastAsia="Arial" w:hAnsiTheme="minorHAnsi" w:cstheme="minorHAnsi"/>
          <w:i/>
          <w:iCs/>
          <w:sz w:val="22"/>
        </w:rPr>
      </w:pPr>
      <w:bookmarkStart w:id="115" w:name="_Hlk31902243"/>
      <w:r w:rsidRPr="00DC5865">
        <w:rPr>
          <w:rFonts w:asciiTheme="minorHAnsi" w:eastAsia="Arial" w:hAnsiTheme="minorHAnsi" w:cstheme="minorHAnsi"/>
          <w:i/>
          <w:iCs/>
          <w:sz w:val="22"/>
        </w:rPr>
        <w:lastRenderedPageBreak/>
        <w:t xml:space="preserve">Receitas de comissões </w:t>
      </w:r>
    </w:p>
    <w:p w14:paraId="7CC9383E" w14:textId="77777777" w:rsidR="00DC5865" w:rsidRPr="00DC5865" w:rsidRDefault="00DC5865" w:rsidP="00DC5865">
      <w:pPr>
        <w:autoSpaceDE w:val="0"/>
        <w:autoSpaceDN w:val="0"/>
        <w:adjustRightInd w:val="0"/>
        <w:spacing w:line="240" w:lineRule="auto"/>
        <w:rPr>
          <w:rFonts w:asciiTheme="minorHAnsi" w:eastAsia="Arial" w:hAnsiTheme="minorHAnsi" w:cstheme="minorHAnsi"/>
          <w:sz w:val="22"/>
        </w:rPr>
      </w:pPr>
      <w:r w:rsidRPr="00DC5865">
        <w:rPr>
          <w:rFonts w:asciiTheme="minorHAnsi" w:eastAsia="Arial" w:hAnsiTheme="minorHAnsi" w:cstheme="minorHAnsi"/>
          <w:sz w:val="22"/>
        </w:rPr>
        <w:t xml:space="preserve">Conforme mencionado na nota explicativa nº 4 às demonstrações contábeis individuais e consolidadas, a BB Corretora, controlada direta da Companhia, contabiliza as receitas oriundas de comissões de acordo com o pronunciamento técnico CPC 47 - Receita de contrato com cliente (equivalente à IFRS 15), considerando as seguintes etapas: i) identificação do contrato; ii) identificação das obrigações de desempenho; iii) determinação do preço da transação; iv) alocação do preço da transação; e v) reconhecimento da receita. Assim, as receitas de comissões são reconhecidas quando (ou à medida que) a BB Corretora satisfaz a obrigação de desempenho ao transferir o serviço prometido ao cliente. </w:t>
      </w:r>
    </w:p>
    <w:p w14:paraId="4E7F96BD" w14:textId="77777777" w:rsidR="00DC5865" w:rsidRPr="00DC5865" w:rsidRDefault="00DC5865" w:rsidP="00DC5865">
      <w:pPr>
        <w:autoSpaceDE w:val="0"/>
        <w:autoSpaceDN w:val="0"/>
        <w:adjustRightInd w:val="0"/>
        <w:spacing w:line="240" w:lineRule="auto"/>
        <w:rPr>
          <w:rFonts w:asciiTheme="minorHAnsi" w:eastAsia="Arial" w:hAnsiTheme="minorHAnsi" w:cstheme="minorHAnsi"/>
          <w:sz w:val="22"/>
        </w:rPr>
      </w:pPr>
      <w:r w:rsidRPr="00DC5865">
        <w:rPr>
          <w:rFonts w:asciiTheme="minorHAnsi" w:eastAsia="Arial" w:hAnsiTheme="minorHAnsi" w:cstheme="minorHAnsi"/>
          <w:sz w:val="22"/>
        </w:rPr>
        <w:t>Devido, principalmente, à relevância das receitas de comissões para as demonstrações contábeis consolidadas e a quantidade de produtos comercializados consideramos esse assunto como um principal assunto de auditoria.</w:t>
      </w:r>
    </w:p>
    <w:p w14:paraId="0FC6A003" w14:textId="77777777" w:rsidR="00DC5865" w:rsidRPr="00DC5865" w:rsidRDefault="00DC5865" w:rsidP="00DC5865">
      <w:pPr>
        <w:autoSpaceDE w:val="0"/>
        <w:autoSpaceDN w:val="0"/>
        <w:adjustRightInd w:val="0"/>
        <w:spacing w:line="240" w:lineRule="auto"/>
        <w:rPr>
          <w:rFonts w:asciiTheme="minorHAnsi" w:eastAsia="Arial" w:hAnsiTheme="minorHAnsi" w:cstheme="minorHAnsi"/>
          <w:sz w:val="22"/>
        </w:rPr>
      </w:pPr>
      <w:r w:rsidRPr="00DC5865">
        <w:rPr>
          <w:rFonts w:asciiTheme="minorHAnsi" w:eastAsia="Arial" w:hAnsiTheme="minorHAnsi" w:cstheme="minorHAnsi"/>
          <w:sz w:val="22"/>
        </w:rPr>
        <w:t xml:space="preserve">Avaliamos o desenho, a implementação e a operacionalização das principais atividades de controles internos relacionados ao processo de reconhecimento das receitas de comissões e, adicionalmente, efetuamos os seguintes principais procedimentos de auditoria substantivos para uma amostra de transações selecionada aleatoriamente: (i) verificação da ocorrência das transações por meio da realização de consultas aos sistemas legados do Banco do Brasil e da verificação da sua liquidação financeira; (ii) leitura dos acordos operacionais pactuados entre a BB Corretora, o Banco do Brasil e as empresas operacionais, investidas indiretas da Companhia, para avaliar se as taxas de corretagem praticadas para as transações selecionadas foram as taxas pactuadas entre as partes; (iii) verificação do cálculo da apropriação da receita de comissões em conformidade com os conceitos do pronunciamento técnico CPC 47 (IFRS 15); (iv) circularização </w:t>
      </w:r>
      <w:r w:rsidRPr="00DC5865">
        <w:rPr>
          <w:rFonts w:asciiTheme="minorHAnsi" w:hAnsiTheme="minorHAnsi" w:cstheme="minorHAnsi"/>
          <w:sz w:val="22"/>
        </w:rPr>
        <w:t>das principais empresas operacionais, investidas indiretas da Companhia, para a confirmação das receitas de comissões referentes ao exercício findo em 31 de dezembro de 2021 e (v) verificação da adequação das divulgações efetuadas.</w:t>
      </w:r>
    </w:p>
    <w:p w14:paraId="51F55447" w14:textId="77777777" w:rsidR="00DC5865" w:rsidRPr="00DC5865" w:rsidRDefault="00DC5865" w:rsidP="00DC5865">
      <w:pPr>
        <w:autoSpaceDE w:val="0"/>
        <w:autoSpaceDN w:val="0"/>
        <w:adjustRightInd w:val="0"/>
        <w:spacing w:line="240" w:lineRule="auto"/>
        <w:rPr>
          <w:rFonts w:asciiTheme="minorHAnsi" w:eastAsia="Arial" w:hAnsiTheme="minorHAnsi" w:cstheme="minorHAnsi"/>
          <w:sz w:val="22"/>
        </w:rPr>
      </w:pPr>
      <w:bookmarkStart w:id="116" w:name="_Hlk94010124"/>
      <w:r w:rsidRPr="00DC5865">
        <w:rPr>
          <w:rFonts w:asciiTheme="minorHAnsi" w:eastAsia="Arial" w:hAnsiTheme="minorHAnsi" w:cstheme="minorHAnsi"/>
          <w:sz w:val="22"/>
        </w:rPr>
        <w:t>Como resultado da execução desses procedimentos de auditoria, identificamos deficiências não significativas de controle interno relacionadas ao processo de reconhecimento das receitas de comissões e ajustes não registrados pela Companhia, por serem considerados imateriais.</w:t>
      </w:r>
    </w:p>
    <w:p w14:paraId="4BAF02AE" w14:textId="77777777" w:rsidR="00DC5865" w:rsidRPr="00DC5865" w:rsidRDefault="00DC5865" w:rsidP="00DC5865">
      <w:pPr>
        <w:autoSpaceDE w:val="0"/>
        <w:autoSpaceDN w:val="0"/>
        <w:adjustRightInd w:val="0"/>
        <w:spacing w:line="240" w:lineRule="auto"/>
        <w:rPr>
          <w:rFonts w:asciiTheme="minorHAnsi" w:eastAsia="Arial" w:hAnsiTheme="minorHAnsi" w:cstheme="minorHAnsi"/>
          <w:sz w:val="22"/>
        </w:rPr>
      </w:pPr>
      <w:r w:rsidRPr="00DC5865">
        <w:rPr>
          <w:rFonts w:asciiTheme="minorHAnsi" w:eastAsia="Arial" w:hAnsiTheme="minorHAnsi" w:cstheme="minorHAnsi"/>
          <w:sz w:val="22"/>
        </w:rPr>
        <w:t>Com base nas evidências de auditoria obtidas, consideramos que a captura, o processamento, o registro e as respectivas divulgações sobre o reconhecimento de receita de comissões da Companhia são aceitáveis no contexto das demonstrações contábeis tomadas em conjunto.</w:t>
      </w:r>
      <w:bookmarkEnd w:id="115"/>
      <w:bookmarkEnd w:id="116"/>
    </w:p>
    <w:p w14:paraId="1406B3B7" w14:textId="77777777" w:rsidR="00DC5865" w:rsidRPr="00DC5865" w:rsidRDefault="00DC5865" w:rsidP="00DC5865">
      <w:pPr>
        <w:spacing w:line="240" w:lineRule="auto"/>
        <w:rPr>
          <w:rFonts w:asciiTheme="minorHAnsi" w:hAnsiTheme="minorHAnsi" w:cstheme="minorHAnsi"/>
          <w:b/>
          <w:sz w:val="22"/>
        </w:rPr>
      </w:pPr>
      <w:r w:rsidRPr="00DC5865">
        <w:rPr>
          <w:rFonts w:asciiTheme="minorHAnsi" w:hAnsiTheme="minorHAnsi" w:cstheme="minorHAnsi"/>
          <w:b/>
          <w:bCs/>
          <w:sz w:val="22"/>
        </w:rPr>
        <w:t>Outros assuntos</w:t>
      </w:r>
    </w:p>
    <w:p w14:paraId="60293989" w14:textId="77777777" w:rsidR="00DC5865" w:rsidRPr="00DC5865" w:rsidRDefault="00DC5865" w:rsidP="00DC5865">
      <w:pPr>
        <w:spacing w:line="240" w:lineRule="auto"/>
        <w:rPr>
          <w:rFonts w:asciiTheme="minorHAnsi" w:hAnsiTheme="minorHAnsi" w:cstheme="minorHAnsi"/>
          <w:i/>
          <w:iCs/>
          <w:color w:val="000000"/>
          <w:sz w:val="22"/>
          <w:lang w:eastAsia="pt-BR"/>
        </w:rPr>
      </w:pPr>
      <w:r w:rsidRPr="00DC5865">
        <w:rPr>
          <w:rFonts w:asciiTheme="minorHAnsi" w:hAnsiTheme="minorHAnsi" w:cstheme="minorHAnsi"/>
          <w:i/>
          <w:iCs/>
          <w:color w:val="000000"/>
          <w:sz w:val="22"/>
          <w:lang w:eastAsia="pt-BR"/>
        </w:rPr>
        <w:t>Demonstrações do valor adicionado</w:t>
      </w:r>
    </w:p>
    <w:p w14:paraId="2891369B" w14:textId="77777777" w:rsidR="00DC5865" w:rsidRPr="00DC5865" w:rsidRDefault="00DC5865" w:rsidP="00DC5865">
      <w:pPr>
        <w:spacing w:line="240" w:lineRule="auto"/>
        <w:rPr>
          <w:rFonts w:asciiTheme="minorHAnsi" w:hAnsiTheme="minorHAnsi" w:cstheme="minorHAnsi"/>
          <w:color w:val="000000"/>
          <w:sz w:val="22"/>
          <w:lang w:eastAsia="pt-BR"/>
        </w:rPr>
      </w:pPr>
      <w:r w:rsidRPr="00DC5865">
        <w:rPr>
          <w:rFonts w:asciiTheme="minorHAnsi" w:hAnsiTheme="minorHAnsi" w:cstheme="minorHAnsi"/>
          <w:color w:val="000000"/>
          <w:sz w:val="22"/>
          <w:lang w:eastAsia="pt-BR"/>
        </w:rPr>
        <w:t>As demonstrações individual e consolidada do valor adicionado (“DVA”), referentes ao exercício findo em 31 de dezembro de 2021, elaboradas sob a responsabilidade da Diretoria da Companhia e apresentadas como informação suplementar para fins de IFRS, foram submetidas a procedimentos de auditoria executados em conjunto com a auditoria das demonstrações contábeis da Companhia. Para a formação de nossa opinião, avaliamos se essas demonstrações estão conciliadas com as demais demonstrações contábeis e os registros contábeis, conforme aplicável, e se a sua forma e o seu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individuais e consolidadas tomadas em conjunto.</w:t>
      </w:r>
    </w:p>
    <w:p w14:paraId="65E8991F" w14:textId="77777777" w:rsidR="00DC5865" w:rsidRPr="00DC5865" w:rsidRDefault="00DC5865" w:rsidP="00DC5865">
      <w:pPr>
        <w:pageBreakBefore/>
        <w:spacing w:line="240" w:lineRule="auto"/>
        <w:rPr>
          <w:rFonts w:asciiTheme="minorHAnsi" w:hAnsiTheme="minorHAnsi" w:cstheme="minorHAnsi"/>
          <w:b/>
          <w:bCs/>
          <w:sz w:val="22"/>
        </w:rPr>
      </w:pPr>
      <w:r w:rsidRPr="00DC5865">
        <w:rPr>
          <w:rFonts w:asciiTheme="minorHAnsi" w:hAnsiTheme="minorHAnsi" w:cstheme="minorHAnsi"/>
          <w:b/>
          <w:bCs/>
          <w:sz w:val="22"/>
        </w:rPr>
        <w:lastRenderedPageBreak/>
        <w:t>Outras informações que acompanham as demonstrações contábeis individuais e consolidadas e o relatório do auditor</w:t>
      </w:r>
    </w:p>
    <w:p w14:paraId="274718AC"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eastAsia="Arial" w:hAnsiTheme="minorHAnsi" w:cstheme="minorHAnsi"/>
          <w:sz w:val="22"/>
        </w:rPr>
        <w:t>A Diretoria da Companhia é responsável por essas outras informações que compreendem o Relatório da Administração.</w:t>
      </w:r>
    </w:p>
    <w:p w14:paraId="6D8A533A"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eastAsia="Arial" w:hAnsiTheme="minorHAnsi" w:cstheme="minorHAnsi"/>
          <w:sz w:val="22"/>
        </w:rPr>
        <w:t>Nossa opinião sobre as demonstrações contábeis individuais e consolidadas não abrange o Relatório da Administração, e não expressamos qualquer forma de conclusão de auditoria sobre esse relatório.</w:t>
      </w:r>
    </w:p>
    <w:p w14:paraId="6EA7C29E" w14:textId="77777777" w:rsidR="00DC5865" w:rsidRPr="00DC5865" w:rsidRDefault="00DC5865" w:rsidP="00DC5865">
      <w:pPr>
        <w:spacing w:line="240" w:lineRule="auto"/>
        <w:rPr>
          <w:rFonts w:asciiTheme="minorHAnsi" w:eastAsia="Arial" w:hAnsiTheme="minorHAnsi" w:cstheme="minorHAnsi"/>
          <w:sz w:val="22"/>
        </w:rPr>
      </w:pPr>
      <w:r w:rsidRPr="00DC5865">
        <w:rPr>
          <w:rFonts w:asciiTheme="minorHAnsi" w:eastAsia="Arial" w:hAnsiTheme="minorHAnsi" w:cstheme="minorHAnsi"/>
          <w:sz w:val="22"/>
        </w:rPr>
        <w:t>Em conexão com a auditoria das demonstrações contábeis individuais e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34E20CA1" w14:textId="77777777" w:rsidR="00DC5865" w:rsidRPr="00DC5865" w:rsidRDefault="00DC5865" w:rsidP="00DC5865">
      <w:pPr>
        <w:spacing w:line="240" w:lineRule="auto"/>
        <w:rPr>
          <w:rFonts w:asciiTheme="minorHAnsi" w:hAnsiTheme="minorHAnsi" w:cstheme="minorHAnsi"/>
          <w:b/>
          <w:sz w:val="22"/>
        </w:rPr>
      </w:pPr>
      <w:r w:rsidRPr="00DC5865">
        <w:rPr>
          <w:rFonts w:asciiTheme="minorHAnsi" w:hAnsiTheme="minorHAnsi" w:cstheme="minorHAnsi"/>
          <w:b/>
          <w:bCs/>
          <w:sz w:val="22"/>
        </w:rPr>
        <w:t xml:space="preserve">Responsabilidades da Diretoria e da governança pelas demonstrações contábeis </w:t>
      </w:r>
      <w:r w:rsidRPr="00DC5865">
        <w:rPr>
          <w:rFonts w:asciiTheme="minorHAnsi" w:hAnsiTheme="minorHAnsi" w:cstheme="minorHAnsi"/>
          <w:b/>
          <w:bCs/>
          <w:sz w:val="22"/>
        </w:rPr>
        <w:br/>
        <w:t>individuais e consolidadas</w:t>
      </w:r>
    </w:p>
    <w:p w14:paraId="5F0B3F3F" w14:textId="77777777" w:rsidR="00DC5865" w:rsidRPr="00DC5865" w:rsidRDefault="00DC5865" w:rsidP="00DC5865">
      <w:pPr>
        <w:spacing w:line="240" w:lineRule="auto"/>
        <w:rPr>
          <w:rFonts w:asciiTheme="minorHAnsi" w:hAnsiTheme="minorHAnsi" w:cstheme="minorHAnsi"/>
          <w:sz w:val="22"/>
        </w:rPr>
      </w:pPr>
      <w:r w:rsidRPr="00DC5865">
        <w:rPr>
          <w:rFonts w:asciiTheme="minorHAnsi" w:hAnsiTheme="minorHAnsi" w:cstheme="minorHAnsi"/>
          <w:sz w:val="22"/>
        </w:rPr>
        <w:t>A Diretoria é responsável pela elaboração e adequada apresentação das demonstrações contábeis individuais e consolidadas de acordo com as práticas contábeis adotadas no Brasil</w:t>
      </w:r>
      <w:r w:rsidRPr="00DC5865">
        <w:rPr>
          <w:rFonts w:asciiTheme="minorHAnsi" w:hAnsiTheme="minorHAnsi" w:cstheme="minorHAnsi"/>
          <w:sz w:val="22"/>
          <w:vertAlign w:val="superscript"/>
        </w:rPr>
        <w:t xml:space="preserve"> </w:t>
      </w:r>
      <w:r w:rsidRPr="00DC5865">
        <w:rPr>
          <w:rFonts w:asciiTheme="minorHAnsi" w:hAnsiTheme="minorHAnsi" w:cstheme="minorHAnsi"/>
          <w:sz w:val="22"/>
        </w:rPr>
        <w:t>e com as normas internacionais de relatório financeiro (IFRS), emitidas pelo IASB, e pelos controles internos que ela determinou como necessários para permitir a elaboração de demonstrações contábeis livres de distorção relevante, independentemente se causada por fraude ou erro.</w:t>
      </w:r>
    </w:p>
    <w:p w14:paraId="4D864E05" w14:textId="77777777" w:rsidR="00DC5865" w:rsidRPr="00DC5865" w:rsidRDefault="00DC5865" w:rsidP="00DC5865">
      <w:pPr>
        <w:spacing w:line="240" w:lineRule="auto"/>
        <w:rPr>
          <w:rFonts w:asciiTheme="minorHAnsi" w:hAnsiTheme="minorHAnsi" w:cstheme="minorHAnsi"/>
          <w:sz w:val="22"/>
        </w:rPr>
      </w:pPr>
      <w:r w:rsidRPr="00DC5865">
        <w:rPr>
          <w:rFonts w:asciiTheme="minorHAnsi" w:hAnsiTheme="minorHAnsi" w:cstheme="minorHAnsi"/>
          <w:sz w:val="22"/>
        </w:rPr>
        <w:t>Na elaboração das demonstrações contábeis individuais e consolidadas, a Diretoria é responsável pela avaliação da capacidade de a Companhia continuar operando e divulgando, quando aplicável, os assuntos relacionados com a sua continuidade operacional e o uso dessa base contábil na elaboração das demonstrações contábeis, a não ser que a Diretoria pretenda liquidar a Companhia e suas controladas ou cessar suas operações, ou não tenha nenhuma alternativa realista para evitar o encerramento das operações.</w:t>
      </w:r>
    </w:p>
    <w:p w14:paraId="346BF281" w14:textId="77777777" w:rsidR="00DC5865" w:rsidRPr="00DC5865" w:rsidRDefault="00DC5865" w:rsidP="00DC5865">
      <w:pPr>
        <w:spacing w:line="240" w:lineRule="auto"/>
        <w:rPr>
          <w:rFonts w:asciiTheme="minorHAnsi" w:hAnsiTheme="minorHAnsi" w:cstheme="minorHAnsi"/>
          <w:sz w:val="22"/>
        </w:rPr>
      </w:pPr>
      <w:r w:rsidRPr="00DC5865">
        <w:rPr>
          <w:rFonts w:asciiTheme="minorHAnsi" w:hAnsiTheme="minorHAnsi" w:cstheme="minorHAnsi"/>
          <w:sz w:val="22"/>
        </w:rPr>
        <w:t>Os responsáveis pela governança da Companhia e de suas controladas são aqueles com responsabilidade pela supervisão do processo de elaboração das demonstrações contábeis.</w:t>
      </w:r>
    </w:p>
    <w:p w14:paraId="2C430CCA" w14:textId="77777777" w:rsidR="00DC5865" w:rsidRPr="00DC5865" w:rsidRDefault="00DC5865" w:rsidP="00DC5865">
      <w:pPr>
        <w:spacing w:line="240" w:lineRule="auto"/>
        <w:rPr>
          <w:rFonts w:asciiTheme="minorHAnsi" w:eastAsia="Arial" w:hAnsiTheme="minorHAnsi" w:cstheme="minorHAnsi"/>
          <w:b/>
          <w:bCs/>
          <w:sz w:val="22"/>
        </w:rPr>
      </w:pPr>
      <w:r w:rsidRPr="00DC5865">
        <w:rPr>
          <w:rFonts w:asciiTheme="minorHAnsi" w:eastAsia="Arial" w:hAnsiTheme="minorHAnsi" w:cstheme="minorHAnsi"/>
          <w:b/>
          <w:bCs/>
          <w:sz w:val="22"/>
        </w:rPr>
        <w:t>Responsabilidades do auditor pela auditoria das demonstrações contábeis individuais e consolidadas</w:t>
      </w:r>
    </w:p>
    <w:p w14:paraId="234E77A1" w14:textId="77777777" w:rsidR="00DC5865" w:rsidRPr="00DC5865" w:rsidRDefault="00DC5865" w:rsidP="00DC5865">
      <w:pPr>
        <w:spacing w:line="240" w:lineRule="auto"/>
        <w:rPr>
          <w:rFonts w:asciiTheme="minorHAnsi" w:eastAsia="Arial" w:hAnsiTheme="minorHAnsi" w:cstheme="minorHAnsi"/>
          <w:bCs/>
          <w:sz w:val="22"/>
        </w:rPr>
      </w:pPr>
      <w:r w:rsidRPr="00DC5865">
        <w:rPr>
          <w:rFonts w:asciiTheme="minorHAnsi" w:eastAsia="Arial" w:hAnsiTheme="minorHAnsi" w:cstheme="minorHAnsi"/>
          <w:bCs/>
          <w:sz w:val="22"/>
        </w:rPr>
        <w:t>Nossos objetivos são obter segurança razoável de que as demonstrações contábeis individuais e consolidadas,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14501197" w14:textId="77777777" w:rsidR="00DC5865" w:rsidRPr="00DC5865" w:rsidRDefault="00DC5865" w:rsidP="00DC5865">
      <w:pPr>
        <w:spacing w:line="240" w:lineRule="auto"/>
        <w:rPr>
          <w:rFonts w:asciiTheme="minorHAnsi" w:eastAsia="Arial" w:hAnsiTheme="minorHAnsi" w:cstheme="minorHAnsi"/>
          <w:bCs/>
          <w:iCs/>
          <w:sz w:val="22"/>
        </w:rPr>
      </w:pPr>
      <w:r w:rsidRPr="00DC5865">
        <w:rPr>
          <w:rFonts w:asciiTheme="minorHAnsi" w:eastAsia="Arial" w:hAnsiTheme="minorHAnsi" w:cstheme="minorHAnsi"/>
          <w:bCs/>
          <w:iCs/>
          <w:sz w:val="22"/>
        </w:rPr>
        <w:t>Como parte de uma auditoria realizada de acordo com as normas brasileiras e internacionais de auditoria, exercemos julgamento profissional e mantemos ceticismo profissional ao longo da auditoria. Além disso:</w:t>
      </w:r>
    </w:p>
    <w:p w14:paraId="5EBF86E0" w14:textId="77777777" w:rsidR="00DC5865" w:rsidRPr="00DC5865" w:rsidRDefault="00DC5865" w:rsidP="00DC5865">
      <w:pPr>
        <w:pStyle w:val="PargrafodaLista"/>
        <w:widowControl w:val="0"/>
        <w:numPr>
          <w:ilvl w:val="0"/>
          <w:numId w:val="97"/>
        </w:numPr>
        <w:spacing w:line="240" w:lineRule="auto"/>
        <w:ind w:left="284" w:hanging="284"/>
        <w:contextualSpacing w:val="0"/>
        <w:rPr>
          <w:rFonts w:cstheme="minorHAnsi"/>
          <w:iCs/>
        </w:rPr>
      </w:pPr>
      <w:r w:rsidRPr="00DC5865">
        <w:rPr>
          <w:rFonts w:cstheme="minorHAnsi"/>
          <w:iCs/>
        </w:rPr>
        <w:t>Identificamos e avaliamos os riscos de distorção relevante nas demonstrações contábeis individuais e consolidadas</w:t>
      </w:r>
      <w:r w:rsidRPr="00DC5865">
        <w:rPr>
          <w:rFonts w:cstheme="minorHAnsi"/>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74A621FA" w14:textId="77777777" w:rsidR="00DC5865" w:rsidRPr="00DC5865" w:rsidRDefault="00DC5865" w:rsidP="00DC5865">
      <w:pPr>
        <w:pStyle w:val="PargrafodaLista"/>
        <w:pageBreakBefore/>
        <w:widowControl w:val="0"/>
        <w:numPr>
          <w:ilvl w:val="0"/>
          <w:numId w:val="97"/>
        </w:numPr>
        <w:spacing w:line="240" w:lineRule="auto"/>
        <w:ind w:left="284" w:hanging="284"/>
        <w:contextualSpacing w:val="0"/>
        <w:rPr>
          <w:rFonts w:cstheme="minorHAnsi"/>
          <w:iCs/>
        </w:rPr>
      </w:pPr>
      <w:r w:rsidRPr="00DC5865">
        <w:rPr>
          <w:rFonts w:cstheme="minorHAnsi"/>
        </w:rPr>
        <w:lastRenderedPageBreak/>
        <w:t>Obtemos entendimento dos controles internos relevantes para a auditoria para planejarmos procedimentos de auditoria apropriados às circunstâncias, mas não com o objetivo de expressarmos opinião sobre a eficácia dos controles internos da Companhia e de suas controladas.</w:t>
      </w:r>
    </w:p>
    <w:p w14:paraId="24727586" w14:textId="77777777" w:rsidR="00DC5865" w:rsidRPr="00DC5865" w:rsidRDefault="00DC5865" w:rsidP="00DC5865">
      <w:pPr>
        <w:pStyle w:val="PargrafodaLista"/>
        <w:widowControl w:val="0"/>
        <w:numPr>
          <w:ilvl w:val="0"/>
          <w:numId w:val="97"/>
        </w:numPr>
        <w:spacing w:line="240" w:lineRule="auto"/>
        <w:ind w:left="284" w:hanging="284"/>
        <w:contextualSpacing w:val="0"/>
        <w:rPr>
          <w:rFonts w:cstheme="minorHAnsi"/>
        </w:rPr>
      </w:pPr>
      <w:r w:rsidRPr="00DC5865">
        <w:rPr>
          <w:rFonts w:cstheme="minorHAnsi"/>
        </w:rPr>
        <w:t>Avaliamos a adequação das políticas contábeis utilizadas e a razoabilidade das estimativas contábeis e respectivas divulgações feitas pela Diretoria.</w:t>
      </w:r>
    </w:p>
    <w:p w14:paraId="56135957" w14:textId="77777777" w:rsidR="00DC5865" w:rsidRPr="00DC5865" w:rsidRDefault="00DC5865" w:rsidP="00DC5865">
      <w:pPr>
        <w:pStyle w:val="PargrafodaLista"/>
        <w:widowControl w:val="0"/>
        <w:numPr>
          <w:ilvl w:val="0"/>
          <w:numId w:val="97"/>
        </w:numPr>
        <w:spacing w:line="240" w:lineRule="auto"/>
        <w:ind w:left="284" w:hanging="284"/>
        <w:contextualSpacing w:val="0"/>
        <w:rPr>
          <w:rFonts w:cstheme="minorHAnsi"/>
          <w:iCs/>
        </w:rPr>
      </w:pPr>
      <w:r w:rsidRPr="00DC5865">
        <w:rPr>
          <w:rFonts w:cstheme="minorHAnsi"/>
          <w:iCs/>
        </w:rPr>
        <w:t xml:space="preserve">Concluímos sobre a adequação do </w:t>
      </w:r>
      <w:r w:rsidRPr="00DC5865">
        <w:rPr>
          <w:rFonts w:cstheme="minorHAnsi"/>
        </w:rPr>
        <w:t xml:space="preserve">uso, pela Diretoria, da base contábil de continuidade operacional e, com base nas evidências de auditoria obtidas, se existe incerteza relevante em relação a eventos ou condições que possam levantar dúvida significativa em relação à capacidade de continuidade operacional da Companhia e de suas controladas. Se concluirmos que existe incerteza relevante, devemos chamar a atenção em nosso relatório de auditoria para as respectivas divulgações nas demonstrações contábeis individuais e consolidadas ou incluir modificação em nossa opinião, se as divulgações forem inadequadas. </w:t>
      </w:r>
      <w:r w:rsidRPr="00DC5865">
        <w:rPr>
          <w:rFonts w:cstheme="minorHAnsi"/>
          <w:kern w:val="8"/>
        </w:rPr>
        <w:t xml:space="preserve">Nossas conclusões estão fundamentadas nas evidências de auditoria obtidas até a data de nosso relatório. Todavia, eventos ou condições futuras podem levar </w:t>
      </w:r>
      <w:r w:rsidRPr="00DC5865">
        <w:rPr>
          <w:rFonts w:cstheme="minorHAnsi"/>
        </w:rPr>
        <w:t>a Companhia e suas controladas</w:t>
      </w:r>
      <w:r w:rsidRPr="00DC5865">
        <w:rPr>
          <w:rFonts w:cstheme="minorHAnsi"/>
          <w:kern w:val="8"/>
        </w:rPr>
        <w:t xml:space="preserve"> a não mais se manterem em continuidade operacional.</w:t>
      </w:r>
    </w:p>
    <w:p w14:paraId="3F573945" w14:textId="77777777" w:rsidR="00DC5865" w:rsidRPr="00DC5865" w:rsidRDefault="00DC5865" w:rsidP="00DC5865">
      <w:pPr>
        <w:pStyle w:val="PargrafodaLista"/>
        <w:widowControl w:val="0"/>
        <w:numPr>
          <w:ilvl w:val="0"/>
          <w:numId w:val="97"/>
        </w:numPr>
        <w:spacing w:line="240" w:lineRule="auto"/>
        <w:ind w:left="284" w:hanging="284"/>
        <w:contextualSpacing w:val="0"/>
        <w:rPr>
          <w:rFonts w:cstheme="minorHAnsi"/>
        </w:rPr>
      </w:pPr>
      <w:r w:rsidRPr="00DC5865">
        <w:rPr>
          <w:rFonts w:cstheme="minorHAnsi"/>
        </w:rPr>
        <w:t>Avaliamos a apresentação geral, a estrutura e o conteúdo das demonstrações contábeis, inclusive as divulgações e se as demonstrações contábeis individuais e consolidadas representam as correspondentes transações e os eventos de maneira compatível com o objetivo de apresentação adequada.</w:t>
      </w:r>
    </w:p>
    <w:p w14:paraId="103CDDAB" w14:textId="77777777" w:rsidR="00DC5865" w:rsidRPr="00DC5865" w:rsidRDefault="00DC5865" w:rsidP="00DC5865">
      <w:pPr>
        <w:pStyle w:val="PargrafodaLista"/>
        <w:widowControl w:val="0"/>
        <w:numPr>
          <w:ilvl w:val="0"/>
          <w:numId w:val="97"/>
        </w:numPr>
        <w:spacing w:line="240" w:lineRule="auto"/>
        <w:ind w:left="284" w:hanging="284"/>
        <w:contextualSpacing w:val="0"/>
        <w:rPr>
          <w:rFonts w:cstheme="minorHAnsi"/>
        </w:rPr>
      </w:pPr>
      <w:r w:rsidRPr="00DC5865">
        <w:rPr>
          <w:rFonts w:cstheme="minorHAnsi"/>
        </w:rPr>
        <w:t>Obtemos evidência de auditoria apropriada e suficiente referente às informações financeiras das entidades ou atividades de negócio do Grupo para expressar uma opinião sobre as demonstrações contábeis consolidadas. Somos responsáveis pela direção, pela supervisão e pelo desempenho da auditoria do Grupo e, consequentemente, pela opinião de auditoria.</w:t>
      </w:r>
    </w:p>
    <w:p w14:paraId="0A10952F" w14:textId="77777777" w:rsidR="00DC5865" w:rsidRPr="00DC5865" w:rsidRDefault="00DC5865" w:rsidP="00DC5865">
      <w:pPr>
        <w:spacing w:line="240" w:lineRule="auto"/>
        <w:rPr>
          <w:rFonts w:asciiTheme="minorHAnsi" w:hAnsiTheme="minorHAnsi" w:cstheme="minorHAnsi"/>
          <w:sz w:val="22"/>
        </w:rPr>
      </w:pPr>
      <w:r w:rsidRPr="00DC5865">
        <w:rPr>
          <w:rFonts w:asciiTheme="minorHAnsi" w:hAnsiTheme="minorHAnsi" w:cstheme="minorHAnsi"/>
          <w:sz w:val="22"/>
        </w:rPr>
        <w:t>Comunicamo-nos com os responsáveis pela governança a respeito,</w:t>
      </w:r>
      <w:r w:rsidRPr="00DC5865" w:rsidDel="005630F4">
        <w:rPr>
          <w:rFonts w:asciiTheme="minorHAnsi" w:hAnsiTheme="minorHAnsi" w:cstheme="minorHAnsi"/>
          <w:sz w:val="22"/>
        </w:rPr>
        <w:t xml:space="preserve"> </w:t>
      </w:r>
      <w:r w:rsidRPr="00DC5865">
        <w:rPr>
          <w:rFonts w:asciiTheme="minorHAnsi" w:hAnsiTheme="minorHAnsi" w:cstheme="minorHAnsi"/>
          <w:sz w:val="22"/>
        </w:rPr>
        <w:t>entre outros aspectos, do alcance planejado, da época da auditoria e das constatações significativas de auditoria, inclusive as eventuais deficiências significativas nos controles internos que identificamos durante nossos trabalhos.</w:t>
      </w:r>
    </w:p>
    <w:p w14:paraId="3937D80F" w14:textId="77777777" w:rsidR="00DC5865" w:rsidRPr="00DC5865" w:rsidRDefault="00DC5865" w:rsidP="00DC5865">
      <w:pPr>
        <w:spacing w:line="240" w:lineRule="auto"/>
        <w:rPr>
          <w:rFonts w:asciiTheme="minorHAnsi" w:hAnsiTheme="minorHAnsi" w:cstheme="minorHAnsi"/>
          <w:kern w:val="8"/>
          <w:sz w:val="22"/>
        </w:rPr>
      </w:pPr>
      <w:r w:rsidRPr="00DC5865">
        <w:rPr>
          <w:rFonts w:asciiTheme="minorHAnsi" w:hAnsiTheme="minorHAnsi" w:cstheme="minorHAnsi"/>
          <w:sz w:val="22"/>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r w:rsidRPr="00DC5865">
        <w:rPr>
          <w:rFonts w:asciiTheme="minorHAnsi" w:hAnsiTheme="minorHAnsi" w:cstheme="minorHAnsi"/>
          <w:kern w:val="8"/>
          <w:sz w:val="22"/>
        </w:rPr>
        <w:t>.</w:t>
      </w:r>
    </w:p>
    <w:p w14:paraId="2E6882D4" w14:textId="77777777" w:rsidR="00DC5865" w:rsidRPr="00DC5865" w:rsidRDefault="00DC5865" w:rsidP="00DC5865">
      <w:pPr>
        <w:spacing w:line="240" w:lineRule="auto"/>
        <w:rPr>
          <w:rFonts w:asciiTheme="minorHAnsi" w:hAnsiTheme="minorHAnsi" w:cstheme="minorHAnsi"/>
          <w:sz w:val="22"/>
        </w:rPr>
      </w:pPr>
      <w:r w:rsidRPr="00DC5865">
        <w:rPr>
          <w:rFonts w:asciiTheme="minorHAnsi" w:hAnsiTheme="minorHAnsi" w:cstheme="minorHAnsi"/>
          <w:sz w:val="22"/>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bookmarkStart w:id="117" w:name="_bookmark37"/>
      <w:bookmarkStart w:id="118" w:name="_bookmark38"/>
      <w:bookmarkEnd w:id="117"/>
      <w:bookmarkEnd w:id="118"/>
    </w:p>
    <w:p w14:paraId="7A6FCE83" w14:textId="5B62D8AC" w:rsidR="00DC5865" w:rsidRPr="00DC5865" w:rsidRDefault="00DC5865" w:rsidP="00DC5865">
      <w:pPr>
        <w:tabs>
          <w:tab w:val="center" w:pos="4819"/>
        </w:tabs>
        <w:spacing w:after="600" w:line="240" w:lineRule="auto"/>
        <w:rPr>
          <w:rFonts w:asciiTheme="minorHAnsi" w:hAnsiTheme="minorHAnsi" w:cstheme="minorHAnsi"/>
          <w:sz w:val="22"/>
        </w:rPr>
      </w:pPr>
      <w:r w:rsidRPr="00DC5865">
        <w:rPr>
          <w:rFonts w:asciiTheme="minorHAnsi" w:hAnsiTheme="minorHAnsi" w:cstheme="minorHAnsi"/>
          <w:sz w:val="22"/>
        </w:rPr>
        <w:t>Brasília, 4 de fevereiro de 2022</w:t>
      </w:r>
      <w:r>
        <w:rPr>
          <w:rFonts w:asciiTheme="minorHAnsi" w:hAnsiTheme="minorHAnsi" w:cstheme="minorHAnsi"/>
          <w:sz w:val="22"/>
        </w:rPr>
        <w:tab/>
      </w:r>
    </w:p>
    <w:tbl>
      <w:tblPr>
        <w:tblW w:w="9713" w:type="dxa"/>
        <w:tblInd w:w="-113" w:type="dxa"/>
        <w:tblLayout w:type="fixed"/>
        <w:tblCellMar>
          <w:left w:w="113" w:type="dxa"/>
          <w:right w:w="113" w:type="dxa"/>
        </w:tblCellMar>
        <w:tblLook w:val="04A0" w:firstRow="1" w:lastRow="0" w:firstColumn="1" w:lastColumn="0" w:noHBand="0" w:noVBand="1"/>
      </w:tblPr>
      <w:tblGrid>
        <w:gridCol w:w="6917"/>
        <w:gridCol w:w="2796"/>
      </w:tblGrid>
      <w:tr w:rsidR="00DC5865" w:rsidRPr="00DC5865" w14:paraId="552553E5" w14:textId="77777777" w:rsidTr="00C71B37">
        <w:tc>
          <w:tcPr>
            <w:tcW w:w="6917" w:type="dxa"/>
            <w:shd w:val="clear" w:color="auto" w:fill="auto"/>
          </w:tcPr>
          <w:p w14:paraId="2E526D14"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sz w:val="22"/>
              </w:rPr>
              <w:t>DELOITTE TOUCHE TOHMATSU</w:t>
            </w:r>
          </w:p>
        </w:tc>
        <w:tc>
          <w:tcPr>
            <w:tcW w:w="2796" w:type="dxa"/>
            <w:shd w:val="clear" w:color="auto" w:fill="auto"/>
          </w:tcPr>
          <w:p w14:paraId="2B2F6AEA"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color w:val="000000"/>
                <w:sz w:val="22"/>
              </w:rPr>
              <w:t>Roberto Paulo Kenedi</w:t>
            </w:r>
          </w:p>
        </w:tc>
      </w:tr>
      <w:tr w:rsidR="00DC5865" w:rsidRPr="00DC5865" w14:paraId="55889051" w14:textId="77777777" w:rsidTr="00C71B37">
        <w:tc>
          <w:tcPr>
            <w:tcW w:w="6917" w:type="dxa"/>
            <w:shd w:val="clear" w:color="auto" w:fill="auto"/>
          </w:tcPr>
          <w:p w14:paraId="14105D93"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sz w:val="22"/>
              </w:rPr>
              <w:t>Auditores Independentes Ltda.</w:t>
            </w:r>
          </w:p>
        </w:tc>
        <w:tc>
          <w:tcPr>
            <w:tcW w:w="2796" w:type="dxa"/>
            <w:shd w:val="clear" w:color="auto" w:fill="auto"/>
          </w:tcPr>
          <w:p w14:paraId="52E27AA9"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sz w:val="22"/>
              </w:rPr>
              <w:t>Contador</w:t>
            </w:r>
          </w:p>
        </w:tc>
      </w:tr>
      <w:tr w:rsidR="00DC5865" w:rsidRPr="00DC5865" w14:paraId="43AA0614" w14:textId="77777777" w:rsidTr="00C71B37">
        <w:tc>
          <w:tcPr>
            <w:tcW w:w="6917" w:type="dxa"/>
            <w:shd w:val="clear" w:color="auto" w:fill="auto"/>
          </w:tcPr>
          <w:p w14:paraId="731554FB"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sz w:val="22"/>
              </w:rPr>
              <w:t>CRC nº 2 SP 011609/O-8 “F” DF</w:t>
            </w:r>
          </w:p>
        </w:tc>
        <w:tc>
          <w:tcPr>
            <w:tcW w:w="2796" w:type="dxa"/>
            <w:shd w:val="clear" w:color="auto" w:fill="auto"/>
          </w:tcPr>
          <w:p w14:paraId="146A0E0F" w14:textId="77777777" w:rsidR="00DC5865" w:rsidRPr="00DC5865" w:rsidRDefault="00DC5865" w:rsidP="00C71B37">
            <w:pPr>
              <w:spacing w:after="0" w:line="240" w:lineRule="auto"/>
              <w:rPr>
                <w:rFonts w:asciiTheme="minorHAnsi" w:hAnsiTheme="minorHAnsi" w:cstheme="minorHAnsi"/>
                <w:sz w:val="22"/>
              </w:rPr>
            </w:pPr>
            <w:r w:rsidRPr="00DC5865">
              <w:rPr>
                <w:rFonts w:asciiTheme="minorHAnsi" w:hAnsiTheme="minorHAnsi" w:cstheme="minorHAnsi"/>
                <w:color w:val="000000"/>
                <w:sz w:val="22"/>
              </w:rPr>
              <w:t>CRC nº 1 RJ 081401/O-5</w:t>
            </w:r>
          </w:p>
        </w:tc>
      </w:tr>
    </w:tbl>
    <w:p w14:paraId="6CB802AE" w14:textId="39D92B67" w:rsidR="00DC5865" w:rsidRPr="00091F78" w:rsidRDefault="00DC5865" w:rsidP="00DC5865">
      <w:pPr>
        <w:spacing w:after="0"/>
        <w:rPr>
          <w:rFonts w:cs="Calibri"/>
          <w:sz w:val="12"/>
          <w:szCs w:val="12"/>
        </w:rPr>
      </w:pPr>
    </w:p>
    <w:p w14:paraId="5ADCCE1D" w14:textId="77777777" w:rsidR="00FD5AF6" w:rsidRDefault="00FD5AF6">
      <w:pPr>
        <w:sectPr w:rsidR="00FD5AF6" w:rsidSect="00FD5AF6">
          <w:headerReference w:type="even" r:id="rId42"/>
          <w:footerReference w:type="even" r:id="rId43"/>
          <w:headerReference w:type="first" r:id="rId44"/>
          <w:footerReference w:type="first" r:id="rId45"/>
          <w:pgSz w:w="11906" w:h="16838" w:code="9"/>
          <w:pgMar w:top="1134" w:right="1134" w:bottom="851" w:left="1134" w:header="851" w:footer="284" w:gutter="0"/>
          <w:cols w:space="708"/>
          <w:docGrid w:linePitch="360"/>
        </w:sectPr>
      </w:pPr>
    </w:p>
    <w:p w14:paraId="47FB8E2C" w14:textId="77777777" w:rsidR="00342E77" w:rsidRDefault="00342E77" w:rsidP="006C4139">
      <w:pPr>
        <w:pStyle w:val="Ttulo2"/>
        <w:rPr>
          <w:rFonts w:eastAsia="Times New Roman" w:cs="Times New Roman"/>
          <w:b/>
          <w:spacing w:val="-2"/>
          <w:sz w:val="20"/>
          <w:szCs w:val="20"/>
          <w:lang w:eastAsia="pt-BR"/>
        </w:rPr>
      </w:pPr>
    </w:p>
    <w:p w14:paraId="7FED7137" w14:textId="59264D90" w:rsidR="00F44ABA" w:rsidRPr="00F44ABA" w:rsidRDefault="00F44ABA" w:rsidP="006C4139">
      <w:pPr>
        <w:pStyle w:val="Ttulo2"/>
        <w:rPr>
          <w:rFonts w:ascii="Arial" w:hAnsi="Arial" w:cs="Arial"/>
          <w:b/>
          <w:bCs/>
          <w:color w:val="1F4E79" w:themeColor="accent1" w:themeShade="80"/>
          <w:sz w:val="20"/>
          <w:szCs w:val="20"/>
        </w:rPr>
      </w:pPr>
      <w:r w:rsidRPr="00F44ABA">
        <w:rPr>
          <w:rFonts w:ascii="Arial" w:hAnsi="Arial" w:cs="Arial"/>
          <w:b/>
          <w:bCs/>
          <w:color w:val="1F4E79" w:themeColor="accent1" w:themeShade="80"/>
          <w:sz w:val="20"/>
          <w:szCs w:val="20"/>
        </w:rPr>
        <w:t>Resumo do Relatório do Comitê de Auditoria – Exercício 2021</w:t>
      </w:r>
    </w:p>
    <w:p w14:paraId="1DF6621B" w14:textId="77777777" w:rsidR="00F44ABA" w:rsidRDefault="00F44ABA" w:rsidP="00F43447">
      <w:pPr>
        <w:spacing w:before="240" w:after="240" w:line="276" w:lineRule="auto"/>
        <w:jc w:val="both"/>
        <w:rPr>
          <w:rFonts w:cs="Arial"/>
          <w:b/>
          <w:bCs/>
          <w:color w:val="1F4E79" w:themeColor="accent1" w:themeShade="80"/>
          <w:szCs w:val="18"/>
        </w:rPr>
      </w:pPr>
    </w:p>
    <w:p w14:paraId="531D3CA5" w14:textId="78DEFF55" w:rsidR="00F44ABA" w:rsidRPr="006C4139" w:rsidRDefault="00F44ABA" w:rsidP="00F43447">
      <w:pPr>
        <w:spacing w:before="240" w:after="240" w:line="276" w:lineRule="auto"/>
        <w:jc w:val="both"/>
        <w:rPr>
          <w:rFonts w:cs="Arial"/>
          <w:b/>
          <w:bCs/>
          <w:color w:val="1F4E79" w:themeColor="accent1" w:themeShade="80"/>
          <w:szCs w:val="18"/>
        </w:rPr>
      </w:pPr>
      <w:r w:rsidRPr="006C4139">
        <w:rPr>
          <w:rFonts w:cs="Arial"/>
          <w:b/>
          <w:bCs/>
          <w:color w:val="1F4E79" w:themeColor="accent1" w:themeShade="80"/>
          <w:szCs w:val="18"/>
        </w:rPr>
        <w:t xml:space="preserve">Introdução </w:t>
      </w:r>
    </w:p>
    <w:p w14:paraId="23AC74EA" w14:textId="3BC1A64F" w:rsidR="00F44ABA" w:rsidRPr="006C4139" w:rsidRDefault="00F44ABA" w:rsidP="00F43447">
      <w:pPr>
        <w:spacing w:before="80" w:after="80" w:line="276" w:lineRule="auto"/>
        <w:ind w:firstLine="851"/>
        <w:jc w:val="both"/>
        <w:rPr>
          <w:rFonts w:cs="Arial"/>
          <w:bCs/>
          <w:color w:val="1F4E79" w:themeColor="accent1" w:themeShade="80"/>
          <w:szCs w:val="18"/>
        </w:rPr>
      </w:pPr>
      <w:r w:rsidRPr="006C4139">
        <w:rPr>
          <w:rFonts w:cs="Arial"/>
          <w:bCs/>
          <w:szCs w:val="18"/>
        </w:rPr>
        <w:t xml:space="preserve">O Comitê de Auditoria foi instalado na BB Seguridade Participações S.A. em 2015. É um órgão estatutário de assessoramento ao Conselho de Administração, atuando de forma permanente e independente, com a finalidade precípua de avaliar e manifestar-se sobre a qualidade e integridade das demonstrações financeiras da Companhia; a efetividade do sistema de controles internos e da Auditoria Interna; a atuação do Auditor Externo; as exposições de risco da Companhia e a adequação das transações com partes relacionadas. O Regimento Interno do Comitê, aprovado pelo Conselho de Administração, encontra-se disponível no endereço eletrônico </w:t>
      </w:r>
      <w:r w:rsidRPr="00571767">
        <w:rPr>
          <w:rFonts w:cs="Arial"/>
          <w:bCs/>
          <w:szCs w:val="18"/>
        </w:rPr>
        <w:t>https://www.bbseguridaderi.com.br/sustentabilidade-e-governanca/administracao-e-comites/</w:t>
      </w:r>
      <w:r w:rsidRPr="006C4139">
        <w:rPr>
          <w:rFonts w:cs="Arial"/>
          <w:bCs/>
          <w:color w:val="1F4E79" w:themeColor="accent1" w:themeShade="80"/>
          <w:szCs w:val="18"/>
        </w:rPr>
        <w:t>.</w:t>
      </w:r>
    </w:p>
    <w:p w14:paraId="2A0DE8DC"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Conforme previsto no Regimento Interno, a partir da adesão das sociedades controladas ao Comitê de Auditoria único, a composição passou a ser de até 05 (cinco) membros, sendo 01 (um) indicado pelos representantes dos minoritários, 01 (um) membro independente do Conselho de Administração e os demais titulares, 03 (três), indicados pelos outros membros do Conselho de Administração.</w:t>
      </w:r>
    </w:p>
    <w:p w14:paraId="72AB0E12"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 xml:space="preserve">A Administração é responsável por elaborar e garantir a integridade das demonstrações contábeis, gerir os riscos, definir, testar e manter sistema de controles internos efetivo e zelar pela conformidade às normas legais e regulamentares. </w:t>
      </w:r>
    </w:p>
    <w:p w14:paraId="2747B3B0"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A Auditoria Interna responde pela realização de trabalhos periódicos, com foco nos principais riscos, avaliando, com independência, as ações de gerenciamento desses riscos e a adequação da governança e dos controles internos.</w:t>
      </w:r>
    </w:p>
    <w:p w14:paraId="04C53731"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A Auditoria Externa é responsável pela auditoria das demonstrações contábeis. Avalia, também, no contexto do trabalho de auditor externo, a qualidade e adequação do sistema de controles internos e o cumprimento de dispositivos legais e regulamentares.</w:t>
      </w:r>
    </w:p>
    <w:p w14:paraId="1CE2F485" w14:textId="77777777" w:rsidR="00F44ABA" w:rsidRPr="006C4139" w:rsidRDefault="00F44ABA" w:rsidP="00F43447">
      <w:pPr>
        <w:spacing w:before="240" w:after="240" w:line="276" w:lineRule="auto"/>
        <w:jc w:val="both"/>
        <w:rPr>
          <w:rFonts w:cs="Arial"/>
          <w:b/>
          <w:bCs/>
          <w:color w:val="1F4E79" w:themeColor="accent1" w:themeShade="80"/>
          <w:szCs w:val="18"/>
        </w:rPr>
      </w:pPr>
      <w:r w:rsidRPr="006C4139">
        <w:rPr>
          <w:rFonts w:cs="Arial"/>
          <w:b/>
          <w:bCs/>
          <w:color w:val="1F4E79" w:themeColor="accent1" w:themeShade="80"/>
          <w:szCs w:val="18"/>
        </w:rPr>
        <w:t xml:space="preserve">Principais Atividades </w:t>
      </w:r>
    </w:p>
    <w:p w14:paraId="49CB621D"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No período de 01 de janeiro a 31 de dezembro de 2021, o Comitê fez diligências e requisições de documentos e informações junto à Administração da BB Seguridade, da BB Corretora e da BB Seguros, gestor de riscos e controles, e aos auditores interno e externo. As atividades desenvolvidas em 2021, registradas em atas, cobriram o conjunto de responsabilidades atribuídas ao órgão e estão adiante sintetizadas.</w:t>
      </w:r>
    </w:p>
    <w:p w14:paraId="1A7FDD89"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O Comitê de Auditoria abordou, em especial, assuntos relacionados às demonstrações contábeis, aos sistemas de controles internos, processos contábeis, fisco-tributários e de gestão de riscos e relativos a transações com partes relacionadas. Nas situações em que identificou necessidade de melhoria, recomendou aprimoramentos.</w:t>
      </w:r>
    </w:p>
    <w:p w14:paraId="366292EF"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Também foi objeto de especial atenção o monitoramento e acompanhamento das providências adotadas pela Companhia para adaptação aos requerimentos da Lei Geral de Proteção de Dados Pessoais (LGPD).</w:t>
      </w:r>
    </w:p>
    <w:p w14:paraId="7EAB9D35"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Manteve diálogo com as auditorias interna e externa, oportunidades em que apreciou os seus planejamentos e conheceu os resultados dos principais trabalhos, suas conclusões e recomendações.</w:t>
      </w:r>
    </w:p>
    <w:p w14:paraId="18BAF7E9"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Revisou as demonstrações contábeis, previamente à divulgação, da BB Seguridade, BB Corretora e BB Seguros, assim como as notas explicativas e o relatório da Administração, e discutiu com o auditor externo seus relatórios e apontamentos.</w:t>
      </w:r>
    </w:p>
    <w:p w14:paraId="57C570A6" w14:textId="77777777" w:rsidR="00F44ABA" w:rsidRPr="000F78C2" w:rsidRDefault="00F44ABA" w:rsidP="006C4139">
      <w:pPr>
        <w:keepNext/>
        <w:keepLines/>
        <w:pageBreakBefore/>
        <w:spacing w:before="240" w:after="240" w:line="276" w:lineRule="auto"/>
        <w:jc w:val="both"/>
        <w:rPr>
          <w:rFonts w:cs="Arial"/>
          <w:b/>
          <w:bCs/>
          <w:color w:val="1F4E79" w:themeColor="accent1" w:themeShade="80"/>
          <w:szCs w:val="18"/>
        </w:rPr>
      </w:pPr>
      <w:r w:rsidRPr="000F78C2">
        <w:rPr>
          <w:rFonts w:cs="Arial"/>
          <w:b/>
          <w:bCs/>
          <w:color w:val="1F4E79" w:themeColor="accent1" w:themeShade="80"/>
          <w:szCs w:val="18"/>
        </w:rPr>
        <w:lastRenderedPageBreak/>
        <w:t>Conclusões</w:t>
      </w:r>
    </w:p>
    <w:p w14:paraId="4C7F6353" w14:textId="77777777" w:rsidR="00F44ABA" w:rsidRPr="006C4139" w:rsidRDefault="00F44ABA" w:rsidP="00F43447">
      <w:pPr>
        <w:spacing w:before="80" w:after="80" w:line="276" w:lineRule="auto"/>
        <w:ind w:firstLine="851"/>
        <w:jc w:val="both"/>
        <w:rPr>
          <w:rFonts w:cs="Arial"/>
          <w:bCs/>
          <w:szCs w:val="18"/>
        </w:rPr>
      </w:pPr>
      <w:r w:rsidRPr="006C4139">
        <w:rPr>
          <w:rFonts w:cs="Arial"/>
          <w:bCs/>
          <w:szCs w:val="18"/>
        </w:rPr>
        <w:t xml:space="preserve">Com base nas atividades desenvolvidas e tendo presente as atribuições e limitações inerentes ao escopo de sua atuação, o Comitê de Auditoria considera que: </w:t>
      </w:r>
    </w:p>
    <w:p w14:paraId="4E124AE2" w14:textId="77777777" w:rsidR="00F44ABA" w:rsidRPr="006C4139" w:rsidRDefault="00F44ABA" w:rsidP="00F44ABA">
      <w:pPr>
        <w:pStyle w:val="PargrafodaLista"/>
        <w:numPr>
          <w:ilvl w:val="0"/>
          <w:numId w:val="96"/>
        </w:numPr>
        <w:spacing w:before="80" w:after="80"/>
        <w:ind w:left="1135" w:hanging="284"/>
        <w:contextualSpacing w:val="0"/>
        <w:jc w:val="both"/>
        <w:rPr>
          <w:rFonts w:ascii="Arial" w:hAnsi="Arial" w:cs="Arial"/>
          <w:bCs/>
          <w:sz w:val="18"/>
          <w:szCs w:val="18"/>
        </w:rPr>
      </w:pPr>
      <w:r w:rsidRPr="006C4139">
        <w:rPr>
          <w:rFonts w:ascii="Arial" w:hAnsi="Arial" w:cs="Arial"/>
          <w:bCs/>
          <w:sz w:val="18"/>
          <w:szCs w:val="18"/>
        </w:rPr>
        <w:t>Os controles internos das Companhias evoluíram em 2021 e se mostraram adequados ao porte e à complexidade dos negócios e é objeto de permanente atenção por parte da Administração;</w:t>
      </w:r>
    </w:p>
    <w:p w14:paraId="2ECF90E0" w14:textId="77777777" w:rsidR="00F44ABA" w:rsidRPr="006C4139" w:rsidRDefault="00F44ABA" w:rsidP="00F44ABA">
      <w:pPr>
        <w:pStyle w:val="PargrafodaLista"/>
        <w:numPr>
          <w:ilvl w:val="0"/>
          <w:numId w:val="96"/>
        </w:numPr>
        <w:spacing w:before="80" w:after="80"/>
        <w:ind w:left="1134" w:hanging="283"/>
        <w:contextualSpacing w:val="0"/>
        <w:jc w:val="both"/>
        <w:rPr>
          <w:rFonts w:ascii="Arial" w:hAnsi="Arial" w:cs="Arial"/>
          <w:bCs/>
          <w:sz w:val="18"/>
          <w:szCs w:val="18"/>
        </w:rPr>
      </w:pPr>
      <w:r w:rsidRPr="006C4139">
        <w:rPr>
          <w:rFonts w:ascii="Arial" w:hAnsi="Arial" w:cs="Arial"/>
          <w:bCs/>
          <w:sz w:val="18"/>
          <w:szCs w:val="18"/>
        </w:rPr>
        <w:t>A Auditoria Interna, com orçamento e estrutura própria e adequada, desempenhou suas funções com independência, objetividade e qualidade;</w:t>
      </w:r>
    </w:p>
    <w:p w14:paraId="6BF5B3DE" w14:textId="77777777" w:rsidR="00F44ABA" w:rsidRPr="006C4139" w:rsidRDefault="00F44ABA" w:rsidP="00F44ABA">
      <w:pPr>
        <w:pStyle w:val="PargrafodaLista"/>
        <w:numPr>
          <w:ilvl w:val="0"/>
          <w:numId w:val="96"/>
        </w:numPr>
        <w:spacing w:before="80" w:after="80"/>
        <w:ind w:left="1134" w:hanging="283"/>
        <w:contextualSpacing w:val="0"/>
        <w:jc w:val="both"/>
        <w:rPr>
          <w:rFonts w:ascii="Arial" w:hAnsi="Arial" w:cs="Arial"/>
          <w:bCs/>
          <w:sz w:val="18"/>
          <w:szCs w:val="18"/>
        </w:rPr>
      </w:pPr>
      <w:r w:rsidRPr="006C4139">
        <w:rPr>
          <w:rFonts w:ascii="Arial" w:hAnsi="Arial" w:cs="Arial"/>
          <w:bCs/>
          <w:sz w:val="18"/>
          <w:szCs w:val="18"/>
        </w:rPr>
        <w:t xml:space="preserve">Os trabalhos e as informações fornecidas pelo Auditor Externo foram adequados e apoiaram a opinião do Comitê acerca da integridade das demonstrações financeiras. Não foram identificadas ocorrências que pudessem comprometer sua independência; </w:t>
      </w:r>
    </w:p>
    <w:p w14:paraId="4C024B53" w14:textId="77777777" w:rsidR="00F44ABA" w:rsidRPr="006C4139" w:rsidRDefault="00F44ABA" w:rsidP="00F44ABA">
      <w:pPr>
        <w:pStyle w:val="PargrafodaLista"/>
        <w:numPr>
          <w:ilvl w:val="0"/>
          <w:numId w:val="96"/>
        </w:numPr>
        <w:spacing w:before="80" w:after="80"/>
        <w:ind w:left="1134" w:hanging="283"/>
        <w:contextualSpacing w:val="0"/>
        <w:jc w:val="both"/>
        <w:rPr>
          <w:rFonts w:ascii="Arial" w:hAnsi="Arial" w:cs="Arial"/>
          <w:bCs/>
          <w:sz w:val="18"/>
          <w:szCs w:val="18"/>
        </w:rPr>
      </w:pPr>
      <w:r w:rsidRPr="006C4139">
        <w:rPr>
          <w:rFonts w:ascii="Arial" w:hAnsi="Arial" w:cs="Arial"/>
          <w:bCs/>
          <w:sz w:val="18"/>
          <w:szCs w:val="18"/>
        </w:rPr>
        <w:t>Os processos internos de gestão de riscos evoluíram em relação ao período anterior, embora ainda careçam de melhorias, como ferramentas e informações que permitam à Companhia ampliar sua visão e capacidade de ação sobre os processos de gestão de riscos e de capital, inclusive no âmbito de empresas participadas;</w:t>
      </w:r>
    </w:p>
    <w:p w14:paraId="0F109CC7" w14:textId="77777777" w:rsidR="00F44ABA" w:rsidRPr="006C4139" w:rsidRDefault="00F44ABA" w:rsidP="00F44ABA">
      <w:pPr>
        <w:pStyle w:val="PargrafodaLista"/>
        <w:numPr>
          <w:ilvl w:val="0"/>
          <w:numId w:val="96"/>
        </w:numPr>
        <w:spacing w:before="80" w:after="80"/>
        <w:ind w:left="1134" w:hanging="283"/>
        <w:contextualSpacing w:val="0"/>
        <w:jc w:val="both"/>
        <w:rPr>
          <w:rFonts w:ascii="Arial" w:hAnsi="Arial" w:cs="Arial"/>
          <w:bCs/>
          <w:sz w:val="18"/>
          <w:szCs w:val="18"/>
        </w:rPr>
      </w:pPr>
      <w:r w:rsidRPr="006C4139">
        <w:rPr>
          <w:rFonts w:ascii="Arial" w:hAnsi="Arial" w:cs="Arial"/>
          <w:bCs/>
          <w:sz w:val="18"/>
          <w:szCs w:val="18"/>
        </w:rPr>
        <w:t>As transações com partes relacionadas da Companhia foram avaliadas e monitoradas pela Administração e por comitê próprio estatutário, não tendo sido reportadas distorções significativas. Dado o volume de transações, é mantido um acompanhamento contínuo objetivando conferir maior transparência aos processos.</w:t>
      </w:r>
    </w:p>
    <w:p w14:paraId="0B5B27CF" w14:textId="77777777" w:rsidR="00F44ABA" w:rsidRPr="006C4139" w:rsidRDefault="00F44ABA" w:rsidP="00F43447">
      <w:pPr>
        <w:pStyle w:val="PargrafodaLista"/>
        <w:tabs>
          <w:tab w:val="left" w:pos="0"/>
          <w:tab w:val="left" w:pos="284"/>
          <w:tab w:val="left" w:pos="567"/>
          <w:tab w:val="right" w:pos="10065"/>
        </w:tabs>
        <w:spacing w:before="120" w:after="120"/>
        <w:ind w:left="0" w:firstLine="851"/>
        <w:contextualSpacing w:val="0"/>
        <w:jc w:val="both"/>
        <w:rPr>
          <w:rFonts w:ascii="Arial" w:hAnsi="Arial" w:cs="Arial"/>
          <w:bCs/>
          <w:sz w:val="18"/>
          <w:szCs w:val="18"/>
        </w:rPr>
      </w:pPr>
      <w:r w:rsidRPr="000F78C2">
        <w:rPr>
          <w:rFonts w:ascii="Arial" w:hAnsi="Arial" w:cs="Arial"/>
          <w:b/>
          <w:sz w:val="18"/>
          <w:szCs w:val="18"/>
        </w:rPr>
        <w:t>Opinião:</w:t>
      </w:r>
      <w:r w:rsidRPr="006C4139">
        <w:rPr>
          <w:rFonts w:ascii="Arial" w:hAnsi="Arial" w:cs="Arial"/>
          <w:bCs/>
          <w:sz w:val="18"/>
          <w:szCs w:val="18"/>
        </w:rPr>
        <w:t xml:space="preserve"> Com base nos trabalhos e entrevistas realizadas ao longo do exercício e tendo presente as atribuições e limitações inerentes ao escopo de sua atuação, e considerando os sistemas de controles internos, os trabalhos realizados pelos auditores internos e auditores externos, assim como seu relatório emitido sem ressalvas em 04 de fevereiro de 2022, o Comitê de Auditoria não encontrou nenhum indício ou evidência de que as demonstrações contábeis individual e consolidada não representem, adequadamente, em todos os aspectos relevantes, a posição patrimonial e financeira da BB Seguridade Participações S.A. e de suas Controladas em 31 de dezembro de 2021. Nesse sentido, o Comitê opina que as mesmas estão em condições de serem apreciadas pelo Conselho de Administração. </w:t>
      </w:r>
    </w:p>
    <w:p w14:paraId="4312D570" w14:textId="77777777" w:rsidR="00F44ABA" w:rsidRPr="006C4139" w:rsidRDefault="00F44ABA" w:rsidP="00F43447">
      <w:pPr>
        <w:spacing w:before="80" w:after="80" w:line="276" w:lineRule="auto"/>
        <w:ind w:firstLine="851"/>
        <w:jc w:val="both"/>
        <w:rPr>
          <w:rFonts w:cs="Arial"/>
          <w:bCs/>
          <w:szCs w:val="18"/>
        </w:rPr>
      </w:pPr>
    </w:p>
    <w:p w14:paraId="44930E17" w14:textId="77777777" w:rsidR="00F44ABA" w:rsidRPr="006C4139" w:rsidRDefault="00F44ABA" w:rsidP="00F43447">
      <w:pPr>
        <w:spacing w:before="120" w:after="120" w:line="276" w:lineRule="auto"/>
        <w:ind w:firstLine="851"/>
        <w:jc w:val="both"/>
        <w:rPr>
          <w:rFonts w:cs="Arial"/>
          <w:bCs/>
          <w:szCs w:val="18"/>
        </w:rPr>
      </w:pPr>
    </w:p>
    <w:p w14:paraId="5890717B" w14:textId="77777777" w:rsidR="00F44ABA" w:rsidRPr="006C4139" w:rsidRDefault="00F44ABA" w:rsidP="00F43447">
      <w:pPr>
        <w:spacing w:before="120" w:after="120" w:line="276" w:lineRule="auto"/>
        <w:ind w:firstLine="851"/>
        <w:jc w:val="center"/>
        <w:rPr>
          <w:rFonts w:cs="Arial"/>
          <w:bCs/>
          <w:szCs w:val="18"/>
        </w:rPr>
      </w:pPr>
      <w:r w:rsidRPr="006C4139">
        <w:rPr>
          <w:rFonts w:cs="Arial"/>
          <w:bCs/>
          <w:szCs w:val="18"/>
        </w:rPr>
        <w:t>Brasília (DF), 04 de fevereiro de 2022.</w:t>
      </w:r>
    </w:p>
    <w:p w14:paraId="385E4F74" w14:textId="77777777" w:rsidR="00F44ABA" w:rsidRPr="006C4139" w:rsidRDefault="00F44ABA" w:rsidP="00F43447">
      <w:pPr>
        <w:spacing w:before="120" w:after="120" w:line="276" w:lineRule="auto"/>
        <w:ind w:firstLine="851"/>
        <w:jc w:val="center"/>
        <w:rPr>
          <w:rFonts w:cs="Arial"/>
          <w:bCs/>
          <w:szCs w:val="18"/>
        </w:rPr>
      </w:pPr>
    </w:p>
    <w:p w14:paraId="151AF1D4" w14:textId="77777777" w:rsidR="00F44ABA" w:rsidRPr="006C4139" w:rsidRDefault="00F44ABA" w:rsidP="00F43447">
      <w:pPr>
        <w:spacing w:before="120" w:after="120" w:line="276" w:lineRule="auto"/>
        <w:ind w:firstLine="851"/>
        <w:jc w:val="center"/>
        <w:rPr>
          <w:rFonts w:cs="Arial"/>
          <w:bCs/>
          <w:szCs w:val="18"/>
        </w:rPr>
      </w:pPr>
    </w:p>
    <w:p w14:paraId="45BC1FF1" w14:textId="77777777" w:rsidR="00F44ABA" w:rsidRPr="006C4139" w:rsidRDefault="00F44ABA" w:rsidP="00F43447">
      <w:pPr>
        <w:spacing w:before="120" w:after="120" w:line="276" w:lineRule="auto"/>
        <w:ind w:firstLine="851"/>
        <w:jc w:val="center"/>
        <w:rPr>
          <w:rFonts w:cs="Arial"/>
          <w:bCs/>
          <w:szCs w:val="18"/>
        </w:rPr>
      </w:pPr>
      <w:r w:rsidRPr="006C4139">
        <w:rPr>
          <w:rFonts w:cs="Arial"/>
          <w:bCs/>
          <w:szCs w:val="18"/>
        </w:rPr>
        <w:t xml:space="preserve">Luiz Claudio Moraes   </w:t>
      </w:r>
      <w:r w:rsidRPr="006C4139">
        <w:rPr>
          <w:rFonts w:cs="Arial"/>
          <w:bCs/>
          <w:szCs w:val="18"/>
        </w:rPr>
        <w:tab/>
      </w:r>
      <w:r w:rsidRPr="006C4139">
        <w:rPr>
          <w:rFonts w:cs="Arial"/>
          <w:bCs/>
          <w:szCs w:val="18"/>
        </w:rPr>
        <w:tab/>
      </w:r>
      <w:r w:rsidRPr="006C4139">
        <w:rPr>
          <w:rFonts w:cs="Arial"/>
          <w:bCs/>
          <w:szCs w:val="18"/>
        </w:rPr>
        <w:tab/>
        <w:t>Artemio Bertholini</w:t>
      </w:r>
    </w:p>
    <w:p w14:paraId="5D2236CB" w14:textId="77777777" w:rsidR="00F44ABA" w:rsidRPr="006C4139" w:rsidRDefault="00F44ABA" w:rsidP="00F43447">
      <w:pPr>
        <w:spacing w:before="120" w:after="120" w:line="276" w:lineRule="auto"/>
        <w:rPr>
          <w:rFonts w:cs="Arial"/>
          <w:bCs/>
          <w:szCs w:val="18"/>
        </w:rPr>
      </w:pPr>
    </w:p>
    <w:p w14:paraId="049CE636" w14:textId="77777777" w:rsidR="00F44ABA" w:rsidRPr="006C4139" w:rsidRDefault="00F44ABA" w:rsidP="00F43447">
      <w:pPr>
        <w:spacing w:before="120" w:after="120" w:line="276" w:lineRule="auto"/>
        <w:rPr>
          <w:rFonts w:cs="Arial"/>
          <w:bCs/>
          <w:szCs w:val="18"/>
        </w:rPr>
      </w:pPr>
    </w:p>
    <w:p w14:paraId="12385EA4" w14:textId="08B33304" w:rsidR="00F44ABA" w:rsidRPr="006C4139" w:rsidRDefault="00F44ABA" w:rsidP="00F43447">
      <w:pPr>
        <w:spacing w:before="120" w:after="120" w:line="276" w:lineRule="auto"/>
        <w:ind w:firstLine="851"/>
        <w:rPr>
          <w:rFonts w:cs="Arial"/>
          <w:bCs/>
          <w:szCs w:val="18"/>
        </w:rPr>
      </w:pPr>
      <w:r w:rsidRPr="006C4139">
        <w:rPr>
          <w:rFonts w:cs="Arial"/>
          <w:bCs/>
          <w:szCs w:val="18"/>
        </w:rPr>
        <w:t xml:space="preserve">    </w:t>
      </w:r>
      <w:r>
        <w:rPr>
          <w:rFonts w:cs="Arial"/>
          <w:bCs/>
          <w:szCs w:val="18"/>
        </w:rPr>
        <w:t xml:space="preserve">           </w:t>
      </w:r>
      <w:r w:rsidRPr="006C4139">
        <w:rPr>
          <w:rFonts w:cs="Arial"/>
          <w:bCs/>
          <w:szCs w:val="18"/>
        </w:rPr>
        <w:t xml:space="preserve">   </w:t>
      </w:r>
      <w:r>
        <w:rPr>
          <w:rFonts w:cs="Arial"/>
          <w:bCs/>
          <w:szCs w:val="18"/>
        </w:rPr>
        <w:t xml:space="preserve">            </w:t>
      </w:r>
      <w:r w:rsidRPr="006C4139">
        <w:rPr>
          <w:rFonts w:cs="Arial"/>
          <w:bCs/>
          <w:szCs w:val="18"/>
        </w:rPr>
        <w:t xml:space="preserve">  Gilberto Lourenço da Aparecida                         Manoel Gimenes Ruy</w:t>
      </w:r>
    </w:p>
    <w:p w14:paraId="179375D3" w14:textId="77777777" w:rsidR="00F44ABA" w:rsidRPr="006C4139" w:rsidRDefault="00F44ABA" w:rsidP="00F43447">
      <w:pPr>
        <w:spacing w:before="120" w:after="120" w:line="276" w:lineRule="auto"/>
        <w:rPr>
          <w:rFonts w:cs="Arial"/>
          <w:bCs/>
          <w:szCs w:val="18"/>
        </w:rPr>
      </w:pPr>
    </w:p>
    <w:p w14:paraId="0F1BD4A1" w14:textId="77777777" w:rsidR="00F44ABA" w:rsidRPr="006C4139" w:rsidRDefault="00F44ABA" w:rsidP="00F43447">
      <w:pPr>
        <w:spacing w:before="120" w:after="120" w:line="276" w:lineRule="auto"/>
        <w:rPr>
          <w:rFonts w:cs="Arial"/>
          <w:bCs/>
          <w:szCs w:val="18"/>
        </w:rPr>
      </w:pPr>
    </w:p>
    <w:p w14:paraId="39B8E813" w14:textId="77777777" w:rsidR="00F44ABA" w:rsidRPr="006C4139" w:rsidRDefault="00F44ABA" w:rsidP="00F43447">
      <w:pPr>
        <w:spacing w:before="120" w:after="120" w:line="276" w:lineRule="auto"/>
        <w:ind w:firstLine="851"/>
        <w:jc w:val="center"/>
        <w:rPr>
          <w:rFonts w:cs="Arial"/>
          <w:bCs/>
          <w:szCs w:val="18"/>
        </w:rPr>
      </w:pPr>
      <w:r w:rsidRPr="006C4139">
        <w:rPr>
          <w:rFonts w:cs="Arial"/>
          <w:bCs/>
          <w:szCs w:val="18"/>
        </w:rPr>
        <w:t>Roberto Lamb</w:t>
      </w:r>
    </w:p>
    <w:p w14:paraId="1CA4095C" w14:textId="0F15FA0C" w:rsidR="00F91237" w:rsidRDefault="00F91237" w:rsidP="00F91237">
      <w:pPr>
        <w:rPr>
          <w:rFonts w:eastAsia="Times New Roman" w:cs="Times New Roman"/>
          <w:b/>
          <w:spacing w:val="-2"/>
          <w:sz w:val="20"/>
          <w:szCs w:val="20"/>
          <w:lang w:eastAsia="pt-BR"/>
        </w:rPr>
      </w:pPr>
      <w:r>
        <w:rPr>
          <w:rFonts w:eastAsia="Times New Roman" w:cs="Times New Roman"/>
          <w:b/>
          <w:spacing w:val="-2"/>
          <w:sz w:val="20"/>
          <w:szCs w:val="20"/>
          <w:lang w:eastAsia="pt-BR"/>
        </w:rPr>
        <w:t xml:space="preserve"> </w:t>
      </w:r>
      <w:r>
        <w:rPr>
          <w:rFonts w:eastAsia="Times New Roman" w:cs="Times New Roman"/>
          <w:b/>
          <w:spacing w:val="-2"/>
          <w:sz w:val="20"/>
          <w:szCs w:val="20"/>
          <w:lang w:eastAsia="pt-BR"/>
        </w:rPr>
        <w:br w:type="page"/>
      </w:r>
    </w:p>
    <w:p w14:paraId="070DD539" w14:textId="2BBAD858" w:rsidR="005A430F" w:rsidRDefault="00F123C6" w:rsidP="00F123C6">
      <w:pPr>
        <w:pStyle w:val="02-TtulodeNota"/>
        <w:rPr>
          <w:color w:val="1F3864"/>
        </w:rPr>
      </w:pPr>
      <w:r w:rsidRPr="00F123C6">
        <w:rPr>
          <w:color w:val="1F3864"/>
        </w:rPr>
        <w:lastRenderedPageBreak/>
        <w:t xml:space="preserve"> </w:t>
      </w:r>
    </w:p>
    <w:p w14:paraId="0BF4D552" w14:textId="7BA5146F" w:rsidR="00F123C6" w:rsidRPr="00CD10ED" w:rsidRDefault="00F123C6" w:rsidP="00F123C6">
      <w:pPr>
        <w:pStyle w:val="02-TtulodeNota"/>
        <w:rPr>
          <w:color w:val="1F3864"/>
        </w:rPr>
      </w:pPr>
      <w:r w:rsidRPr="00CD10ED">
        <w:rPr>
          <w:color w:val="1F3864"/>
        </w:rPr>
        <w:t>PARECER DO CONSELHO FISCAL</w:t>
      </w:r>
    </w:p>
    <w:p w14:paraId="4AA8721F" w14:textId="77777777" w:rsidR="00F123C6" w:rsidRDefault="00F123C6" w:rsidP="00F123C6">
      <w:pPr>
        <w:jc w:val="center"/>
        <w:rPr>
          <w:b/>
          <w:sz w:val="26"/>
          <w:u w:val="single"/>
        </w:rPr>
      </w:pPr>
    </w:p>
    <w:p w14:paraId="3B2EE61B" w14:textId="77777777" w:rsidR="00F123C6" w:rsidRPr="00893329" w:rsidRDefault="00F123C6" w:rsidP="00F123C6">
      <w:pPr>
        <w:pStyle w:val="05-Textonormal"/>
      </w:pPr>
      <w:r w:rsidRPr="00893329">
        <w:t>O CONSELHO FISCAL DA BB SEGURIDADE PARTICIPAÇÕES S.A., no uso de suas atribuições legais e estatutárias, em reunião realizada nesta data, examinou o Relatório Anual da Administração, as Demonstrações Financeiras individuais e consolidadas que o acompanham, quais sejam, o Balanço Patrimonial, as Demonstrações do Resultado, do Resultado  Abrangente, das Mutações do Patrimonio Liquido, dos Fluxos de Caixa e do Valor Adicionado, bem como as Notas Explicativas relacionadas, o correspondente Relatório emitido pelos Auditores Independentes e a Proposta de Destinação do Resultado, todos relativos ao exercício findo em 31 de dezembro de 2021.</w:t>
      </w:r>
    </w:p>
    <w:p w14:paraId="113E614B" w14:textId="77777777" w:rsidR="00F123C6" w:rsidRPr="00893329" w:rsidRDefault="00F123C6" w:rsidP="00F123C6">
      <w:pPr>
        <w:pStyle w:val="05-Textonormal"/>
      </w:pPr>
      <w:r w:rsidRPr="00893329">
        <w:t>Nossos exames das demonstrações citadas no parágrafo anterior foram complementados, ainda, por análises, documentos e, substancialmente, por informações e esclarecimentos prestados aos membros do Conselho Fiscal pelos Auditores Independentes e pela Administração da Companhia.</w:t>
      </w:r>
    </w:p>
    <w:p w14:paraId="212738AA" w14:textId="77777777" w:rsidR="00F123C6" w:rsidRPr="00893329" w:rsidRDefault="00F123C6" w:rsidP="00F123C6">
      <w:pPr>
        <w:pStyle w:val="05-Textonormal"/>
      </w:pPr>
      <w:r w:rsidRPr="00893329">
        <w:t>Desta forma, com base nos trabalhos e esclarecimentos prestados pela Deloitte Touche Tohmatsu Consultores e no seu relatório, emitido em 04 de fevereiro de 2022, sem ressalvas e, ainda, nos esclarecimentos prestados pela Administração da Companhia, este Conselho Fiscal, por unanimidade de seus membros, concluiu que as Demonstrações Financeiras, acima mencionadas, acompanhadas do Relatório Anual da Administração, e a proposta de destinação do resultado estão adequadamente apresentadas e opina favoravelmente ao seu encaminhamento para deliberação da Assembléia Geral dos Acionistas.</w:t>
      </w:r>
    </w:p>
    <w:p w14:paraId="78B590FF" w14:textId="65188518" w:rsidR="00F123C6" w:rsidRDefault="00F123C6" w:rsidP="00F123C6">
      <w:pPr>
        <w:pStyle w:val="05-Textonormal"/>
      </w:pPr>
      <w:r w:rsidRPr="00893329">
        <w:t>Brasília (DF), 04 de fevereiro de 2022.</w:t>
      </w:r>
    </w:p>
    <w:p w14:paraId="78B6E4F9" w14:textId="77777777" w:rsidR="005A430F" w:rsidRDefault="005A430F" w:rsidP="00F123C6">
      <w:pPr>
        <w:pStyle w:val="05-Textonormal"/>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822"/>
        <w:gridCol w:w="4822"/>
      </w:tblGrid>
      <w:tr w:rsidR="00F123C6" w:rsidRPr="00893329" w14:paraId="0287DDBA" w14:textId="77777777" w:rsidTr="00C71B37">
        <w:trPr>
          <w:cantSplit/>
          <w:trHeight w:val="794"/>
          <w:jc w:val="center"/>
        </w:trPr>
        <w:tc>
          <w:tcPr>
            <w:tcW w:w="4822" w:type="dxa"/>
            <w:tcBorders>
              <w:top w:val="nil"/>
              <w:left w:val="nil"/>
              <w:bottom w:val="nil"/>
              <w:right w:val="nil"/>
            </w:tcBorders>
            <w:vAlign w:val="center"/>
          </w:tcPr>
          <w:p w14:paraId="54AA65E4" w14:textId="77777777" w:rsidR="00F123C6" w:rsidRPr="00893329" w:rsidRDefault="00F123C6" w:rsidP="005A430F">
            <w:pPr>
              <w:pStyle w:val="01-Textonormal"/>
              <w:ind w:left="1026"/>
            </w:pPr>
            <w:r w:rsidRPr="00893329">
              <w:t>Francisco Olinto Velo Schmitt</w:t>
            </w:r>
          </w:p>
          <w:p w14:paraId="2813C57B" w14:textId="77777777" w:rsidR="00F123C6" w:rsidRPr="00893329" w:rsidRDefault="00F123C6" w:rsidP="005A430F">
            <w:pPr>
              <w:pStyle w:val="01-Textonormal"/>
              <w:ind w:left="1735"/>
            </w:pPr>
            <w:r w:rsidRPr="00893329">
              <w:t>Conselheiro</w:t>
            </w:r>
          </w:p>
          <w:p w14:paraId="198BB782" w14:textId="77777777" w:rsidR="00F123C6" w:rsidRPr="00893329" w:rsidRDefault="00F123C6" w:rsidP="00F123C6">
            <w:pPr>
              <w:pStyle w:val="01-Textonormal"/>
            </w:pPr>
          </w:p>
        </w:tc>
        <w:tc>
          <w:tcPr>
            <w:tcW w:w="4822" w:type="dxa"/>
            <w:tcBorders>
              <w:top w:val="nil"/>
              <w:left w:val="nil"/>
              <w:bottom w:val="nil"/>
              <w:right w:val="nil"/>
            </w:tcBorders>
            <w:vAlign w:val="center"/>
          </w:tcPr>
          <w:p w14:paraId="200BB611" w14:textId="77777777" w:rsidR="00F123C6" w:rsidRPr="00893329" w:rsidRDefault="00F123C6" w:rsidP="005A430F">
            <w:pPr>
              <w:pStyle w:val="01-Textonormal"/>
              <w:ind w:firstLine="880"/>
            </w:pPr>
            <w:r w:rsidRPr="00893329">
              <w:t>Luis Felipe Vital Nunes Pereira</w:t>
            </w:r>
          </w:p>
          <w:p w14:paraId="7C547AB8" w14:textId="77777777" w:rsidR="00F123C6" w:rsidRPr="00893329" w:rsidRDefault="00F123C6" w:rsidP="005A430F">
            <w:pPr>
              <w:pStyle w:val="01-Textonormal"/>
              <w:ind w:left="1589"/>
            </w:pPr>
            <w:r w:rsidRPr="00893329">
              <w:t>Conselheiro</w:t>
            </w:r>
          </w:p>
          <w:p w14:paraId="4FF4EF29" w14:textId="77777777" w:rsidR="00F123C6" w:rsidRPr="00893329" w:rsidRDefault="00F123C6" w:rsidP="00F123C6">
            <w:pPr>
              <w:pStyle w:val="01-Textonormal"/>
            </w:pPr>
          </w:p>
        </w:tc>
      </w:tr>
      <w:tr w:rsidR="00F123C6" w:rsidRPr="00893329" w14:paraId="34124085" w14:textId="77777777" w:rsidTr="00C71B37">
        <w:trPr>
          <w:cantSplit/>
          <w:trHeight w:val="794"/>
          <w:jc w:val="center"/>
        </w:trPr>
        <w:tc>
          <w:tcPr>
            <w:tcW w:w="9644" w:type="dxa"/>
            <w:gridSpan w:val="2"/>
            <w:tcBorders>
              <w:top w:val="nil"/>
              <w:left w:val="nil"/>
              <w:bottom w:val="nil"/>
              <w:right w:val="nil"/>
            </w:tcBorders>
            <w:vAlign w:val="center"/>
          </w:tcPr>
          <w:p w14:paraId="3151D647" w14:textId="77777777" w:rsidR="00F123C6" w:rsidRPr="00893329" w:rsidRDefault="00F123C6" w:rsidP="005A430F">
            <w:pPr>
              <w:pStyle w:val="01-Textonormal"/>
              <w:ind w:left="3861"/>
            </w:pPr>
            <w:r w:rsidRPr="00893329">
              <w:t>Lucinéia Possar</w:t>
            </w:r>
          </w:p>
          <w:p w14:paraId="2B9633FE" w14:textId="77777777" w:rsidR="00F123C6" w:rsidRPr="00893329" w:rsidRDefault="00F123C6" w:rsidP="005A430F">
            <w:pPr>
              <w:pStyle w:val="01-Textonormal"/>
              <w:ind w:left="4003"/>
            </w:pPr>
            <w:r w:rsidRPr="00893329">
              <w:t>Presidente</w:t>
            </w:r>
          </w:p>
          <w:p w14:paraId="3C556BB8" w14:textId="77777777" w:rsidR="00F123C6" w:rsidRPr="00893329" w:rsidRDefault="00F123C6" w:rsidP="00F123C6">
            <w:pPr>
              <w:pStyle w:val="01-Textonormal"/>
            </w:pPr>
          </w:p>
        </w:tc>
      </w:tr>
    </w:tbl>
    <w:p w14:paraId="4CB09A61" w14:textId="71678734" w:rsidR="00F123C6" w:rsidRDefault="00F123C6" w:rsidP="00F123C6">
      <w:pPr>
        <w:rPr>
          <w:rFonts w:eastAsia="Times New Roman" w:cs="Times New Roman"/>
          <w:b/>
          <w:spacing w:val="-2"/>
          <w:sz w:val="20"/>
          <w:szCs w:val="20"/>
          <w:lang w:eastAsia="pt-BR"/>
        </w:rPr>
      </w:pPr>
      <w:r>
        <w:rPr>
          <w:rFonts w:eastAsia="Times New Roman" w:cs="Times New Roman"/>
          <w:b/>
          <w:spacing w:val="-2"/>
          <w:sz w:val="20"/>
          <w:szCs w:val="20"/>
          <w:lang w:eastAsia="pt-BR"/>
        </w:rPr>
        <w:br w:type="page"/>
      </w:r>
    </w:p>
    <w:p w14:paraId="0F945B7C" w14:textId="5DD5E2B8" w:rsidR="00145AD2" w:rsidRDefault="00145AD2" w:rsidP="001F2AB4">
      <w:pPr>
        <w:keepNext/>
        <w:keepLines/>
        <w:pageBreakBefore/>
        <w:spacing w:before="120" w:after="120"/>
        <w:jc w:val="both"/>
        <w:rPr>
          <w:rFonts w:cs="Arial"/>
          <w:b/>
          <w:color w:val="1F4E79"/>
          <w:spacing w:val="-2"/>
          <w:sz w:val="20"/>
        </w:rPr>
      </w:pPr>
    </w:p>
    <w:p w14:paraId="498650B4" w14:textId="77777777" w:rsidR="00145AD2" w:rsidRPr="001D2A5C" w:rsidRDefault="00145AD2" w:rsidP="001D2A5C">
      <w:pPr>
        <w:pStyle w:val="Ttulo2"/>
        <w:rPr>
          <w:rFonts w:ascii="Arial" w:hAnsi="Arial" w:cs="Arial"/>
          <w:b/>
          <w:bCs/>
          <w:color w:val="1F4E79" w:themeColor="accent1" w:themeShade="80"/>
          <w:sz w:val="20"/>
          <w:szCs w:val="20"/>
        </w:rPr>
      </w:pPr>
      <w:r w:rsidRPr="001D2A5C">
        <w:rPr>
          <w:rFonts w:ascii="Arial" w:hAnsi="Arial" w:cs="Arial"/>
          <w:b/>
          <w:bCs/>
          <w:color w:val="1F4E79" w:themeColor="accent1" w:themeShade="80"/>
          <w:sz w:val="20"/>
          <w:szCs w:val="20"/>
        </w:rPr>
        <w:t>Declaração dos Membros da Diretoria Executiva sobre as Demonstrações Financeiras</w:t>
      </w:r>
    </w:p>
    <w:p w14:paraId="40D2ED1F" w14:textId="77777777" w:rsidR="00145AD2" w:rsidRPr="00302AEC" w:rsidRDefault="00145AD2" w:rsidP="00336A70">
      <w:pPr>
        <w:pStyle w:val="05-Textonormal"/>
      </w:pPr>
    </w:p>
    <w:p w14:paraId="76DF8F08" w14:textId="77777777" w:rsidR="00145AD2" w:rsidRPr="00C25B81" w:rsidRDefault="00145AD2" w:rsidP="00336A70">
      <w:pPr>
        <w:pStyle w:val="05-Textonormal"/>
      </w:pPr>
      <w:r w:rsidRPr="00C25B81">
        <w:t xml:space="preserve">Em conformidade com o Artigo 25 da Instrução CVM nº 480, de 07.12.2009, declaramos que revisamos as Demonstrações Contábeis relativas ao </w:t>
      </w:r>
      <w:r>
        <w:t>exercício</w:t>
      </w:r>
      <w:r w:rsidRPr="00C25B81">
        <w:t xml:space="preserve"> findo em </w:t>
      </w:r>
      <w:r>
        <w:t>31</w:t>
      </w:r>
      <w:r w:rsidRPr="00C25B81">
        <w:t xml:space="preserve"> de </w:t>
      </w:r>
      <w:r>
        <w:t xml:space="preserve">dezembro de </w:t>
      </w:r>
      <w:r w:rsidRPr="00C25B81">
        <w:t>20</w:t>
      </w:r>
      <w:r>
        <w:t>21</w:t>
      </w:r>
      <w:r w:rsidRPr="00C25B81">
        <w:t xml:space="preserve"> da BB Seguridade Participações S.A. e, baseado nas discussões subsequentes, concordamos que tais demonstrações refletem adequadamente, em todos os aspectos relevantes, a posição patrimonial e financeira correspondente ao período apresentado.</w:t>
      </w:r>
    </w:p>
    <w:p w14:paraId="797F1EC3" w14:textId="77777777" w:rsidR="00145AD2" w:rsidRPr="00C25B81" w:rsidRDefault="00145AD2" w:rsidP="00336A70">
      <w:pPr>
        <w:pStyle w:val="05-Textonormal"/>
      </w:pPr>
    </w:p>
    <w:p w14:paraId="1CCC1E98" w14:textId="77777777" w:rsidR="00145AD2" w:rsidRPr="00C25B81" w:rsidRDefault="00145AD2" w:rsidP="001714B8">
      <w:pPr>
        <w:pStyle w:val="05-Textonormal"/>
        <w:spacing w:before="0" w:after="0"/>
      </w:pPr>
      <w:bookmarkStart w:id="119" w:name="_Hlk77924916"/>
      <w:r w:rsidRPr="00C25B81">
        <w:t xml:space="preserve">Brasília (DF), </w:t>
      </w:r>
      <w:r>
        <w:t>04 de fevereiro de</w:t>
      </w:r>
      <w:r w:rsidRPr="00C25B81">
        <w:t xml:space="preserve"> 202</w:t>
      </w:r>
      <w:r>
        <w:t>2</w:t>
      </w:r>
      <w:r w:rsidRPr="00C25B81">
        <w:t>.</w:t>
      </w:r>
    </w:p>
    <w:p w14:paraId="5DBE7B84" w14:textId="77777777" w:rsidR="00145AD2" w:rsidRDefault="00145AD2" w:rsidP="001714B8">
      <w:pPr>
        <w:pStyle w:val="05-Textonormal"/>
        <w:spacing w:before="0" w:after="0"/>
      </w:pPr>
    </w:p>
    <w:p w14:paraId="6F957009" w14:textId="77777777" w:rsidR="00145AD2" w:rsidRPr="00C25B81" w:rsidRDefault="00145AD2" w:rsidP="001714B8">
      <w:pPr>
        <w:pStyle w:val="05-Textonormal"/>
        <w:spacing w:before="0" w:after="0"/>
      </w:pPr>
    </w:p>
    <w:p w14:paraId="52F7F77D" w14:textId="77777777" w:rsidR="00145AD2" w:rsidRPr="00C25B81" w:rsidRDefault="00145AD2" w:rsidP="001714B8">
      <w:pPr>
        <w:pStyle w:val="05-Textonormal"/>
        <w:spacing w:before="0" w:after="0"/>
      </w:pPr>
    </w:p>
    <w:p w14:paraId="0DDE57BF" w14:textId="77777777" w:rsidR="00145AD2" w:rsidRPr="001714B8" w:rsidRDefault="00145AD2" w:rsidP="001714B8">
      <w:pPr>
        <w:pStyle w:val="05-Textonormal"/>
        <w:spacing w:before="0" w:after="0" w:line="240" w:lineRule="auto"/>
        <w:rPr>
          <w:snapToGrid w:val="0"/>
        </w:rPr>
      </w:pPr>
      <w:bookmarkStart w:id="120" w:name="_Hlk86340564"/>
      <w:r w:rsidRPr="001714B8">
        <w:rPr>
          <w:snapToGrid w:val="0"/>
        </w:rPr>
        <w:t>Ullisses Christian Silva Assis</w:t>
      </w:r>
    </w:p>
    <w:p w14:paraId="25D8EBFE" w14:textId="77777777" w:rsidR="00145AD2" w:rsidRDefault="00145AD2" w:rsidP="001714B8">
      <w:pPr>
        <w:pStyle w:val="05-Textonormal"/>
        <w:spacing w:before="0" w:after="0" w:line="240" w:lineRule="auto"/>
      </w:pPr>
      <w:r>
        <w:t>Diretor-</w:t>
      </w:r>
      <w:r w:rsidRPr="00C25B81">
        <w:t>Presidente</w:t>
      </w:r>
    </w:p>
    <w:p w14:paraId="0DE22C32" w14:textId="77777777" w:rsidR="00145AD2" w:rsidRDefault="00145AD2" w:rsidP="001714B8">
      <w:pPr>
        <w:pStyle w:val="05-Textonormal"/>
        <w:spacing w:before="0" w:after="0" w:line="240" w:lineRule="auto"/>
      </w:pPr>
    </w:p>
    <w:p w14:paraId="38C62121" w14:textId="77777777" w:rsidR="00145AD2" w:rsidRDefault="00145AD2" w:rsidP="001714B8">
      <w:pPr>
        <w:pStyle w:val="05-Textonormal"/>
        <w:spacing w:before="0" w:after="0" w:line="240" w:lineRule="auto"/>
      </w:pPr>
    </w:p>
    <w:p w14:paraId="23F1B3D9" w14:textId="77777777" w:rsidR="00145AD2" w:rsidRDefault="00145AD2" w:rsidP="001714B8">
      <w:pPr>
        <w:pStyle w:val="05-Textonormal"/>
        <w:spacing w:before="0" w:after="0" w:line="240" w:lineRule="auto"/>
      </w:pPr>
    </w:p>
    <w:p w14:paraId="0A8D62E7" w14:textId="77777777" w:rsidR="00145AD2" w:rsidRDefault="00145AD2" w:rsidP="001714B8">
      <w:pPr>
        <w:pStyle w:val="05-Textonormal"/>
        <w:spacing w:before="0" w:after="0" w:line="240" w:lineRule="auto"/>
      </w:pPr>
    </w:p>
    <w:p w14:paraId="6D17EDF0" w14:textId="77777777" w:rsidR="00145AD2" w:rsidRDefault="00145AD2" w:rsidP="001714B8">
      <w:pPr>
        <w:pStyle w:val="05-Textonormal"/>
        <w:spacing w:before="0" w:after="0" w:line="240" w:lineRule="auto"/>
      </w:pPr>
      <w:r>
        <w:t>Bruno Alves do Nascimento</w:t>
      </w:r>
    </w:p>
    <w:p w14:paraId="4A100EF7" w14:textId="77777777" w:rsidR="00145AD2" w:rsidRDefault="00145AD2" w:rsidP="00FB7D43">
      <w:pPr>
        <w:pStyle w:val="05-Textonormal"/>
        <w:spacing w:before="0" w:after="0" w:line="240" w:lineRule="auto"/>
      </w:pPr>
      <w:r>
        <w:t>Diretor de Estratégia e Tecnologia</w:t>
      </w:r>
    </w:p>
    <w:p w14:paraId="651B0075" w14:textId="77777777" w:rsidR="00145AD2" w:rsidRDefault="00145AD2" w:rsidP="001714B8">
      <w:pPr>
        <w:pStyle w:val="05-Textonormal"/>
        <w:spacing w:before="0" w:after="0" w:line="240" w:lineRule="auto"/>
      </w:pPr>
    </w:p>
    <w:p w14:paraId="57ED6377" w14:textId="77777777" w:rsidR="00145AD2" w:rsidRDefault="00145AD2" w:rsidP="001714B8">
      <w:pPr>
        <w:pStyle w:val="05-Textonormal"/>
        <w:spacing w:before="0" w:after="0" w:line="240" w:lineRule="auto"/>
      </w:pPr>
    </w:p>
    <w:p w14:paraId="490DB9B3" w14:textId="77777777" w:rsidR="00145AD2" w:rsidRDefault="00145AD2" w:rsidP="001714B8">
      <w:pPr>
        <w:pStyle w:val="05-Textonormal"/>
        <w:spacing w:before="0" w:after="0" w:line="240" w:lineRule="auto"/>
      </w:pPr>
    </w:p>
    <w:p w14:paraId="2E99F054" w14:textId="77777777" w:rsidR="00145AD2" w:rsidRDefault="00145AD2" w:rsidP="001714B8">
      <w:pPr>
        <w:pStyle w:val="05-Textonormal"/>
        <w:spacing w:before="0" w:after="0" w:line="240" w:lineRule="auto"/>
      </w:pPr>
    </w:p>
    <w:p w14:paraId="62A59A5C" w14:textId="77777777" w:rsidR="00145AD2" w:rsidRDefault="00145AD2" w:rsidP="00DF7EA0">
      <w:pPr>
        <w:pStyle w:val="05-Textonormal"/>
        <w:spacing w:before="0" w:after="0" w:line="240" w:lineRule="auto"/>
        <w:rPr>
          <w:snapToGrid w:val="0"/>
        </w:rPr>
      </w:pPr>
      <w:r w:rsidRPr="007B2A36">
        <w:rPr>
          <w:snapToGrid w:val="0"/>
        </w:rPr>
        <w:t>Marcelo Lopes Lourenço</w:t>
      </w:r>
    </w:p>
    <w:p w14:paraId="061F9F15" w14:textId="77777777" w:rsidR="00145AD2" w:rsidRDefault="00145AD2" w:rsidP="00DF7EA0">
      <w:pPr>
        <w:pStyle w:val="05-Textonormal"/>
        <w:spacing w:before="0" w:after="0" w:line="240" w:lineRule="auto"/>
        <w:rPr>
          <w:snapToGrid w:val="0"/>
        </w:rPr>
      </w:pPr>
      <w:r w:rsidRPr="007B2A36">
        <w:rPr>
          <w:snapToGrid w:val="0"/>
        </w:rPr>
        <w:t>Diretor Comercial, Marketing e Clientes</w:t>
      </w:r>
    </w:p>
    <w:p w14:paraId="06268C13" w14:textId="77777777" w:rsidR="00145AD2" w:rsidRDefault="00145AD2" w:rsidP="00DF7EA0">
      <w:pPr>
        <w:pStyle w:val="05-Textonormal"/>
        <w:spacing w:before="0" w:after="0" w:line="240" w:lineRule="auto"/>
        <w:rPr>
          <w:snapToGrid w:val="0"/>
        </w:rPr>
      </w:pPr>
    </w:p>
    <w:p w14:paraId="0FD86529" w14:textId="77777777" w:rsidR="00145AD2" w:rsidRDefault="00145AD2" w:rsidP="00DF7EA0">
      <w:pPr>
        <w:pStyle w:val="05-Textonormal"/>
        <w:spacing w:before="0" w:after="0" w:line="240" w:lineRule="auto"/>
        <w:rPr>
          <w:snapToGrid w:val="0"/>
        </w:rPr>
      </w:pPr>
    </w:p>
    <w:p w14:paraId="7BAD8878" w14:textId="77777777" w:rsidR="00145AD2" w:rsidRDefault="00145AD2" w:rsidP="00DF7EA0">
      <w:pPr>
        <w:pStyle w:val="05-Textonormal"/>
        <w:spacing w:before="0" w:after="0" w:line="240" w:lineRule="auto"/>
        <w:rPr>
          <w:snapToGrid w:val="0"/>
        </w:rPr>
      </w:pPr>
    </w:p>
    <w:p w14:paraId="4B5954BC" w14:textId="77777777" w:rsidR="00145AD2" w:rsidRDefault="00145AD2" w:rsidP="00DF7EA0">
      <w:pPr>
        <w:pStyle w:val="05-Textonormal"/>
        <w:spacing w:before="0" w:after="0" w:line="240" w:lineRule="auto"/>
        <w:rPr>
          <w:snapToGrid w:val="0"/>
        </w:rPr>
      </w:pPr>
    </w:p>
    <w:p w14:paraId="3D1494ED" w14:textId="77777777" w:rsidR="00145AD2" w:rsidRPr="00DD34B3" w:rsidRDefault="00145AD2" w:rsidP="00DF7EA0">
      <w:pPr>
        <w:pStyle w:val="05-Textonormal"/>
        <w:spacing w:before="0" w:after="0" w:line="240" w:lineRule="auto"/>
        <w:rPr>
          <w:snapToGrid w:val="0"/>
        </w:rPr>
      </w:pPr>
      <w:r>
        <w:rPr>
          <w:snapToGrid w:val="0"/>
        </w:rPr>
        <w:t>Rafael Augusto Sperendio</w:t>
      </w:r>
    </w:p>
    <w:p w14:paraId="59A21FC3" w14:textId="77777777" w:rsidR="00145AD2" w:rsidRPr="00C25B81" w:rsidRDefault="00145AD2" w:rsidP="00DF7EA0">
      <w:pPr>
        <w:pStyle w:val="05-Textonormal"/>
        <w:spacing w:before="0" w:after="0" w:line="240" w:lineRule="auto"/>
      </w:pPr>
      <w:r w:rsidRPr="00B92424">
        <w:t>Diretor de Finanças</w:t>
      </w:r>
      <w:r>
        <w:t xml:space="preserve"> e Relações com Investidores</w:t>
      </w:r>
    </w:p>
    <w:bookmarkEnd w:id="119"/>
    <w:bookmarkEnd w:id="120"/>
    <w:p w14:paraId="3BA9699C" w14:textId="77777777" w:rsidR="00145AD2" w:rsidRPr="00C25B81" w:rsidRDefault="00145AD2" w:rsidP="00336A70">
      <w:pPr>
        <w:pStyle w:val="05-Textonormal"/>
      </w:pPr>
      <w:r w:rsidRPr="00C25B81">
        <w:br w:type="page"/>
      </w:r>
    </w:p>
    <w:p w14:paraId="6D45637B" w14:textId="77777777" w:rsidR="00145AD2" w:rsidRPr="00C25B81" w:rsidRDefault="00145AD2" w:rsidP="00302AEC">
      <w:pPr>
        <w:pStyle w:val="05-Textonormal"/>
        <w:rPr>
          <w:rFonts w:cs="Arial"/>
        </w:rPr>
      </w:pPr>
    </w:p>
    <w:p w14:paraId="1A064F69" w14:textId="77777777" w:rsidR="00145AD2" w:rsidRPr="001D2A5C" w:rsidRDefault="00145AD2" w:rsidP="001D2A5C">
      <w:pPr>
        <w:pStyle w:val="Ttulo2"/>
        <w:rPr>
          <w:rFonts w:ascii="Arial" w:hAnsi="Arial" w:cs="Arial"/>
          <w:b/>
          <w:bCs/>
          <w:color w:val="1F4E79" w:themeColor="accent1" w:themeShade="80"/>
          <w:sz w:val="20"/>
          <w:szCs w:val="20"/>
        </w:rPr>
      </w:pPr>
      <w:r w:rsidRPr="001D2A5C">
        <w:rPr>
          <w:rFonts w:ascii="Arial" w:hAnsi="Arial" w:cs="Arial"/>
          <w:b/>
          <w:bCs/>
          <w:color w:val="1F4E79" w:themeColor="accent1" w:themeShade="80"/>
          <w:sz w:val="20"/>
          <w:szCs w:val="20"/>
        </w:rPr>
        <w:t>Declaração dos Membros da Diretoria Executiva sobre o Relatório dos Auditores Independentes</w:t>
      </w:r>
    </w:p>
    <w:p w14:paraId="7F212E01" w14:textId="77777777" w:rsidR="00145AD2" w:rsidRPr="00302AEC" w:rsidRDefault="00145AD2" w:rsidP="00302AEC">
      <w:pPr>
        <w:pStyle w:val="05-Textonormal"/>
        <w:rPr>
          <w:b/>
          <w:bCs/>
        </w:rPr>
      </w:pPr>
    </w:p>
    <w:p w14:paraId="36EEEBC7" w14:textId="77777777" w:rsidR="00145AD2" w:rsidRPr="00302AEC" w:rsidRDefault="00145AD2" w:rsidP="00302AEC">
      <w:pPr>
        <w:pStyle w:val="05-Textonormal"/>
      </w:pPr>
      <w:r w:rsidRPr="00302AEC">
        <w:t xml:space="preserve">Em conformidade com o Artigo 25 da Instrução CVM nº 480, de 07.12.2009, declaramos que baseado no nosso conhecimento, no planejamento apresentado pelos auditores e nas discussões subsequentes sobre os resultados de auditoria, concordamos com as opiniões expressas no relatório da Deloitte Touche Tohmatsu Auditores Independentes, de </w:t>
      </w:r>
      <w:r>
        <w:t xml:space="preserve"> 31 de dezembro de 2021</w:t>
      </w:r>
      <w:r w:rsidRPr="00302AEC">
        <w:t xml:space="preserve">, referentes às demonstrações contábeis da BB Seguridade Participações S.A. relativas ao </w:t>
      </w:r>
      <w:r>
        <w:t>exercício</w:t>
      </w:r>
      <w:r w:rsidRPr="00302AEC">
        <w:t xml:space="preserve"> findo em 3</w:t>
      </w:r>
      <w:r>
        <w:t>1 de dezembro de 2021</w:t>
      </w:r>
      <w:r w:rsidRPr="00302AEC">
        <w:t>, não havendo qualquer discordância.</w:t>
      </w:r>
    </w:p>
    <w:p w14:paraId="06D7FE40" w14:textId="77777777" w:rsidR="00145AD2" w:rsidRPr="00302AEC" w:rsidRDefault="00145AD2" w:rsidP="00302AEC">
      <w:pPr>
        <w:pStyle w:val="05-Textonormal"/>
      </w:pPr>
    </w:p>
    <w:p w14:paraId="27417F45" w14:textId="77777777" w:rsidR="00145AD2" w:rsidRPr="00C25B81" w:rsidRDefault="00145AD2" w:rsidP="00FB3CFD">
      <w:pPr>
        <w:pStyle w:val="05-Textonormal"/>
        <w:spacing w:before="0" w:after="0"/>
      </w:pPr>
      <w:r w:rsidRPr="00C25B81">
        <w:t xml:space="preserve">Brasília (DF), </w:t>
      </w:r>
      <w:r>
        <w:t>04 de fevereiro de</w:t>
      </w:r>
      <w:r w:rsidRPr="00C25B81">
        <w:t xml:space="preserve"> 202</w:t>
      </w:r>
      <w:r>
        <w:t>2</w:t>
      </w:r>
      <w:r w:rsidRPr="00C25B81">
        <w:t>.</w:t>
      </w:r>
    </w:p>
    <w:p w14:paraId="16BC3F61" w14:textId="77777777" w:rsidR="00145AD2" w:rsidRDefault="00145AD2" w:rsidP="00FB3CFD">
      <w:pPr>
        <w:pStyle w:val="05-Textonormal"/>
        <w:spacing w:before="0" w:after="0"/>
      </w:pPr>
    </w:p>
    <w:p w14:paraId="4ED82063" w14:textId="77777777" w:rsidR="00145AD2" w:rsidRPr="00C25B81" w:rsidRDefault="00145AD2" w:rsidP="00FB3CFD">
      <w:pPr>
        <w:pStyle w:val="05-Textonormal"/>
        <w:spacing w:before="0" w:after="0"/>
      </w:pPr>
    </w:p>
    <w:p w14:paraId="545F5FFD" w14:textId="77777777" w:rsidR="00145AD2" w:rsidRPr="00C25B81" w:rsidRDefault="00145AD2" w:rsidP="00FB3CFD">
      <w:pPr>
        <w:pStyle w:val="05-Textonormal"/>
        <w:spacing w:before="0" w:after="0"/>
      </w:pPr>
    </w:p>
    <w:p w14:paraId="69F24792" w14:textId="77777777" w:rsidR="00145AD2" w:rsidRPr="001714B8" w:rsidRDefault="00145AD2" w:rsidP="006B539C">
      <w:pPr>
        <w:pStyle w:val="05-Textonormal"/>
        <w:spacing w:before="0" w:after="0" w:line="240" w:lineRule="auto"/>
        <w:rPr>
          <w:snapToGrid w:val="0"/>
        </w:rPr>
      </w:pPr>
      <w:r w:rsidRPr="001714B8">
        <w:rPr>
          <w:snapToGrid w:val="0"/>
        </w:rPr>
        <w:t>Ullisses Christian Silva Assis</w:t>
      </w:r>
    </w:p>
    <w:p w14:paraId="0EB0A401" w14:textId="77777777" w:rsidR="00145AD2" w:rsidRDefault="00145AD2" w:rsidP="006B539C">
      <w:pPr>
        <w:pStyle w:val="05-Textonormal"/>
        <w:spacing w:before="0" w:after="0" w:line="240" w:lineRule="auto"/>
      </w:pPr>
      <w:r>
        <w:t>Diretor-</w:t>
      </w:r>
      <w:r w:rsidRPr="00C25B81">
        <w:t>Presidente</w:t>
      </w:r>
    </w:p>
    <w:p w14:paraId="2990666C" w14:textId="77777777" w:rsidR="00145AD2" w:rsidRDefault="00145AD2" w:rsidP="006B539C">
      <w:pPr>
        <w:pStyle w:val="05-Textonormal"/>
        <w:spacing w:before="0" w:after="0" w:line="240" w:lineRule="auto"/>
      </w:pPr>
    </w:p>
    <w:p w14:paraId="23B60F95" w14:textId="77777777" w:rsidR="00145AD2" w:rsidRDefault="00145AD2" w:rsidP="006B539C">
      <w:pPr>
        <w:pStyle w:val="05-Textonormal"/>
        <w:spacing w:before="0" w:after="0" w:line="240" w:lineRule="auto"/>
      </w:pPr>
    </w:p>
    <w:p w14:paraId="1A809282" w14:textId="77777777" w:rsidR="00145AD2" w:rsidRDefault="00145AD2" w:rsidP="006B539C">
      <w:pPr>
        <w:pStyle w:val="05-Textonormal"/>
        <w:spacing w:before="0" w:after="0" w:line="240" w:lineRule="auto"/>
      </w:pPr>
    </w:p>
    <w:p w14:paraId="518154BA" w14:textId="77777777" w:rsidR="00145AD2" w:rsidRDefault="00145AD2" w:rsidP="006B539C">
      <w:pPr>
        <w:pStyle w:val="05-Textonormal"/>
        <w:spacing w:before="0" w:after="0" w:line="240" w:lineRule="auto"/>
      </w:pPr>
    </w:p>
    <w:p w14:paraId="699C32B1" w14:textId="77777777" w:rsidR="00145AD2" w:rsidRDefault="00145AD2" w:rsidP="006B539C">
      <w:pPr>
        <w:pStyle w:val="05-Textonormal"/>
        <w:spacing w:before="0" w:after="0" w:line="240" w:lineRule="auto"/>
      </w:pPr>
      <w:r>
        <w:t>Bruno Alves do Nascimento</w:t>
      </w:r>
    </w:p>
    <w:p w14:paraId="2851A950" w14:textId="77777777" w:rsidR="00145AD2" w:rsidRDefault="00145AD2" w:rsidP="006B539C">
      <w:pPr>
        <w:pStyle w:val="05-Textonormal"/>
        <w:spacing w:before="0" w:after="0" w:line="240" w:lineRule="auto"/>
      </w:pPr>
      <w:r>
        <w:t>Diretor de Estratégia e Tecnologia</w:t>
      </w:r>
    </w:p>
    <w:p w14:paraId="5FD922F3" w14:textId="77777777" w:rsidR="00145AD2" w:rsidRDefault="00145AD2" w:rsidP="006B539C">
      <w:pPr>
        <w:pStyle w:val="05-Textonormal"/>
        <w:spacing w:before="0" w:after="0" w:line="240" w:lineRule="auto"/>
      </w:pPr>
    </w:p>
    <w:p w14:paraId="281EA9A8" w14:textId="77777777" w:rsidR="00145AD2" w:rsidRDefault="00145AD2" w:rsidP="006B539C">
      <w:pPr>
        <w:pStyle w:val="05-Textonormal"/>
        <w:spacing w:before="0" w:after="0" w:line="240" w:lineRule="auto"/>
      </w:pPr>
    </w:p>
    <w:p w14:paraId="3B5F62A8" w14:textId="77777777" w:rsidR="00145AD2" w:rsidRDefault="00145AD2" w:rsidP="006B539C">
      <w:pPr>
        <w:pStyle w:val="05-Textonormal"/>
        <w:spacing w:before="0" w:after="0" w:line="240" w:lineRule="auto"/>
      </w:pPr>
    </w:p>
    <w:p w14:paraId="55588B97" w14:textId="77777777" w:rsidR="00145AD2" w:rsidRDefault="00145AD2" w:rsidP="006B539C">
      <w:pPr>
        <w:pStyle w:val="05-Textonormal"/>
        <w:spacing w:before="0" w:after="0" w:line="240" w:lineRule="auto"/>
      </w:pPr>
    </w:p>
    <w:p w14:paraId="40F0016A" w14:textId="77777777" w:rsidR="00145AD2" w:rsidRDefault="00145AD2" w:rsidP="006B539C">
      <w:pPr>
        <w:pStyle w:val="05-Textonormal"/>
        <w:spacing w:before="0" w:after="0" w:line="240" w:lineRule="auto"/>
        <w:rPr>
          <w:snapToGrid w:val="0"/>
        </w:rPr>
      </w:pPr>
      <w:r w:rsidRPr="007B2A36">
        <w:rPr>
          <w:snapToGrid w:val="0"/>
        </w:rPr>
        <w:t>Marcelo Lopes Lourenço</w:t>
      </w:r>
    </w:p>
    <w:p w14:paraId="52730604" w14:textId="77777777" w:rsidR="00145AD2" w:rsidRDefault="00145AD2" w:rsidP="006B539C">
      <w:pPr>
        <w:pStyle w:val="05-Textonormal"/>
        <w:spacing w:before="0" w:after="0" w:line="240" w:lineRule="auto"/>
        <w:rPr>
          <w:snapToGrid w:val="0"/>
        </w:rPr>
      </w:pPr>
      <w:r w:rsidRPr="007B2A36">
        <w:rPr>
          <w:snapToGrid w:val="0"/>
        </w:rPr>
        <w:t>Diretor Comercial, Marketing e Clientes</w:t>
      </w:r>
    </w:p>
    <w:p w14:paraId="21BA9E5F" w14:textId="77777777" w:rsidR="00145AD2" w:rsidRDefault="00145AD2" w:rsidP="006B539C">
      <w:pPr>
        <w:pStyle w:val="05-Textonormal"/>
        <w:spacing w:before="0" w:after="0" w:line="240" w:lineRule="auto"/>
        <w:rPr>
          <w:snapToGrid w:val="0"/>
        </w:rPr>
      </w:pPr>
    </w:p>
    <w:p w14:paraId="0F5A70F7" w14:textId="77777777" w:rsidR="00145AD2" w:rsidRDefault="00145AD2" w:rsidP="006B539C">
      <w:pPr>
        <w:pStyle w:val="05-Textonormal"/>
        <w:spacing w:before="0" w:after="0" w:line="240" w:lineRule="auto"/>
        <w:rPr>
          <w:snapToGrid w:val="0"/>
        </w:rPr>
      </w:pPr>
    </w:p>
    <w:p w14:paraId="1BAC6E07" w14:textId="77777777" w:rsidR="00145AD2" w:rsidRDefault="00145AD2" w:rsidP="006B539C">
      <w:pPr>
        <w:pStyle w:val="05-Textonormal"/>
        <w:spacing w:before="0" w:after="0" w:line="240" w:lineRule="auto"/>
        <w:rPr>
          <w:snapToGrid w:val="0"/>
        </w:rPr>
      </w:pPr>
    </w:p>
    <w:p w14:paraId="4105C228" w14:textId="77777777" w:rsidR="00145AD2" w:rsidRDefault="00145AD2" w:rsidP="006B539C">
      <w:pPr>
        <w:pStyle w:val="05-Textonormal"/>
        <w:spacing w:before="0" w:after="0" w:line="240" w:lineRule="auto"/>
        <w:rPr>
          <w:snapToGrid w:val="0"/>
        </w:rPr>
      </w:pPr>
    </w:p>
    <w:p w14:paraId="14F65A8A" w14:textId="77777777" w:rsidR="00145AD2" w:rsidRPr="00DD34B3" w:rsidRDefault="00145AD2" w:rsidP="006B539C">
      <w:pPr>
        <w:pStyle w:val="05-Textonormal"/>
        <w:spacing w:before="0" w:after="0" w:line="240" w:lineRule="auto"/>
        <w:rPr>
          <w:snapToGrid w:val="0"/>
        </w:rPr>
      </w:pPr>
      <w:r>
        <w:rPr>
          <w:snapToGrid w:val="0"/>
        </w:rPr>
        <w:t>Rafael Augusto Sperendio</w:t>
      </w:r>
    </w:p>
    <w:p w14:paraId="49FC2A16" w14:textId="77777777" w:rsidR="00145AD2" w:rsidRPr="00C25B81" w:rsidRDefault="00145AD2" w:rsidP="006B539C">
      <w:pPr>
        <w:pStyle w:val="05-Textonormal"/>
        <w:spacing w:before="0" w:after="0" w:line="240" w:lineRule="auto"/>
      </w:pPr>
      <w:r w:rsidRPr="00B92424">
        <w:t>Diretor de Finanças</w:t>
      </w:r>
      <w:r>
        <w:t xml:space="preserve"> e Relações com Investidores</w:t>
      </w:r>
    </w:p>
    <w:p w14:paraId="41A54E0F" w14:textId="26D1E89F" w:rsidR="00145AD2" w:rsidRDefault="00145AD2" w:rsidP="00145AD2">
      <w:pPr>
        <w:rPr>
          <w:rFonts w:eastAsia="Times New Roman" w:cs="Times New Roman"/>
          <w:bCs/>
          <w:spacing w:val="-2"/>
          <w:sz w:val="20"/>
          <w:szCs w:val="20"/>
          <w:lang w:eastAsia="pt-BR"/>
        </w:rPr>
      </w:pPr>
      <w:r>
        <w:rPr>
          <w:b/>
          <w:bCs/>
        </w:rPr>
        <w:br w:type="page"/>
      </w:r>
    </w:p>
    <w:p w14:paraId="2A892562" w14:textId="6F8A46FA" w:rsidR="00AA6738" w:rsidRPr="00BE55B2" w:rsidRDefault="00AA6738" w:rsidP="00FD4A45">
      <w:pPr>
        <w:pStyle w:val="02-TtulodeNota"/>
        <w:spacing w:before="0" w:after="200"/>
        <w:jc w:val="left"/>
        <w:outlineLvl w:val="9"/>
        <w:rPr>
          <w:color w:val="1F4E79" w:themeColor="accent1" w:themeShade="80"/>
        </w:rPr>
      </w:pPr>
      <w:r>
        <w:rPr>
          <w:color w:val="1F4E79" w:themeColor="accent1" w:themeShade="80"/>
        </w:rPr>
        <w:lastRenderedPageBreak/>
        <w:t>MEMBROS DA ADMINISTRAÇÃO</w:t>
      </w:r>
    </w:p>
    <w:p w14:paraId="6A6BDA5E" w14:textId="77777777" w:rsidR="00AA6738" w:rsidRPr="003B4AA7" w:rsidRDefault="00AA6738" w:rsidP="00FD4A45">
      <w:pPr>
        <w:pStyle w:val="05-Textonormal"/>
        <w:keepNext/>
        <w:spacing w:before="0" w:after="200" w:line="240" w:lineRule="auto"/>
        <w:jc w:val="left"/>
      </w:pPr>
    </w:p>
    <w:p w14:paraId="46A54A13" w14:textId="77777777" w:rsidR="00AA6738" w:rsidRPr="00BE55B2" w:rsidRDefault="00AA6738" w:rsidP="00FD4A45">
      <w:pPr>
        <w:pStyle w:val="02-TtulodeNota"/>
        <w:spacing w:before="0" w:after="200"/>
        <w:jc w:val="left"/>
        <w:outlineLvl w:val="9"/>
        <w:rPr>
          <w:color w:val="1F4E79" w:themeColor="accent1" w:themeShade="80"/>
        </w:rPr>
      </w:pPr>
      <w:r w:rsidRPr="00BE55B2">
        <w:rPr>
          <w:color w:val="1F4E79" w:themeColor="accent1" w:themeShade="80"/>
        </w:rPr>
        <w:t>DIRETOR-PRESIDENTE</w:t>
      </w:r>
    </w:p>
    <w:p w14:paraId="4E179364" w14:textId="77777777" w:rsidR="00AA6738" w:rsidRDefault="00AA6738" w:rsidP="00E56E2A">
      <w:pPr>
        <w:pStyle w:val="05-Textonormal"/>
        <w:keepNext/>
        <w:spacing w:before="0" w:after="200" w:line="240" w:lineRule="auto"/>
        <w:jc w:val="left"/>
        <w:rPr>
          <w:snapToGrid w:val="0"/>
        </w:rPr>
      </w:pPr>
      <w:r w:rsidRPr="009E7CF1">
        <w:rPr>
          <w:snapToGrid w:val="0"/>
        </w:rPr>
        <w:t>Ullisses Christian Silva Assis</w:t>
      </w:r>
    </w:p>
    <w:p w14:paraId="797E5105" w14:textId="77777777" w:rsidR="00AA6738" w:rsidRPr="003B4AA7" w:rsidRDefault="00AA6738" w:rsidP="00FD4A45">
      <w:pPr>
        <w:pStyle w:val="05-Textonormal"/>
        <w:keepNext/>
        <w:spacing w:before="0" w:after="200" w:line="240" w:lineRule="auto"/>
        <w:jc w:val="left"/>
      </w:pPr>
    </w:p>
    <w:p w14:paraId="7DF72A05" w14:textId="77777777" w:rsidR="00AA6738" w:rsidRPr="00CF446E" w:rsidRDefault="00AA6738" w:rsidP="00CF446E">
      <w:pPr>
        <w:pStyle w:val="02-TtulodeNota"/>
        <w:spacing w:before="0" w:after="200"/>
        <w:jc w:val="left"/>
        <w:outlineLvl w:val="9"/>
        <w:rPr>
          <w:color w:val="1F4E79" w:themeColor="accent1" w:themeShade="80"/>
        </w:rPr>
      </w:pPr>
      <w:r w:rsidRPr="00BE55B2">
        <w:rPr>
          <w:color w:val="1F4E79" w:themeColor="accent1" w:themeShade="80"/>
        </w:rPr>
        <w:t>DIRETORES</w:t>
      </w:r>
    </w:p>
    <w:p w14:paraId="0E13EFBD" w14:textId="77777777" w:rsidR="00AA6738" w:rsidRDefault="00AA6738" w:rsidP="00FD4A45">
      <w:pPr>
        <w:pStyle w:val="05-Textonormal"/>
        <w:keepNext/>
        <w:spacing w:before="0" w:after="200" w:line="240" w:lineRule="auto"/>
        <w:jc w:val="left"/>
        <w:rPr>
          <w:snapToGrid w:val="0"/>
        </w:rPr>
      </w:pPr>
      <w:r>
        <w:rPr>
          <w:snapToGrid w:val="0"/>
        </w:rPr>
        <w:t>Bruno Alves do Nascimento</w:t>
      </w:r>
    </w:p>
    <w:p w14:paraId="2DE0EB1F" w14:textId="77777777" w:rsidR="00AA6738" w:rsidRDefault="00AA6738" w:rsidP="00FD4A45">
      <w:pPr>
        <w:pStyle w:val="05-Textonormal"/>
        <w:keepNext/>
        <w:spacing w:before="0" w:after="200" w:line="240" w:lineRule="auto"/>
        <w:jc w:val="left"/>
        <w:rPr>
          <w:snapToGrid w:val="0"/>
        </w:rPr>
      </w:pPr>
      <w:r w:rsidRPr="00337C04">
        <w:rPr>
          <w:snapToGrid w:val="0"/>
        </w:rPr>
        <w:t>Marcelo Lopes Lourenço</w:t>
      </w:r>
    </w:p>
    <w:p w14:paraId="28A8C65A" w14:textId="77777777" w:rsidR="00AA6738" w:rsidRDefault="00AA6738" w:rsidP="00FD4A45">
      <w:pPr>
        <w:pStyle w:val="05-Textonormal"/>
        <w:keepNext/>
        <w:spacing w:before="0" w:after="200" w:line="240" w:lineRule="auto"/>
        <w:jc w:val="left"/>
        <w:rPr>
          <w:snapToGrid w:val="0"/>
        </w:rPr>
      </w:pPr>
      <w:r>
        <w:rPr>
          <w:snapToGrid w:val="0"/>
        </w:rPr>
        <w:t>Rafael Augusto Sperendio</w:t>
      </w:r>
    </w:p>
    <w:p w14:paraId="6DCE261C" w14:textId="77777777" w:rsidR="00AA6738" w:rsidRPr="00D16760" w:rsidRDefault="00AA6738" w:rsidP="00FD4A45">
      <w:pPr>
        <w:pStyle w:val="05-Textonormal"/>
        <w:keepNext/>
        <w:spacing w:before="0" w:after="200" w:line="240" w:lineRule="auto"/>
        <w:jc w:val="left"/>
        <w:rPr>
          <w:snapToGrid w:val="0"/>
        </w:rPr>
      </w:pPr>
    </w:p>
    <w:p w14:paraId="189901F3" w14:textId="77777777" w:rsidR="00AA6738" w:rsidRPr="00BE55B2" w:rsidRDefault="00AA6738" w:rsidP="00FD4A45">
      <w:pPr>
        <w:pStyle w:val="02-TtulodeNota"/>
        <w:spacing w:before="0" w:after="200"/>
        <w:jc w:val="left"/>
        <w:outlineLvl w:val="9"/>
        <w:rPr>
          <w:color w:val="1F4E79" w:themeColor="accent1" w:themeShade="80"/>
        </w:rPr>
      </w:pPr>
      <w:r w:rsidRPr="00BE55B2">
        <w:rPr>
          <w:color w:val="1F4E79" w:themeColor="accent1" w:themeShade="80"/>
        </w:rPr>
        <w:t>CONSELHO DE ADMINISTRAÇÃO</w:t>
      </w:r>
    </w:p>
    <w:p w14:paraId="40EC91D5" w14:textId="77777777" w:rsidR="00AA6738" w:rsidRDefault="00AA6738" w:rsidP="00FD4A45">
      <w:pPr>
        <w:pStyle w:val="05-Textonormal"/>
        <w:keepNext/>
        <w:spacing w:before="0" w:after="200" w:line="240" w:lineRule="auto"/>
        <w:jc w:val="left"/>
        <w:rPr>
          <w:snapToGrid w:val="0"/>
        </w:rPr>
      </w:pPr>
      <w:r w:rsidRPr="00337C04">
        <w:rPr>
          <w:snapToGrid w:val="0"/>
        </w:rPr>
        <w:t>Marcelo Cavalcante de Oliveira Lima</w:t>
      </w:r>
      <w:r w:rsidRPr="003B4AA7">
        <w:rPr>
          <w:snapToGrid w:val="0"/>
        </w:rPr>
        <w:t xml:space="preserve"> (Presidente)</w:t>
      </w:r>
    </w:p>
    <w:p w14:paraId="4EA367F4" w14:textId="77777777" w:rsidR="00AA6738" w:rsidRDefault="00AA6738" w:rsidP="00FD4A45">
      <w:pPr>
        <w:pStyle w:val="05-Textonormal"/>
        <w:keepNext/>
        <w:spacing w:before="0" w:after="200" w:line="240" w:lineRule="auto"/>
        <w:jc w:val="left"/>
        <w:rPr>
          <w:snapToGrid w:val="0"/>
        </w:rPr>
      </w:pPr>
      <w:r>
        <w:rPr>
          <w:snapToGrid w:val="0"/>
        </w:rPr>
        <w:t>Claudio Xavier Seefelder Filho</w:t>
      </w:r>
    </w:p>
    <w:p w14:paraId="6DD7D1BB" w14:textId="77777777" w:rsidR="00AA6738" w:rsidRPr="00351527" w:rsidRDefault="00AA6738" w:rsidP="008F5360">
      <w:pPr>
        <w:keepNext/>
        <w:spacing w:line="240" w:lineRule="auto"/>
        <w:rPr>
          <w:rFonts w:cs="Arial"/>
          <w:szCs w:val="18"/>
        </w:rPr>
      </w:pPr>
      <w:r w:rsidRPr="00A7061F">
        <w:rPr>
          <w:rFonts w:cs="Arial"/>
          <w:szCs w:val="18"/>
        </w:rPr>
        <w:t>Gilberto Lourenço da Aparecida</w:t>
      </w:r>
    </w:p>
    <w:p w14:paraId="0B95E7D3" w14:textId="77777777" w:rsidR="00AA6738" w:rsidRDefault="00AA6738" w:rsidP="00FD4A45">
      <w:pPr>
        <w:pStyle w:val="05-Textonormal"/>
        <w:keepNext/>
        <w:spacing w:before="0" w:after="200" w:line="240" w:lineRule="auto"/>
        <w:jc w:val="left"/>
        <w:rPr>
          <w:snapToGrid w:val="0"/>
        </w:rPr>
      </w:pPr>
      <w:r w:rsidRPr="003B4AA7">
        <w:rPr>
          <w:snapToGrid w:val="0"/>
        </w:rPr>
        <w:t>Isabel da Silva Ramos</w:t>
      </w:r>
    </w:p>
    <w:p w14:paraId="10EB4AEB" w14:textId="77777777" w:rsidR="00AA6738" w:rsidRDefault="00AA6738" w:rsidP="00FD4A45">
      <w:pPr>
        <w:pStyle w:val="05-Textonormal"/>
        <w:keepNext/>
        <w:spacing w:before="0" w:after="200" w:line="240" w:lineRule="auto"/>
        <w:jc w:val="left"/>
        <w:rPr>
          <w:snapToGrid w:val="0"/>
        </w:rPr>
      </w:pPr>
      <w:r>
        <w:rPr>
          <w:snapToGrid w:val="0"/>
        </w:rPr>
        <w:t>Ricardo Moura de Araújo Faria</w:t>
      </w:r>
    </w:p>
    <w:p w14:paraId="2DA5D4DE" w14:textId="77777777" w:rsidR="00AA6738" w:rsidRPr="003B4AA7" w:rsidRDefault="00AA6738" w:rsidP="00FD4A45">
      <w:pPr>
        <w:pStyle w:val="05-Textonormal"/>
        <w:keepNext/>
        <w:spacing w:before="0" w:after="200" w:line="240" w:lineRule="auto"/>
        <w:jc w:val="left"/>
        <w:rPr>
          <w:snapToGrid w:val="0"/>
        </w:rPr>
      </w:pPr>
      <w:r w:rsidRPr="009E7CF1">
        <w:rPr>
          <w:snapToGrid w:val="0"/>
        </w:rPr>
        <w:t>Ullisses Christian Silva Assis</w:t>
      </w:r>
    </w:p>
    <w:p w14:paraId="4DE404AA" w14:textId="77777777" w:rsidR="00AA6738" w:rsidRPr="005275F2" w:rsidRDefault="00AA6738" w:rsidP="00FD4A45">
      <w:pPr>
        <w:pStyle w:val="05-Textonormal"/>
        <w:keepNext/>
        <w:spacing w:before="0" w:after="200" w:line="240" w:lineRule="auto"/>
        <w:jc w:val="left"/>
        <w:rPr>
          <w:snapToGrid w:val="0"/>
          <w:szCs w:val="24"/>
        </w:rPr>
      </w:pPr>
    </w:p>
    <w:p w14:paraId="3F93DA8E" w14:textId="77777777" w:rsidR="00AA6738" w:rsidRPr="00BE55B2" w:rsidRDefault="00AA6738" w:rsidP="00FD4A45">
      <w:pPr>
        <w:pStyle w:val="02-TtulodeNota"/>
        <w:spacing w:before="0" w:after="200"/>
        <w:jc w:val="left"/>
        <w:outlineLvl w:val="9"/>
        <w:rPr>
          <w:color w:val="1F4E79" w:themeColor="accent1" w:themeShade="80"/>
        </w:rPr>
      </w:pPr>
      <w:r w:rsidRPr="00BE55B2">
        <w:rPr>
          <w:color w:val="1F4E79" w:themeColor="accent1" w:themeShade="80"/>
        </w:rPr>
        <w:t>CONSELHO FISCAL</w:t>
      </w:r>
    </w:p>
    <w:p w14:paraId="26344989" w14:textId="77777777" w:rsidR="00AA6738" w:rsidRDefault="00AA6738" w:rsidP="00376F73">
      <w:pPr>
        <w:pStyle w:val="05-Textonormal"/>
        <w:keepNext/>
        <w:spacing w:before="0" w:after="200" w:line="240" w:lineRule="auto"/>
        <w:jc w:val="left"/>
        <w:rPr>
          <w:snapToGrid w:val="0"/>
        </w:rPr>
      </w:pPr>
      <w:r w:rsidRPr="00B02ABA">
        <w:rPr>
          <w:snapToGrid w:val="0"/>
        </w:rPr>
        <w:t>Lucin</w:t>
      </w:r>
      <w:r>
        <w:rPr>
          <w:snapToGrid w:val="0"/>
        </w:rPr>
        <w:t>e</w:t>
      </w:r>
      <w:r w:rsidRPr="00B02ABA">
        <w:rPr>
          <w:snapToGrid w:val="0"/>
        </w:rPr>
        <w:t>ia Possar</w:t>
      </w:r>
    </w:p>
    <w:p w14:paraId="3EF5DF57" w14:textId="77777777" w:rsidR="00AA6738" w:rsidRDefault="00AA6738" w:rsidP="00FD4A45">
      <w:pPr>
        <w:pStyle w:val="05-Textonormal"/>
        <w:keepNext/>
        <w:spacing w:before="0" w:after="200" w:line="240" w:lineRule="auto"/>
        <w:jc w:val="left"/>
        <w:rPr>
          <w:snapToGrid w:val="0"/>
        </w:rPr>
      </w:pPr>
      <w:r w:rsidRPr="001F0F09">
        <w:rPr>
          <w:snapToGrid w:val="0"/>
        </w:rPr>
        <w:t>Francisco Olinto Velo Schmitt</w:t>
      </w:r>
    </w:p>
    <w:p w14:paraId="7985ECE3" w14:textId="77777777" w:rsidR="00AA6738" w:rsidRPr="003B4AA7" w:rsidRDefault="00AA6738" w:rsidP="00FD4A45">
      <w:pPr>
        <w:pStyle w:val="05-Textonormal"/>
        <w:keepNext/>
        <w:spacing w:before="0" w:after="200" w:line="240" w:lineRule="auto"/>
        <w:jc w:val="left"/>
        <w:rPr>
          <w:snapToGrid w:val="0"/>
        </w:rPr>
      </w:pPr>
      <w:r w:rsidRPr="00B02ABA">
        <w:rPr>
          <w:snapToGrid w:val="0"/>
        </w:rPr>
        <w:t>Luis Felipe Vital Nunes Pereira</w:t>
      </w:r>
    </w:p>
    <w:p w14:paraId="21DDA9F7" w14:textId="77777777" w:rsidR="00AA6738" w:rsidRPr="005275F2" w:rsidRDefault="00AA6738" w:rsidP="00FD4A45">
      <w:pPr>
        <w:pStyle w:val="05-Textonormal"/>
        <w:keepNext/>
        <w:spacing w:before="0" w:after="200" w:line="240" w:lineRule="auto"/>
        <w:jc w:val="left"/>
        <w:rPr>
          <w:snapToGrid w:val="0"/>
          <w:szCs w:val="24"/>
        </w:rPr>
      </w:pPr>
    </w:p>
    <w:p w14:paraId="4FCE38FA" w14:textId="77777777" w:rsidR="00AA6738" w:rsidRPr="00BE55B2" w:rsidRDefault="00AA6738" w:rsidP="00FD4A45">
      <w:pPr>
        <w:pStyle w:val="02-TtulodeNota"/>
        <w:spacing w:before="0" w:after="200"/>
        <w:jc w:val="left"/>
        <w:outlineLvl w:val="9"/>
        <w:rPr>
          <w:color w:val="1F4E79" w:themeColor="accent1" w:themeShade="80"/>
        </w:rPr>
      </w:pPr>
      <w:r w:rsidRPr="00BE55B2">
        <w:rPr>
          <w:color w:val="1F4E79" w:themeColor="accent1" w:themeShade="80"/>
        </w:rPr>
        <w:t>COMITÊ DE AUDITORIA</w:t>
      </w:r>
    </w:p>
    <w:p w14:paraId="356CBD44" w14:textId="77777777" w:rsidR="00AA6738" w:rsidRPr="00351527" w:rsidRDefault="00AA6738" w:rsidP="00FD4A45">
      <w:pPr>
        <w:keepNext/>
        <w:spacing w:line="240" w:lineRule="auto"/>
        <w:rPr>
          <w:snapToGrid w:val="0"/>
          <w:szCs w:val="18"/>
        </w:rPr>
      </w:pPr>
      <w:r w:rsidRPr="00351527">
        <w:rPr>
          <w:snapToGrid w:val="0"/>
          <w:szCs w:val="18"/>
        </w:rPr>
        <w:t>Luiz Claudio Moraes</w:t>
      </w:r>
    </w:p>
    <w:p w14:paraId="27A5A981" w14:textId="77777777" w:rsidR="00AA6738" w:rsidRDefault="00AA6738" w:rsidP="00FD4A45">
      <w:pPr>
        <w:keepNext/>
        <w:spacing w:line="240" w:lineRule="auto"/>
        <w:rPr>
          <w:rFonts w:cs="Arial"/>
          <w:szCs w:val="18"/>
        </w:rPr>
      </w:pPr>
      <w:r w:rsidRPr="00351527">
        <w:rPr>
          <w:rFonts w:cs="Arial"/>
          <w:szCs w:val="18"/>
        </w:rPr>
        <w:t>Artemio Bertholini</w:t>
      </w:r>
    </w:p>
    <w:p w14:paraId="19647E80" w14:textId="77777777" w:rsidR="00AA6738" w:rsidRPr="00351527" w:rsidRDefault="00AA6738" w:rsidP="00FD4A45">
      <w:pPr>
        <w:keepNext/>
        <w:spacing w:line="240" w:lineRule="auto"/>
        <w:rPr>
          <w:rFonts w:cs="Arial"/>
          <w:szCs w:val="18"/>
        </w:rPr>
      </w:pPr>
      <w:r w:rsidRPr="00A7061F">
        <w:rPr>
          <w:rFonts w:cs="Arial"/>
          <w:szCs w:val="18"/>
        </w:rPr>
        <w:t>Gilberto Lourenço da Aparecida</w:t>
      </w:r>
    </w:p>
    <w:p w14:paraId="3F55B6A9" w14:textId="77777777" w:rsidR="00AA6738" w:rsidRPr="00351527" w:rsidRDefault="00AA6738" w:rsidP="00FD4A45">
      <w:pPr>
        <w:keepNext/>
        <w:spacing w:line="240" w:lineRule="auto"/>
        <w:rPr>
          <w:rFonts w:cs="Arial"/>
          <w:szCs w:val="18"/>
        </w:rPr>
      </w:pPr>
      <w:r w:rsidRPr="00351527">
        <w:rPr>
          <w:rFonts w:cs="Arial"/>
          <w:szCs w:val="18"/>
        </w:rPr>
        <w:t>Manoel Gimenes Ruy</w:t>
      </w:r>
    </w:p>
    <w:p w14:paraId="564D5A25" w14:textId="77777777" w:rsidR="00AA6738" w:rsidRPr="00351527" w:rsidRDefault="00AA6738" w:rsidP="00FD4A45">
      <w:pPr>
        <w:keepNext/>
        <w:spacing w:line="240" w:lineRule="auto"/>
        <w:rPr>
          <w:rFonts w:cs="Arial"/>
          <w:szCs w:val="18"/>
        </w:rPr>
      </w:pPr>
      <w:r w:rsidRPr="00351527">
        <w:rPr>
          <w:rFonts w:cs="Arial"/>
          <w:szCs w:val="18"/>
        </w:rPr>
        <w:t>Roberto Lamb</w:t>
      </w:r>
    </w:p>
    <w:p w14:paraId="708814BB" w14:textId="77777777" w:rsidR="00AA6738" w:rsidRPr="004401D7" w:rsidRDefault="00AA6738" w:rsidP="00FD4A45">
      <w:pPr>
        <w:pStyle w:val="05-Textonormal"/>
        <w:keepNext/>
        <w:spacing w:before="0" w:after="200" w:line="240" w:lineRule="auto"/>
        <w:jc w:val="left"/>
        <w:rPr>
          <w:snapToGrid w:val="0"/>
        </w:rPr>
      </w:pPr>
    </w:p>
    <w:p w14:paraId="2F903B3A" w14:textId="77777777" w:rsidR="00AA6738" w:rsidRPr="002F7833" w:rsidRDefault="00AA6738" w:rsidP="00FD4A45">
      <w:pPr>
        <w:pStyle w:val="02-TtulodeNota"/>
        <w:spacing w:before="0" w:after="200"/>
        <w:jc w:val="left"/>
        <w:outlineLvl w:val="9"/>
        <w:rPr>
          <w:color w:val="1F4E79" w:themeColor="accent1" w:themeShade="80"/>
        </w:rPr>
      </w:pPr>
      <w:r w:rsidRPr="002F7833">
        <w:rPr>
          <w:color w:val="1F4E79" w:themeColor="accent1" w:themeShade="80"/>
        </w:rPr>
        <w:t>CONTADOR</w:t>
      </w:r>
    </w:p>
    <w:p w14:paraId="4B3CEC1F" w14:textId="77777777" w:rsidR="00AA6738" w:rsidRPr="00056907" w:rsidRDefault="00AA6738" w:rsidP="00FD4A45">
      <w:pPr>
        <w:pStyle w:val="05-Textonormal"/>
        <w:keepNext/>
        <w:spacing w:before="0" w:after="200" w:line="240" w:lineRule="auto"/>
        <w:jc w:val="left"/>
        <w:rPr>
          <w:snapToGrid w:val="0"/>
        </w:rPr>
      </w:pPr>
      <w:r w:rsidRPr="00056907">
        <w:rPr>
          <w:snapToGrid w:val="0"/>
        </w:rPr>
        <w:t>Pedro Kiefer Braga</w:t>
      </w:r>
    </w:p>
    <w:p w14:paraId="7B3B491C" w14:textId="77777777" w:rsidR="00AA6738" w:rsidRPr="00056907" w:rsidRDefault="00AA6738" w:rsidP="00FD4A45">
      <w:pPr>
        <w:pStyle w:val="05-Textonormal"/>
        <w:keepNext/>
        <w:spacing w:before="0" w:after="200" w:line="240" w:lineRule="auto"/>
        <w:jc w:val="left"/>
        <w:rPr>
          <w:snapToGrid w:val="0"/>
        </w:rPr>
      </w:pPr>
      <w:r w:rsidRPr="00056907">
        <w:rPr>
          <w:snapToGrid w:val="0"/>
        </w:rPr>
        <w:t>CRC-DF 020.786/O-0</w:t>
      </w:r>
    </w:p>
    <w:p w14:paraId="2C70ADEF" w14:textId="77777777" w:rsidR="00AA6738" w:rsidRDefault="00AA6738" w:rsidP="00FD4A45">
      <w:pPr>
        <w:pStyle w:val="05-Textonormal"/>
        <w:keepNext/>
        <w:spacing w:before="0" w:after="200" w:line="240" w:lineRule="auto"/>
        <w:jc w:val="left"/>
      </w:pPr>
      <w:r w:rsidRPr="00056907">
        <w:rPr>
          <w:snapToGrid w:val="0"/>
        </w:rPr>
        <w:t>CPF 027.782.029-43</w:t>
      </w:r>
    </w:p>
    <w:p w14:paraId="79CD7FEA" w14:textId="78083C00" w:rsidR="00AA6738" w:rsidRPr="006755A9" w:rsidRDefault="00AA6738" w:rsidP="006755A9">
      <w:pPr>
        <w:tabs>
          <w:tab w:val="left" w:pos="5706"/>
        </w:tabs>
        <w:rPr>
          <w:lang w:eastAsia="pt-BR"/>
        </w:rPr>
      </w:pPr>
    </w:p>
    <w:p w14:paraId="26424239" w14:textId="4C9E4A04" w:rsidR="008115B4" w:rsidRPr="00716A4A" w:rsidRDefault="008115B4" w:rsidP="008115B4">
      <w:pPr>
        <w:pStyle w:val="PargrafodaLista"/>
        <w:ind w:left="1065" w:hanging="705"/>
        <w:jc w:val="both"/>
        <w:rPr>
          <w:rFonts w:cs="Arial"/>
        </w:rPr>
      </w:pPr>
    </w:p>
    <w:sectPr w:rsidR="008115B4" w:rsidRPr="00716A4A" w:rsidSect="00FD5AF6">
      <w:headerReference w:type="default" r:id="rId46"/>
      <w:footerReference w:type="default" r:id="rId47"/>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172674" w:rsidRDefault="00172674" w:rsidP="001170F1">
      <w:pPr>
        <w:spacing w:after="0" w:line="240" w:lineRule="auto"/>
      </w:pPr>
      <w:r>
        <w:separator/>
      </w:r>
    </w:p>
  </w:endnote>
  <w:endnote w:type="continuationSeparator" w:id="0">
    <w:p w14:paraId="2EE9981F" w14:textId="77777777" w:rsidR="00172674" w:rsidRDefault="00172674"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ncoDoBrasil Textos Light">
    <w:altName w:val="Calibri"/>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97E" w14:textId="77777777" w:rsidR="00355FF0" w:rsidRDefault="00355FF0" w:rsidP="003712B8">
    <w:pPr>
      <w:pStyle w:val="Rodap"/>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4745" w14:textId="4EAC39AE" w:rsidR="009C4F47" w:rsidRDefault="00571767">
    <w:pPr>
      <w:pStyle w:val="Rodap"/>
      <w:jc w:val="right"/>
    </w:pPr>
  </w:p>
  <w:p w14:paraId="6D4AF3F6" w14:textId="77777777" w:rsidR="009C4F47" w:rsidRDefault="00571767">
    <w:pPr>
      <w:pStyle w:val="Rodap"/>
    </w:pPr>
  </w:p>
  <w:p w14:paraId="3BBF26AE" w14:textId="77777777" w:rsidR="00B2799E" w:rsidRDefault="00B279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FA9" w14:textId="77777777" w:rsidR="00DC5865" w:rsidRPr="00EB5F44" w:rsidRDefault="00DC5865" w:rsidP="00EB5F44">
    <w:pPr>
      <w:pStyle w:val="Rodap"/>
      <w:tabs>
        <w:tab w:val="clear" w:pos="4252"/>
        <w:tab w:val="clear" w:pos="8504"/>
        <w:tab w:val="right" w:pos="9638"/>
      </w:tabs>
      <w:rPr>
        <w:rFonts w:ascii="Verdana" w:hAnsi="Verdana"/>
        <w:sz w:val="16"/>
      </w:rPr>
    </w:pPr>
    <w:r w:rsidRPr="00EB5F44">
      <w:rPr>
        <w:rFonts w:ascii="Verdana" w:hAnsi="Verdana"/>
        <w:sz w:val="16"/>
      </w:rPr>
      <w:t>© 2020.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EB5F44">
      <w:rPr>
        <w:rFonts w:ascii="Verdana" w:hAnsi="Verdana"/>
        <w:noProof/>
      </w:rPr>
      <w:t>4</w:t>
    </w:r>
    <w:r w:rsidRPr="00EB5F44">
      <w:rPr>
        <w:rFonts w:ascii="Verdana" w:hAnsi="Verdana"/>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1873" w14:textId="77777777" w:rsidR="00DC5865" w:rsidRPr="00EB5F44" w:rsidRDefault="00DC5865" w:rsidP="00EB5F44">
    <w:pPr>
      <w:pStyle w:val="Rodap"/>
      <w:tabs>
        <w:tab w:val="clear" w:pos="4252"/>
        <w:tab w:val="clear" w:pos="8504"/>
        <w:tab w:val="right" w:pos="9638"/>
      </w:tabs>
      <w:rPr>
        <w:rFonts w:ascii="Verdana" w:hAnsi="Verdana"/>
        <w:sz w:val="16"/>
      </w:rPr>
    </w:pPr>
    <w:r w:rsidRPr="00EB5F44">
      <w:rPr>
        <w:rFonts w:ascii="Verdana" w:hAnsi="Verdana"/>
        <w:sz w:val="16"/>
      </w:rPr>
      <w:t>© 202</w:t>
    </w:r>
    <w:r>
      <w:rPr>
        <w:rFonts w:ascii="Verdana" w:hAnsi="Verdana"/>
        <w:sz w:val="16"/>
      </w:rPr>
      <w:t>1</w:t>
    </w:r>
    <w:r w:rsidRPr="00EB5F44">
      <w:rPr>
        <w:rFonts w:ascii="Verdana" w:hAnsi="Verdana"/>
        <w:sz w:val="16"/>
      </w:rPr>
      <w:t>.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680922">
      <w:rPr>
        <w:rFonts w:ascii="Verdana" w:hAnsi="Verdana"/>
        <w:noProof/>
      </w:rPr>
      <w:t>5</w:t>
    </w:r>
    <w:r w:rsidRPr="00EB5F44">
      <w:rPr>
        <w:rFonts w:ascii="Verdana" w:hAnsi="Verdana"/>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0089" w14:textId="77777777" w:rsidR="00DC5865" w:rsidRPr="00EB5F44" w:rsidRDefault="00DC5865" w:rsidP="00EB5F44">
    <w:pPr>
      <w:pStyle w:val="Rodap"/>
      <w:tabs>
        <w:tab w:val="clear" w:pos="4252"/>
        <w:tab w:val="clear" w:pos="8504"/>
        <w:tab w:val="right" w:pos="9638"/>
      </w:tabs>
      <w:rPr>
        <w:rFonts w:ascii="Verdana" w:hAnsi="Verdana"/>
        <w:sz w:val="16"/>
      </w:rPr>
    </w:pPr>
    <w:r w:rsidRPr="00EB5F44">
      <w:rPr>
        <w:rFonts w:ascii="Verdana" w:hAnsi="Verdana"/>
        <w:sz w:val="16"/>
      </w:rPr>
      <w:t>© 202</w:t>
    </w:r>
    <w:r>
      <w:rPr>
        <w:rFonts w:ascii="Verdana" w:hAnsi="Verdana"/>
        <w:sz w:val="16"/>
      </w:rPr>
      <w:t>1</w:t>
    </w:r>
    <w:r w:rsidRPr="00EB5F44">
      <w:rPr>
        <w:rFonts w:ascii="Verdana" w:hAnsi="Verdana"/>
        <w:sz w:val="16"/>
      </w:rPr>
      <w:t>.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680922">
      <w:rPr>
        <w:rFonts w:ascii="Verdana" w:hAnsi="Verdana"/>
        <w:noProof/>
      </w:rPr>
      <w:t>5</w:t>
    </w:r>
    <w:r w:rsidRPr="00EB5F44">
      <w:rPr>
        <w:rFonts w:ascii="Verdana" w:hAnsi="Verdan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BF7" w14:textId="77777777" w:rsidR="00DC5865" w:rsidRPr="00E365CA" w:rsidRDefault="00DC5865" w:rsidP="00E365CA">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38BB" w14:textId="77777777" w:rsidR="00453157" w:rsidRDefault="00571767">
    <w:pPr>
      <w:pStyle w:val="Rodap"/>
    </w:pPr>
  </w:p>
  <w:p w14:paraId="25F23C6E" w14:textId="77777777" w:rsidR="00B2799E" w:rsidRDefault="00B2799E"/>
  <w:p w14:paraId="6EE74AC3" w14:textId="77777777" w:rsidR="00B2799E" w:rsidRDefault="00B2799E"/>
  <w:p w14:paraId="74A87C1B" w14:textId="77777777" w:rsidR="00B2799E" w:rsidRDefault="00B2799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70228"/>
      <w:docPartObj>
        <w:docPartGallery w:val="Page Numbers (Bottom of Page)"/>
        <w:docPartUnique/>
      </w:docPartObj>
    </w:sdtPr>
    <w:sdtEndPr/>
    <w:sdtContent>
      <w:p w14:paraId="23997BFA" w14:textId="77777777" w:rsidR="009C4F47" w:rsidRDefault="00E25C15">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75136" behindDoc="0" locked="0" layoutInCell="1" allowOverlap="1" wp14:anchorId="18F6F4C7" wp14:editId="428B8118">
                  <wp:simplePos x="0" y="0"/>
                  <wp:positionH relativeFrom="page">
                    <wp:align>left</wp:align>
                  </wp:positionH>
                  <wp:positionV relativeFrom="paragraph">
                    <wp:posOffset>2067</wp:posOffset>
                  </wp:positionV>
                  <wp:extent cx="5603132" cy="45719"/>
                  <wp:effectExtent l="0" t="0" r="0" b="0"/>
                  <wp:wrapNone/>
                  <wp:docPr id="34"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3BB4E65" id="Retângulo 14" o:spid="_x0000_s1026" style="position:absolute;margin-left:0;margin-top:.15pt;width:441.2pt;height:3.6pt;flip:y;z-index:25167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235EDFA" w14:textId="77777777" w:rsidR="009C4F47" w:rsidRDefault="00571767">
    <w:pPr>
      <w:pStyle w:val="Rodap"/>
    </w:pPr>
  </w:p>
  <w:p w14:paraId="7F2AE38F" w14:textId="77777777" w:rsidR="00B2799E" w:rsidRDefault="00B2799E"/>
  <w:p w14:paraId="3905DCAC" w14:textId="77777777" w:rsidR="00B2799E" w:rsidRDefault="00B2799E"/>
  <w:p w14:paraId="3FA02A0A" w14:textId="77777777" w:rsidR="00B2799E" w:rsidRDefault="00B2799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35CC" w14:textId="5F659F4F" w:rsidR="00F123C6" w:rsidRPr="00F123C6" w:rsidRDefault="00F123C6" w:rsidP="00F123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84541"/>
      <w:docPartObj>
        <w:docPartGallery w:val="Page Numbers (Bottom of Page)"/>
        <w:docPartUnique/>
      </w:docPartObj>
    </w:sdtPr>
    <w:sdtEndPr/>
    <w:sdtContent>
      <w:p w14:paraId="370B5A09" w14:textId="5B7462A1" w:rsidR="00172674" w:rsidRDefault="00172674">
        <w:pPr>
          <w:pStyle w:val="Rodap"/>
          <w:jc w:val="right"/>
        </w:pPr>
        <w:r>
          <w:fldChar w:fldCharType="begin"/>
        </w:r>
        <w:r>
          <w:instrText>PAGE   \* MERGEFORMAT</w:instrText>
        </w:r>
        <w:r>
          <w:fldChar w:fldCharType="separate"/>
        </w:r>
        <w:r w:rsidR="00E35ACF">
          <w:rPr>
            <w:noProof/>
          </w:rPr>
          <w:t>6</w:t>
        </w:r>
        <w:r>
          <w:fldChar w:fldCharType="end"/>
        </w:r>
      </w:p>
    </w:sdtContent>
  </w:sdt>
  <w:p w14:paraId="4989D406" w14:textId="77777777" w:rsidR="00172674" w:rsidRDefault="00172674" w:rsidP="003712B8">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6DA" w14:textId="77777777" w:rsidR="00375569" w:rsidRDefault="0037556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2B2" w14:textId="77777777" w:rsidR="00375569" w:rsidRDefault="0037556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A49F" w14:textId="77777777" w:rsidR="00376D0F" w:rsidRDefault="00376D0F">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45326"/>
      <w:docPartObj>
        <w:docPartGallery w:val="Page Numbers (Bottom of Page)"/>
        <w:docPartUnique/>
      </w:docPartObj>
    </w:sdtPr>
    <w:sdtEndPr/>
    <w:sdtContent>
      <w:p w14:paraId="008D7B61" w14:textId="77777777" w:rsidR="00376D0F" w:rsidRDefault="00376D0F">
        <w:pPr>
          <w:pStyle w:val="Rodap"/>
          <w:jc w:val="right"/>
        </w:pPr>
        <w:r>
          <w:fldChar w:fldCharType="begin"/>
        </w:r>
        <w:r>
          <w:instrText>PAGE   \* MERGEFORMAT</w:instrText>
        </w:r>
        <w:r>
          <w:fldChar w:fldCharType="separate"/>
        </w:r>
        <w:r>
          <w:rPr>
            <w:noProof/>
          </w:rPr>
          <w:t>1</w:t>
        </w:r>
        <w:r>
          <w:fldChar w:fldCharType="end"/>
        </w:r>
      </w:p>
    </w:sdtContent>
  </w:sdt>
  <w:p w14:paraId="4EC2EAAA" w14:textId="77777777" w:rsidR="00376D0F" w:rsidRDefault="00376D0F">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31497"/>
      <w:docPartObj>
        <w:docPartGallery w:val="Page Numbers (Bottom of Page)"/>
        <w:docPartUnique/>
      </w:docPartObj>
    </w:sdtPr>
    <w:sdtEndPr/>
    <w:sdtContent>
      <w:p w14:paraId="5FF6E247" w14:textId="77777777" w:rsidR="00376D0F" w:rsidRDefault="00376D0F">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68992" behindDoc="0" locked="0" layoutInCell="1" allowOverlap="1" wp14:anchorId="71D82C99" wp14:editId="593F5800">
                  <wp:simplePos x="0" y="0"/>
                  <wp:positionH relativeFrom="page">
                    <wp:align>left</wp:align>
                  </wp:positionH>
                  <wp:positionV relativeFrom="paragraph">
                    <wp:posOffset>2067</wp:posOffset>
                  </wp:positionV>
                  <wp:extent cx="5603132" cy="45719"/>
                  <wp:effectExtent l="0" t="0" r="0" b="0"/>
                  <wp:wrapNone/>
                  <wp:docPr id="45"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EBBAB45" id="Retângulo 14" o:spid="_x0000_s1026" style="position:absolute;margin-left:0;margin-top:.15pt;width:441.2pt;height:3.6pt;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1D53B7A1" w14:textId="77777777" w:rsidR="00376D0F" w:rsidRDefault="00376D0F">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33166"/>
      <w:docPartObj>
        <w:docPartGallery w:val="Page Numbers (Bottom of Page)"/>
        <w:docPartUnique/>
      </w:docPartObj>
    </w:sdtPr>
    <w:sdtEndPr/>
    <w:sdtContent>
      <w:p w14:paraId="2ADF55BD" w14:textId="77777777" w:rsidR="00573897" w:rsidRDefault="0057389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42368" behindDoc="0" locked="0" layoutInCell="1" allowOverlap="1" wp14:anchorId="07DC715C" wp14:editId="5E11BB47">
                  <wp:simplePos x="0" y="0"/>
                  <wp:positionH relativeFrom="page">
                    <wp:align>left</wp:align>
                  </wp:positionH>
                  <wp:positionV relativeFrom="paragraph">
                    <wp:posOffset>2067</wp:posOffset>
                  </wp:positionV>
                  <wp:extent cx="5603132" cy="45719"/>
                  <wp:effectExtent l="0" t="0" r="0" b="0"/>
                  <wp:wrapNone/>
                  <wp:docPr id="13"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136FD90" id="Retângulo 14" o:spid="_x0000_s1026" style="position:absolute;margin-left:0;margin-top:.15pt;width:441.2pt;height:3.6pt;flip:y;z-index:251642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4E91059" w14:textId="77777777" w:rsidR="00573897" w:rsidRDefault="00573897">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F25C" w14:textId="06FDD5BD" w:rsidR="008115B4" w:rsidRDefault="008115B4">
    <w:pPr>
      <w:pStyle w:val="Rodap"/>
      <w:jc w:val="right"/>
    </w:pPr>
  </w:p>
  <w:p w14:paraId="736D81F2" w14:textId="77777777" w:rsidR="008115B4" w:rsidRDefault="008115B4">
    <w:pPr>
      <w:pStyle w:val="Rodap"/>
    </w:pPr>
  </w:p>
  <w:p w14:paraId="6A8940C8" w14:textId="77777777" w:rsidR="00B2799E" w:rsidRDefault="00B27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172674" w:rsidRDefault="00172674" w:rsidP="001170F1">
      <w:pPr>
        <w:spacing w:after="0" w:line="240" w:lineRule="auto"/>
      </w:pPr>
      <w:r>
        <w:separator/>
      </w:r>
    </w:p>
  </w:footnote>
  <w:footnote w:type="continuationSeparator" w:id="0">
    <w:p w14:paraId="390B6C95" w14:textId="77777777" w:rsidR="00172674" w:rsidRDefault="00172674" w:rsidP="001170F1">
      <w:pPr>
        <w:spacing w:after="0" w:line="240" w:lineRule="auto"/>
      </w:pPr>
      <w:r>
        <w:continuationSeparator/>
      </w:r>
    </w:p>
  </w:footnote>
  <w:footnote w:id="1">
    <w:p w14:paraId="17418C92" w14:textId="77777777" w:rsidR="00182FC3" w:rsidRDefault="00182FC3" w:rsidP="005C107F">
      <w:pPr>
        <w:pStyle w:val="Textodenotaderodap"/>
      </w:pPr>
      <w:r w:rsidRPr="009D6016">
        <w:rPr>
          <w:rStyle w:val="Refdenotaderodap"/>
          <w:rFonts w:ascii="Arial" w:hAnsi="Arial" w:cs="Arial"/>
          <w:sz w:val="16"/>
          <w:szCs w:val="16"/>
        </w:rPr>
        <w:footnoteRef/>
      </w:r>
      <w:r w:rsidRPr="009D6016">
        <w:rPr>
          <w:rFonts w:ascii="Arial" w:hAnsi="Arial" w:cs="Arial"/>
        </w:rPr>
        <w:t xml:space="preserve"> </w:t>
      </w:r>
      <w:r>
        <w:rPr>
          <w:rFonts w:ascii="Arial" w:hAnsi="Arial" w:cs="Arial"/>
          <w:sz w:val="16"/>
          <w:szCs w:val="16"/>
        </w:rPr>
        <w:t xml:space="preserve">Variação total da soma de prêmios emitidos, contribuições de previdência e arrecadação de capitalização. Não inclui seguro saúde. Fonte: </w:t>
      </w:r>
      <w:r w:rsidRPr="009D6016">
        <w:rPr>
          <w:rFonts w:ascii="Arial" w:hAnsi="Arial" w:cs="Arial"/>
          <w:sz w:val="16"/>
          <w:szCs w:val="16"/>
        </w:rPr>
        <w:t>SUSEP – Data-base 11M21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C45" w14:textId="73DEA60A" w:rsidR="00355FF0" w:rsidRPr="008540AD" w:rsidRDefault="00CB643D" w:rsidP="006B2DA2">
    <w:pPr>
      <w:pStyle w:val="Cabealho"/>
      <w:tabs>
        <w:tab w:val="clear" w:pos="4252"/>
        <w:tab w:val="clear" w:pos="8504"/>
        <w:tab w:val="left" w:pos="3576"/>
      </w:tabs>
      <w:rPr>
        <w:sz w:val="2"/>
        <w:szCs w:val="2"/>
      </w:rPr>
    </w:pPr>
    <w:r>
      <w:rPr>
        <w:noProof/>
        <w:sz w:val="2"/>
        <w:szCs w:val="2"/>
      </w:rPr>
      <mc:AlternateContent>
        <mc:Choice Requires="wps">
          <w:drawing>
            <wp:anchor distT="0" distB="0" distL="114300" distR="114300" simplePos="0" relativeHeight="251654656" behindDoc="0" locked="0" layoutInCell="0" allowOverlap="1" wp14:anchorId="3F94D3AE" wp14:editId="4E7EDF96">
              <wp:simplePos x="0" y="0"/>
              <wp:positionH relativeFrom="page">
                <wp:align>right</wp:align>
              </wp:positionH>
              <wp:positionV relativeFrom="page">
                <wp:align>top</wp:align>
              </wp:positionV>
              <wp:extent cx="7772400" cy="463550"/>
              <wp:effectExtent l="0" t="0" r="0" b="12700"/>
              <wp:wrapNone/>
              <wp:docPr id="8" name="MSIPCM113f48dc967faf2818a0015f" descr="{&quot;HashCode&quot;:-32555142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D4A7C" w14:textId="631926A6" w:rsidR="00CB643D" w:rsidRPr="00A653B6" w:rsidRDefault="00A653B6" w:rsidP="00A653B6">
                          <w:pPr>
                            <w:spacing w:after="0"/>
                            <w:jc w:val="right"/>
                            <w:rPr>
                              <w:rFonts w:ascii="Calibri" w:hAnsi="Calibri" w:cs="Calibri"/>
                              <w:color w:val="000000"/>
                              <w:sz w:val="20"/>
                            </w:rPr>
                          </w:pPr>
                          <w:r w:rsidRPr="00A653B6">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F94D3AE" id="_x0000_t202" coordsize="21600,21600" o:spt="202" path="m,l,21600r21600,l21600,xe">
              <v:stroke joinstyle="miter"/>
              <v:path gradientshapeok="t" o:connecttype="rect"/>
            </v:shapetype>
            <v:shape id="MSIPCM113f48dc967faf2818a0015f" o:spid="_x0000_s1026" type="#_x0000_t202" alt="{&quot;HashCode&quot;:-325551423,&quot;Height&quot;:9999999.0,&quot;Width&quot;:9999999.0,&quot;Placement&quot;:&quot;Header&quot;,&quot;Index&quot;:&quot;Primary&quot;,&quot;Section&quot;:1,&quot;Top&quot;:0.0,&quot;Left&quot;:0.0}" style="position:absolute;margin-left:560.8pt;margin-top:0;width:612pt;height:36.5pt;z-index:25165465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73CD4A7C" w14:textId="631926A6" w:rsidR="00CB643D" w:rsidRPr="00A653B6" w:rsidRDefault="00A653B6" w:rsidP="00A653B6">
                    <w:pPr>
                      <w:spacing w:after="0"/>
                      <w:jc w:val="right"/>
                      <w:rPr>
                        <w:rFonts w:ascii="Calibri" w:hAnsi="Calibri" w:cs="Calibri"/>
                        <w:color w:val="000000"/>
                        <w:sz w:val="20"/>
                      </w:rPr>
                    </w:pPr>
                    <w:r w:rsidRPr="00A653B6">
                      <w:rPr>
                        <w:rFonts w:ascii="Calibri" w:hAnsi="Calibri" w:cs="Calibri"/>
                        <w:color w:val="000000"/>
                        <w:sz w:val="20"/>
                      </w:rPr>
                      <w:t>#Confidencial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299" w14:textId="77777777" w:rsidR="00573897" w:rsidRPr="00147488" w:rsidRDefault="00573897" w:rsidP="00147488">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640320" behindDoc="0" locked="0" layoutInCell="0" allowOverlap="1" wp14:anchorId="2605AE67" wp14:editId="3BAFDD39">
              <wp:simplePos x="0" y="0"/>
              <wp:positionH relativeFrom="page">
                <wp:align>right</wp:align>
              </wp:positionH>
              <wp:positionV relativeFrom="page">
                <wp:posOffset>9728</wp:posOffset>
              </wp:positionV>
              <wp:extent cx="4441730" cy="607978"/>
              <wp:effectExtent l="0" t="0" r="0" b="1905"/>
              <wp:wrapNone/>
              <wp:docPr id="6" name="MSIPCMd4874885a903e562d240bca3" descr="{&quot;HashCode&quot;:-14872923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4441730" cy="607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CA15C" w14:textId="77777777" w:rsidR="00573897" w:rsidRPr="009C4F47" w:rsidRDefault="00573897" w:rsidP="009C4F47">
                          <w:pPr>
                            <w:spacing w:after="0"/>
                            <w:jc w:val="right"/>
                            <w:rPr>
                              <w:rFonts w:ascii="Calibri" w:hAnsi="Calibri" w:cs="Calibri"/>
                              <w:color w:val="FFFFFF" w:themeColor="background1"/>
                            </w:rPr>
                          </w:pPr>
                        </w:p>
                        <w:p w14:paraId="54F6F002" w14:textId="77777777" w:rsidR="00573897" w:rsidRPr="009C4F47" w:rsidRDefault="00573897"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20624F4D" w14:textId="77777777" w:rsidR="00573897" w:rsidRPr="009C4F47" w:rsidRDefault="00573897" w:rsidP="009C4F47">
                          <w:pPr>
                            <w:spacing w:after="0"/>
                            <w:jc w:val="right"/>
                            <w:rPr>
                              <w:rFonts w:cs="Arial"/>
                              <w:color w:val="FFFFFF" w:themeColor="background1"/>
                            </w:rPr>
                          </w:pPr>
                          <w:r w:rsidRPr="009C4F47">
                            <w:rPr>
                              <w:rFonts w:cs="Arial"/>
                              <w:color w:val="FFFFFF" w:themeColor="background1"/>
                            </w:rPr>
                            <w:t>BB Seguridade Participações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5AE67" id="_x0000_t202" coordsize="21600,21600" o:spt="202" path="m,l,21600r21600,l21600,xe">
              <v:stroke joinstyle="miter"/>
              <v:path gradientshapeok="t" o:connecttype="rect"/>
            </v:shapetype>
            <v:shape id="_x0000_s1036" type="#_x0000_t202" alt="{&quot;HashCode&quot;:-1487292391,&quot;Height&quot;:841.0,&quot;Width&quot;:595.0,&quot;Placement&quot;:&quot;Header&quot;,&quot;Index&quot;:&quot;FirstPage&quot;,&quot;Section&quot;:1,&quot;Top&quot;:0.0,&quot;Left&quot;:0.0}" style="position:absolute;margin-left:298.55pt;margin-top:.75pt;width:349.75pt;height:47.85pt;z-index:2516403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" o:allowincell="f" filled="f" stroked="f" strokeweight=".5pt">
              <v:textbox inset=",0,20pt,0">
                <w:txbxContent>
                  <w:p w14:paraId="14ECA15C" w14:textId="77777777" w:rsidR="00573897" w:rsidRPr="009C4F47" w:rsidRDefault="00573897" w:rsidP="009C4F47">
                    <w:pPr>
                      <w:spacing w:after="0"/>
                      <w:jc w:val="right"/>
                      <w:rPr>
                        <w:rFonts w:ascii="Calibri" w:hAnsi="Calibri" w:cs="Calibri"/>
                        <w:color w:val="FFFFFF" w:themeColor="background1"/>
                      </w:rPr>
                    </w:pPr>
                  </w:p>
                  <w:p w14:paraId="54F6F002" w14:textId="77777777" w:rsidR="00573897" w:rsidRPr="009C4F47" w:rsidRDefault="00573897"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20624F4D" w14:textId="77777777" w:rsidR="00573897" w:rsidRPr="009C4F47" w:rsidRDefault="00573897" w:rsidP="009C4F47">
                    <w:pPr>
                      <w:spacing w:after="0"/>
                      <w:jc w:val="right"/>
                      <w:rPr>
                        <w:rFonts w:cs="Arial"/>
                        <w:color w:val="FFFFFF" w:themeColor="background1"/>
                      </w:rPr>
                    </w:pPr>
                    <w:r w:rsidRPr="009C4F47">
                      <w:rPr>
                        <w:rFonts w:cs="Arial"/>
                        <w:color w:val="FFFFFF" w:themeColor="background1"/>
                      </w:rPr>
                      <w:t>BB Seguridade Participações S.A.</w:t>
                    </w:r>
                  </w:p>
                </w:txbxContent>
              </v:textbox>
              <w10:wrap anchorx="page" anchory="page"/>
            </v:shape>
          </w:pict>
        </mc:Fallback>
      </mc:AlternateContent>
    </w:r>
    <w:r w:rsidRPr="005D303B">
      <w:rPr>
        <w:rFonts w:cs="Arial"/>
        <w:b/>
        <w:noProof/>
        <w:color w:val="1F4E79" w:themeColor="accent1" w:themeShade="80"/>
        <w:szCs w:val="18"/>
        <w:lang w:eastAsia="pt-BR"/>
      </w:rPr>
      <w:drawing>
        <wp:anchor distT="0" distB="0" distL="114300" distR="114300" simplePos="0" relativeHeight="251637248" behindDoc="0" locked="0" layoutInCell="1" allowOverlap="1" wp14:anchorId="03950A5F" wp14:editId="64C6AC0C">
          <wp:simplePos x="0" y="0"/>
          <wp:positionH relativeFrom="margin">
            <wp:posOffset>-447675</wp:posOffset>
          </wp:positionH>
          <wp:positionV relativeFrom="paragraph">
            <wp:posOffset>-353060</wp:posOffset>
          </wp:positionV>
          <wp:extent cx="1176020" cy="259080"/>
          <wp:effectExtent l="0" t="0" r="5080" b="7620"/>
          <wp:wrapNone/>
          <wp:docPr id="2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36224" behindDoc="1" locked="0" layoutInCell="1" allowOverlap="1" wp14:anchorId="402A5C1C" wp14:editId="34C3281E">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1" name="Retângulo 11"/>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03F0" id="Retângulo 11" o:spid="_x0000_s1026" style="position:absolute;margin-left:0;margin-top:-42.75pt;width:594.75pt;height:51.8pt;z-index:-251680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39296" behindDoc="0" locked="0" layoutInCell="1" allowOverlap="1" wp14:anchorId="44686EED" wp14:editId="3DE6E5FC">
              <wp:simplePos x="0" y="0"/>
              <wp:positionH relativeFrom="page">
                <wp:posOffset>0</wp:posOffset>
              </wp:positionH>
              <wp:positionV relativeFrom="paragraph">
                <wp:posOffset>77252</wp:posOffset>
              </wp:positionV>
              <wp:extent cx="9144000" cy="53340"/>
              <wp:effectExtent l="0" t="0" r="0" b="3810"/>
              <wp:wrapNone/>
              <wp:docPr id="12"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0D453666" id="Retângulo 14" o:spid="_x0000_s1026" style="position:absolute;margin-left:0;margin-top:6.1pt;width:10in;height:4.2pt;z-index:25163929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7EB8" w14:textId="77777777" w:rsidR="009C4F47" w:rsidRDefault="00F010DE">
    <w:pPr>
      <w:pStyle w:val="Cabealho"/>
    </w:pPr>
    <w:r>
      <w:rPr>
        <w:noProof/>
        <w:lang w:eastAsia="pt-BR"/>
      </w:rPr>
      <mc:AlternateContent>
        <mc:Choice Requires="wps">
          <w:drawing>
            <wp:anchor distT="0" distB="0" distL="114300" distR="114300" simplePos="0" relativeHeight="251643392" behindDoc="0" locked="0" layoutInCell="0" allowOverlap="1" wp14:anchorId="529EC59E" wp14:editId="694A7E9D">
              <wp:simplePos x="0" y="0"/>
              <wp:positionH relativeFrom="page">
                <wp:posOffset>0</wp:posOffset>
              </wp:positionH>
              <wp:positionV relativeFrom="page">
                <wp:posOffset>190500</wp:posOffset>
              </wp:positionV>
              <wp:extent cx="7560310" cy="266700"/>
              <wp:effectExtent l="0" t="0" r="0" b="0"/>
              <wp:wrapNone/>
              <wp:docPr id="47"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8DBF5" w14:textId="77777777" w:rsidR="009C4F47" w:rsidRPr="00F10B26" w:rsidRDefault="00F010DE"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9EC59E" id="_x0000_t202" coordsize="21600,21600" o:spt="202" path="m,l,21600r21600,l21600,xe">
              <v:stroke joinstyle="miter"/>
              <v:path gradientshapeok="t" o:connecttype="rect"/>
            </v:shapetype>
            <v:shape id="_x0000_s1037" type="#_x0000_t202" alt="{&quot;HashCode&quot;:-1487292391,&quot;Height&quot;:841.0,&quot;Width&quot;:595.0,&quot;Placement&quot;:&quot;Header&quot;,&quot;Index&quot;:&quot;OddAndEven&quot;,&quot;Section&quot;:1,&quot;Top&quot;:0.0,&quot;Left&quot;:0.0}" style="position:absolute;margin-left:0;margin-top:15pt;width:595.3pt;height:21pt;z-index:251643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O7bek8dAgAALQQAAA4AAAAAAAAAAAAAAAAALgIAAGRycy9lMm9Eb2MueG1sUEsBAi0A&#10;FAAGAAgAAAAhADekejrcAAAABwEAAA8AAAAAAAAAAAAAAAAAdwQAAGRycy9kb3ducmV2LnhtbFBL&#10;BQYAAAAABAAEAPMAAACABQAAAAA=&#10;" o:allowincell="f" filled="f" stroked="f" strokeweight=".5pt">
              <v:textbox inset=",0,20pt,0">
                <w:txbxContent>
                  <w:p w14:paraId="1BB8DBF5" w14:textId="77777777" w:rsidR="009C4F47" w:rsidRPr="00F10B26" w:rsidRDefault="00F010DE"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p w14:paraId="5114AC4C" w14:textId="77777777" w:rsidR="00B2799E" w:rsidRDefault="00B279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71FB" w14:textId="1FB062DE" w:rsidR="008115B4" w:rsidRDefault="00B9729F" w:rsidP="006B2DA2">
    <w:pPr>
      <w:pStyle w:val="Cabealho"/>
      <w:tabs>
        <w:tab w:val="clear" w:pos="4252"/>
        <w:tab w:val="clear" w:pos="8504"/>
        <w:tab w:val="left" w:pos="3576"/>
      </w:tabs>
    </w:pPr>
    <w:r>
      <w:rPr>
        <w:noProof/>
        <w:lang w:eastAsia="pt-BR"/>
      </w:rPr>
      <mc:AlternateContent>
        <mc:Choice Requires="wps">
          <w:drawing>
            <wp:anchor distT="0" distB="0" distL="114300" distR="114300" simplePos="0" relativeHeight="251671040" behindDoc="0" locked="0" layoutInCell="0" allowOverlap="1" wp14:anchorId="4CCDA288" wp14:editId="69E8357C">
              <wp:simplePos x="0" y="0"/>
              <wp:positionH relativeFrom="page">
                <wp:align>right</wp:align>
              </wp:positionH>
              <wp:positionV relativeFrom="page">
                <wp:align>top</wp:align>
              </wp:positionV>
              <wp:extent cx="7772400" cy="463550"/>
              <wp:effectExtent l="0" t="0" r="0" b="12700"/>
              <wp:wrapNone/>
              <wp:docPr id="9" name="MSIPCMca55489db686c5eb9afb43f1" descr="{&quot;HashCode&quot;:1921194595,&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2B2A2" w14:textId="117F2E60" w:rsidR="00B9729F" w:rsidRPr="00341F18" w:rsidRDefault="00B9729F" w:rsidP="00341F18">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CCDA288" id="_x0000_t202" coordsize="21600,21600" o:spt="202" path="m,l,21600r21600,l21600,xe">
              <v:stroke joinstyle="miter"/>
              <v:path gradientshapeok="t" o:connecttype="rect"/>
            </v:shapetype>
            <v:shape id="MSIPCMca55489db686c5eb9afb43f1" o:spid="_x0000_s1038" type="#_x0000_t202" alt="{&quot;HashCode&quot;:1921194595,&quot;Height&quot;:9999999.0,&quot;Width&quot;:9999999.0,&quot;Placement&quot;:&quot;Header&quot;,&quot;Index&quot;:&quot;Primary&quot;,&quot;Section&quot;:9,&quot;Top&quot;:0.0,&quot;Left&quot;:0.0}" style="position:absolute;margin-left:560.8pt;margin-top:0;width:612pt;height:36.5pt;z-index:25167104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8HAIAAC8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c0xGQbZQnWk+RBO1HsnVw01sRY+&#10;PAskrqlv2t/wRIc2QMXgLHFWA/78mz3GEwXk5ayj3Sm5/7EXqDgz3yyR83k8ncZlSwoJmITJjEAi&#10;bTuY7b69B9rLMX0RJ5MYg4MZRI3QvtJ+L2M5cgkrqWjJZcBBuQ+nZaYfItVymcJos5wIa7txMiaP&#10;iEZ0X/pXge5MQSDyHmFYMFG8YeIUe+JiuQ+gm0RTxPgE6Bl62srE3vkHxbX/XU9R13+++AU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Fj6ErwcAgAALwQAAA4AAAAAAAAAAAAAAAAALgIAAGRycy9lMm9Eb2MueG1sUEsBAi0AFAAG&#10;AAgAAAAhAM++O6HaAAAABQEAAA8AAAAAAAAAAAAAAAAAdgQAAGRycy9kb3ducmV2LnhtbFBLBQYA&#10;AAAABAAEAPMAAAB9BQAAAAA=&#10;" o:allowincell="f" filled="f" stroked="f" strokeweight=".5pt">
              <v:textbox inset=",0,20pt,0">
                <w:txbxContent>
                  <w:p w14:paraId="3302B2A2" w14:textId="117F2E60" w:rsidR="00B9729F" w:rsidRPr="00341F18" w:rsidRDefault="00B9729F" w:rsidP="00341F18">
                    <w:pPr>
                      <w:spacing w:after="0"/>
                      <w:jc w:val="right"/>
                      <w:rPr>
                        <w:rFonts w:ascii="Calibri" w:hAnsi="Calibri" w:cs="Calibri"/>
                        <w:color w:val="000000"/>
                        <w:sz w:val="20"/>
                      </w:rPr>
                    </w:pPr>
                  </w:p>
                </w:txbxContent>
              </v:textbox>
              <w10:wrap anchorx="page" anchory="page"/>
            </v:shape>
          </w:pict>
        </mc:Fallback>
      </mc:AlternateContent>
    </w:r>
    <w:r w:rsidR="008115B4">
      <w:rPr>
        <w:noProof/>
        <w:lang w:eastAsia="pt-BR"/>
      </w:rPr>
      <mc:AlternateContent>
        <mc:Choice Requires="wps">
          <w:drawing>
            <wp:anchor distT="45720" distB="45720" distL="114300" distR="114300" simplePos="0" relativeHeight="251670016" behindDoc="0" locked="0" layoutInCell="1" allowOverlap="1" wp14:anchorId="7E7366DF" wp14:editId="0C58B7D5">
              <wp:simplePos x="0" y="0"/>
              <wp:positionH relativeFrom="column">
                <wp:posOffset>5017135</wp:posOffset>
              </wp:positionH>
              <wp:positionV relativeFrom="paragraph">
                <wp:posOffset>-494665</wp:posOffset>
              </wp:positionV>
              <wp:extent cx="5021580" cy="381000"/>
              <wp:effectExtent l="0" t="0" r="0" b="0"/>
              <wp:wrapSquare wrapText="bothSides"/>
              <wp:docPr id="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0F958816" w14:textId="77777777" w:rsidR="008115B4" w:rsidRPr="00E35ACF" w:rsidRDefault="008115B4"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76927F84" w14:textId="77777777" w:rsidR="008115B4" w:rsidRPr="00E35ACF" w:rsidRDefault="008115B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366DF" id="_x0000_s1039" type="#_x0000_t202" style="position:absolute;margin-left:395.05pt;margin-top:-38.95pt;width:395.4pt;height:30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" filled="f" stroked="f">
              <v:textbox>
                <w:txbxContent>
                  <w:p w14:paraId="0F958816" w14:textId="77777777" w:rsidR="008115B4" w:rsidRPr="00E35ACF" w:rsidRDefault="008115B4"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76927F84" w14:textId="77777777" w:rsidR="008115B4" w:rsidRPr="00E35ACF" w:rsidRDefault="008115B4">
                    <w:pPr>
                      <w:rPr>
                        <w:color w:val="FFFFFF" w:themeColor="background1"/>
                      </w:rPr>
                    </w:pPr>
                  </w:p>
                </w:txbxContent>
              </v:textbox>
              <w10:wrap type="square"/>
            </v:shape>
          </w:pict>
        </mc:Fallback>
      </mc:AlternateContent>
    </w:r>
    <w:r w:rsidR="008115B4" w:rsidRPr="00254D35">
      <w:rPr>
        <w:noProof/>
        <w:sz w:val="20"/>
        <w:szCs w:val="20"/>
        <w:lang w:eastAsia="pt-BR"/>
      </w:rPr>
      <mc:AlternateContent>
        <mc:Choice Requires="wps">
          <w:drawing>
            <wp:anchor distT="0" distB="0" distL="114300" distR="114300" simplePos="0" relativeHeight="251663872" behindDoc="0" locked="0" layoutInCell="1" allowOverlap="1" wp14:anchorId="747ABC30" wp14:editId="42911B6E">
              <wp:simplePos x="0" y="0"/>
              <wp:positionH relativeFrom="page">
                <wp:posOffset>7620</wp:posOffset>
              </wp:positionH>
              <wp:positionV relativeFrom="paragraph">
                <wp:posOffset>-723265</wp:posOffset>
              </wp:positionV>
              <wp:extent cx="10706100" cy="647700"/>
              <wp:effectExtent l="0" t="0" r="0" b="0"/>
              <wp:wrapNone/>
              <wp:docPr id="56" name="Retângulo 56"/>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6D32EEC0" w14:textId="77777777" w:rsidR="008115B4" w:rsidRDefault="008115B4" w:rsidP="007B58CB">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C30" id="Retângulo 56" o:spid="_x0000_s1040" style="position:absolute;margin-left:.6pt;margin-top:-56.95pt;width:843pt;height:5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" fillcolor="#002d4b" stroked="f" strokeweight="1pt">
              <v:textbox>
                <w:txbxContent>
                  <w:p w14:paraId="6D32EEC0" w14:textId="77777777" w:rsidR="008115B4" w:rsidRDefault="008115B4" w:rsidP="007B58CB">
                    <w:pPr>
                      <w:ind w:left="708"/>
                      <w:jc w:val="right"/>
                    </w:pPr>
                  </w:p>
                </w:txbxContent>
              </v:textbox>
              <w10:wrap anchorx="page"/>
            </v:rect>
          </w:pict>
        </mc:Fallback>
      </mc:AlternateContent>
    </w:r>
    <w:r w:rsidR="008115B4" w:rsidRPr="005D303B">
      <w:rPr>
        <w:b/>
        <w:noProof/>
        <w:color w:val="1F4E79" w:themeColor="accent1" w:themeShade="80"/>
        <w:lang w:eastAsia="pt-BR"/>
      </w:rPr>
      <mc:AlternateContent>
        <mc:Choice Requires="wps">
          <w:drawing>
            <wp:anchor distT="0" distB="0" distL="114300" distR="114300" simplePos="0" relativeHeight="251666944" behindDoc="0" locked="0" layoutInCell="1" allowOverlap="1" wp14:anchorId="4660A8F3" wp14:editId="53D61584">
              <wp:simplePos x="0" y="0"/>
              <wp:positionH relativeFrom="page">
                <wp:posOffset>7620</wp:posOffset>
              </wp:positionH>
              <wp:positionV relativeFrom="paragraph">
                <wp:posOffset>-74295</wp:posOffset>
              </wp:positionV>
              <wp:extent cx="10759440" cy="52705"/>
              <wp:effectExtent l="0" t="0" r="3810" b="4445"/>
              <wp:wrapNone/>
              <wp:docPr id="57"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FF2092F" id="Retângulo 14" o:spid="_x0000_s1026" style="position:absolute;margin-left:.6pt;margin-top:-5.85pt;width:847.2pt;height:4.15pt;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mc:Fallback>
      </mc:AlternateContent>
    </w:r>
    <w:r w:rsidR="008115B4">
      <w:rPr>
        <w:noProof/>
        <w:sz w:val="20"/>
        <w:szCs w:val="20"/>
        <w:lang w:eastAsia="pt-BR"/>
      </w:rPr>
      <w:drawing>
        <wp:anchor distT="0" distB="0" distL="114300" distR="114300" simplePos="0" relativeHeight="251665920" behindDoc="0" locked="0" layoutInCell="1" allowOverlap="1" wp14:anchorId="3F96A81E" wp14:editId="57043887">
          <wp:simplePos x="0" y="0"/>
          <wp:positionH relativeFrom="margin">
            <wp:posOffset>-415290</wp:posOffset>
          </wp:positionH>
          <wp:positionV relativeFrom="page">
            <wp:posOffset>114300</wp:posOffset>
          </wp:positionV>
          <wp:extent cx="967740" cy="198755"/>
          <wp:effectExtent l="0" t="0" r="381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008115B4">
      <w:tab/>
    </w:r>
  </w:p>
  <w:p w14:paraId="4A3CD472" w14:textId="77777777" w:rsidR="00B2799E" w:rsidRDefault="00B279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495E" w14:textId="77777777" w:rsidR="009C4F47" w:rsidRPr="00147488" w:rsidRDefault="00F010DE" w:rsidP="00147488">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650560" behindDoc="0" locked="0" layoutInCell="0" allowOverlap="1" wp14:anchorId="110EE1CF" wp14:editId="57F96922">
              <wp:simplePos x="0" y="0"/>
              <wp:positionH relativeFrom="page">
                <wp:align>right</wp:align>
              </wp:positionH>
              <wp:positionV relativeFrom="page">
                <wp:posOffset>9728</wp:posOffset>
              </wp:positionV>
              <wp:extent cx="4441730" cy="607978"/>
              <wp:effectExtent l="0" t="0" r="0" b="1905"/>
              <wp:wrapNone/>
              <wp:docPr id="51" name="MSIPCMd4874885a903e562d240bca3" descr="{&quot;HashCode&quot;:-14872923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4441730" cy="607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9FDF2" w14:textId="77777777" w:rsidR="009C4F47" w:rsidRPr="009C4F47" w:rsidRDefault="00571767" w:rsidP="009C4F47">
                          <w:pPr>
                            <w:spacing w:after="0"/>
                            <w:jc w:val="right"/>
                            <w:rPr>
                              <w:rFonts w:ascii="Calibri" w:hAnsi="Calibri" w:cs="Calibri"/>
                              <w:color w:val="FFFFFF" w:themeColor="background1"/>
                            </w:rPr>
                          </w:pPr>
                        </w:p>
                        <w:p w14:paraId="72801BA8" w14:textId="77777777" w:rsidR="009C4F47" w:rsidRPr="009C4F47" w:rsidRDefault="00F010DE"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37B1E7DB" w14:textId="77777777" w:rsidR="009C4F47" w:rsidRPr="009C4F47" w:rsidRDefault="00F010DE" w:rsidP="009C4F47">
                          <w:pPr>
                            <w:spacing w:after="0"/>
                            <w:jc w:val="right"/>
                            <w:rPr>
                              <w:rFonts w:cs="Arial"/>
                              <w:color w:val="FFFFFF" w:themeColor="background1"/>
                            </w:rPr>
                          </w:pPr>
                          <w:r w:rsidRPr="009C4F47">
                            <w:rPr>
                              <w:rFonts w:cs="Arial"/>
                              <w:color w:val="FFFFFF" w:themeColor="background1"/>
                            </w:rPr>
                            <w:t>BB Seguridade Participações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EE1CF" id="_x0000_t202" coordsize="21600,21600" o:spt="202" path="m,l,21600r21600,l21600,xe">
              <v:stroke joinstyle="miter"/>
              <v:path gradientshapeok="t" o:connecttype="rect"/>
            </v:shapetype>
            <v:shape id="_x0000_s1041" type="#_x0000_t202" alt="{&quot;HashCode&quot;:-1487292391,&quot;Height&quot;:841.0,&quot;Width&quot;:595.0,&quot;Placement&quot;:&quot;Header&quot;,&quot;Index&quot;:&quot;FirstPage&quot;,&quot;Section&quot;:1,&quot;Top&quot;:0.0,&quot;Left&quot;:0.0}" style="position:absolute;margin-left:298.55pt;margin-top:.75pt;width:349.75pt;height:47.85pt;z-index:2516505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" o:allowincell="f" filled="f" stroked="f" strokeweight=".5pt">
              <v:textbox inset=",0,20pt,0">
                <w:txbxContent>
                  <w:p w14:paraId="76A9FDF2" w14:textId="77777777" w:rsidR="009C4F47" w:rsidRPr="009C4F47" w:rsidRDefault="00571767" w:rsidP="009C4F47">
                    <w:pPr>
                      <w:spacing w:after="0"/>
                      <w:jc w:val="right"/>
                      <w:rPr>
                        <w:rFonts w:ascii="Calibri" w:hAnsi="Calibri" w:cs="Calibri"/>
                        <w:color w:val="FFFFFF" w:themeColor="background1"/>
                      </w:rPr>
                    </w:pPr>
                  </w:p>
                  <w:p w14:paraId="72801BA8" w14:textId="77777777" w:rsidR="009C4F47" w:rsidRPr="009C4F47" w:rsidRDefault="00F010DE"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37B1E7DB" w14:textId="77777777" w:rsidR="009C4F47" w:rsidRPr="009C4F47" w:rsidRDefault="00F010DE" w:rsidP="009C4F47">
                    <w:pPr>
                      <w:spacing w:after="0"/>
                      <w:jc w:val="right"/>
                      <w:rPr>
                        <w:rFonts w:cs="Arial"/>
                        <w:color w:val="FFFFFF" w:themeColor="background1"/>
                      </w:rPr>
                    </w:pPr>
                    <w:r w:rsidRPr="009C4F47">
                      <w:rPr>
                        <w:rFonts w:cs="Arial"/>
                        <w:color w:val="FFFFFF" w:themeColor="background1"/>
                      </w:rPr>
                      <w:t>BB Seguridade Participações S.A.</w:t>
                    </w:r>
                  </w:p>
                </w:txbxContent>
              </v:textbox>
              <w10:wrap anchorx="page" anchory="page"/>
            </v:shape>
          </w:pict>
        </mc:Fallback>
      </mc:AlternateContent>
    </w:r>
    <w:r w:rsidRPr="005D303B">
      <w:rPr>
        <w:rFonts w:cs="Arial"/>
        <w:b/>
        <w:noProof/>
        <w:color w:val="1F4E79" w:themeColor="accent1" w:themeShade="80"/>
        <w:szCs w:val="18"/>
        <w:lang w:eastAsia="pt-BR"/>
      </w:rPr>
      <w:drawing>
        <wp:anchor distT="0" distB="0" distL="114300" distR="114300" simplePos="0" relativeHeight="251648512" behindDoc="0" locked="0" layoutInCell="1" allowOverlap="1" wp14:anchorId="3A9C778F" wp14:editId="1643323E">
          <wp:simplePos x="0" y="0"/>
          <wp:positionH relativeFrom="margin">
            <wp:posOffset>-447675</wp:posOffset>
          </wp:positionH>
          <wp:positionV relativeFrom="paragraph">
            <wp:posOffset>-353060</wp:posOffset>
          </wp:positionV>
          <wp:extent cx="1176020" cy="259080"/>
          <wp:effectExtent l="0" t="0" r="5080" b="7620"/>
          <wp:wrapNone/>
          <wp:docPr id="3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7488" behindDoc="1" locked="0" layoutInCell="1" allowOverlap="1" wp14:anchorId="5DAF95A3" wp14:editId="2AEB35CA">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52" name="Retângulo 52"/>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274C" id="Retângulo 52" o:spid="_x0000_s1026" style="position:absolute;margin-left:0;margin-top:-42.75pt;width:594.75pt;height:51.8pt;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49536" behindDoc="0" locked="0" layoutInCell="1" allowOverlap="1" wp14:anchorId="5B2EB0B0" wp14:editId="1C7B41E1">
              <wp:simplePos x="0" y="0"/>
              <wp:positionH relativeFrom="page">
                <wp:posOffset>0</wp:posOffset>
              </wp:positionH>
              <wp:positionV relativeFrom="paragraph">
                <wp:posOffset>77252</wp:posOffset>
              </wp:positionV>
              <wp:extent cx="9144000" cy="53340"/>
              <wp:effectExtent l="0" t="0" r="0" b="3810"/>
              <wp:wrapNone/>
              <wp:docPr id="53"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6A27BBA" id="Retângulo 14" o:spid="_x0000_s1026" style="position:absolute;margin-left:0;margin-top:6.1pt;width:10in;height:4.2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p w14:paraId="5B47E516" w14:textId="77777777" w:rsidR="00B2799E" w:rsidRDefault="00B2799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EE0" w14:textId="358B2337" w:rsidR="00DC5865" w:rsidRDefault="00DC5865" w:rsidP="00EB5F44">
    <w:pPr>
      <w:tabs>
        <w:tab w:val="right" w:pos="9638"/>
      </w:tabs>
      <w:rPr>
        <w:rFonts w:ascii="Verdana" w:hAnsi="Verdana"/>
        <w:sz w:val="20"/>
        <w:szCs w:val="20"/>
      </w:rPr>
    </w:pPr>
    <w:r>
      <w:rPr>
        <w:rFonts w:ascii="Calibri" w:hAnsi="Calibri"/>
        <w:noProof/>
        <w:sz w:val="22"/>
        <w:lang w:eastAsia="pt-BR"/>
      </w:rPr>
      <mc:AlternateContent>
        <mc:Choice Requires="wpg">
          <w:drawing>
            <wp:anchor distT="0" distB="0" distL="114300" distR="114300" simplePos="0" relativeHeight="251673088" behindDoc="0" locked="0" layoutInCell="1" allowOverlap="1" wp14:anchorId="6A4BD01C" wp14:editId="3F9B10C2">
              <wp:simplePos x="0" y="0"/>
              <wp:positionH relativeFrom="page">
                <wp:posOffset>-360045</wp:posOffset>
              </wp:positionH>
              <wp:positionV relativeFrom="page">
                <wp:posOffset>5342890</wp:posOffset>
              </wp:positionV>
              <wp:extent cx="8279765" cy="4848225"/>
              <wp:effectExtent l="0" t="2809240" r="0" b="635"/>
              <wp:wrapNone/>
              <wp:docPr id="235" name="Agrupar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236"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0177" w14:textId="77777777" w:rsidR="00DC5865" w:rsidRPr="00E365CA" w:rsidRDefault="00DC5865" w:rsidP="00015C08">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09FE0BEC" w14:textId="77777777" w:rsidR="00DC5865" w:rsidRPr="00EB5F44" w:rsidRDefault="00DC5865" w:rsidP="00015C08">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721C2078" w14:textId="77777777" w:rsidR="00DC5865" w:rsidRPr="00EB5F44" w:rsidRDefault="00DC5865" w:rsidP="00B10A39">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wps:txbx>
                      <wps:bodyPr rot="0" vert="horz" wrap="square" lIns="0" tIns="0" rIns="0" bIns="0" anchor="t" anchorCtr="0" upright="1">
                        <a:noAutofit/>
                      </wps:bodyPr>
                    </wps:wsp>
                    <wps:wsp>
                      <wps:cNvPr id="237"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A6706" w14:textId="77777777" w:rsidR="00DC5865" w:rsidRDefault="00DC5865" w:rsidP="00DC5865">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A4BD01C" id="Agrupar 235" o:spid="_x0000_s1042" style="position:absolute;margin-left:-28.35pt;margin-top:420.7pt;width:651.95pt;height:381.75pt;z-index:251673088;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">
              <v:shapetype id="_x0000_t202" coordsize="21600,21600" o:spt="202" path="m,l,21600r21600,l21600,xe">
                <v:stroke joinstyle="miter"/>
                <v:path gradientshapeok="t" o:connecttype="rect"/>
              </v:shapetype>
              <v:shape id="Text Box 17" o:spid="_x0000_s1043"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C0D0177" w14:textId="77777777" w:rsidR="00DC5865" w:rsidRPr="00E365CA" w:rsidRDefault="00DC5865" w:rsidP="00015C08">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09FE0BEC" w14:textId="77777777" w:rsidR="00DC5865" w:rsidRPr="00EB5F44" w:rsidRDefault="00DC5865" w:rsidP="00015C08">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721C2078" w14:textId="77777777" w:rsidR="00DC5865" w:rsidRPr="00EB5F44" w:rsidRDefault="00DC5865" w:rsidP="00B10A39">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v:textbox>
              </v:shape>
              <v:shape id="PowerPlusWaterMarkObject16961238" o:spid="_x0000_s1044"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" filled="f" stroked="f">
                <v:stroke joinstyle="round"/>
                <o:lock v:ext="edit" shapetype="t"/>
                <v:textbox style="mso-fit-shape-to-text:t">
                  <w:txbxContent>
                    <w:p w14:paraId="4EFA6706" w14:textId="77777777" w:rsidR="00DC5865" w:rsidRDefault="00DC5865" w:rsidP="00DC5865">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37095EE6" w14:textId="5F84F46F" w:rsidR="00DC5865" w:rsidRPr="00526CAE" w:rsidRDefault="00DC5865" w:rsidP="00137811">
    <w:pPr>
      <w:rPr>
        <w:sz w:val="2"/>
        <w:szCs w:val="2"/>
      </w:rPr>
    </w:pPr>
    <w:r>
      <w:rPr>
        <w:noProof/>
        <w:sz w:val="2"/>
        <w:szCs w:val="2"/>
      </w:rPr>
      <w:drawing>
        <wp:anchor distT="0" distB="0" distL="114300" distR="114300" simplePos="0" relativeHeight="251674112" behindDoc="0" locked="1" layoutInCell="1" allowOverlap="1" wp14:anchorId="797BA898" wp14:editId="3ADEA8E9">
          <wp:simplePos x="0" y="0"/>
          <wp:positionH relativeFrom="page">
            <wp:posOffset>720090</wp:posOffset>
          </wp:positionH>
          <wp:positionV relativeFrom="page">
            <wp:posOffset>359410</wp:posOffset>
          </wp:positionV>
          <wp:extent cx="1151890" cy="215900"/>
          <wp:effectExtent l="0" t="0" r="0" b="0"/>
          <wp:wrapNone/>
          <wp:docPr id="234" name="Imagem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2A22" w14:textId="77777777" w:rsidR="00DC5865" w:rsidRDefault="00DC5865" w:rsidP="00EB5F44">
    <w:pPr>
      <w:tabs>
        <w:tab w:val="right" w:pos="9638"/>
      </w:tabs>
      <w:rPr>
        <w:rFonts w:ascii="Verdana" w:hAnsi="Verdana"/>
        <w:sz w:val="20"/>
        <w:szCs w:val="20"/>
      </w:rPr>
    </w:pPr>
  </w:p>
  <w:p w14:paraId="041D3CE3" w14:textId="7D950303" w:rsidR="00DC5865" w:rsidRPr="00526CAE" w:rsidRDefault="00DC5865" w:rsidP="00137811">
    <w:pPr>
      <w:rPr>
        <w:sz w:val="2"/>
        <w:szCs w:val="2"/>
      </w:rPr>
    </w:pPr>
    <w:r>
      <w:rPr>
        <w:noProof/>
        <w:sz w:val="2"/>
        <w:szCs w:val="2"/>
      </w:rPr>
      <w:drawing>
        <wp:anchor distT="0" distB="0" distL="114300" distR="114300" simplePos="0" relativeHeight="251676160" behindDoc="0" locked="1" layoutInCell="1" allowOverlap="1" wp14:anchorId="17FFDB0A" wp14:editId="0B02C299">
          <wp:simplePos x="0" y="0"/>
          <wp:positionH relativeFrom="page">
            <wp:posOffset>720090</wp:posOffset>
          </wp:positionH>
          <wp:positionV relativeFrom="page">
            <wp:posOffset>359410</wp:posOffset>
          </wp:positionV>
          <wp:extent cx="1151890" cy="215900"/>
          <wp:effectExtent l="0" t="0" r="0" b="0"/>
          <wp:wrapNone/>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BD0B" w14:textId="4307759F" w:rsidR="00DC5865" w:rsidRPr="00DC5865" w:rsidRDefault="00DC5865" w:rsidP="00DC5865">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F7B9" w14:textId="77777777" w:rsidR="00DC5865" w:rsidRDefault="00DC5865" w:rsidP="00EB5F44">
    <w:pPr>
      <w:tabs>
        <w:tab w:val="right" w:pos="9638"/>
      </w:tabs>
      <w:rPr>
        <w:rFonts w:ascii="Verdana" w:hAnsi="Verdana"/>
        <w:sz w:val="20"/>
        <w:szCs w:val="20"/>
      </w:rPr>
    </w:pPr>
  </w:p>
  <w:p w14:paraId="37345CF5" w14:textId="4B3D36A6" w:rsidR="00DC5865" w:rsidRPr="00526CAE" w:rsidRDefault="00DC5865" w:rsidP="00137811">
    <w:pPr>
      <w:rPr>
        <w:sz w:val="2"/>
        <w:szCs w:val="2"/>
      </w:rPr>
    </w:pPr>
    <w:r>
      <w:rPr>
        <w:noProof/>
        <w:sz w:val="2"/>
        <w:szCs w:val="2"/>
      </w:rPr>
      <w:drawing>
        <wp:anchor distT="0" distB="0" distL="114300" distR="114300" simplePos="0" relativeHeight="251683328" behindDoc="0" locked="1" layoutInCell="1" allowOverlap="1" wp14:anchorId="4D82C003" wp14:editId="03F013CB">
          <wp:simplePos x="0" y="0"/>
          <wp:positionH relativeFrom="page">
            <wp:posOffset>720090</wp:posOffset>
          </wp:positionH>
          <wp:positionV relativeFrom="page">
            <wp:posOffset>359410</wp:posOffset>
          </wp:positionV>
          <wp:extent cx="1151890" cy="215900"/>
          <wp:effectExtent l="0" t="0" r="0" b="0"/>
          <wp:wrapNone/>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DC5865" w:rsidRPr="00924766" w14:paraId="1E97E226" w14:textId="77777777" w:rsidTr="000D0B13">
      <w:tc>
        <w:tcPr>
          <w:tcW w:w="9407" w:type="dxa"/>
        </w:tcPr>
        <w:p w14:paraId="4BF64500" w14:textId="77777777" w:rsidR="00DC5865" w:rsidRPr="006B2263" w:rsidRDefault="00DC5865" w:rsidP="000D0B13">
          <w:pPr>
            <w:pStyle w:val="Rodap"/>
            <w:spacing w:line="130" w:lineRule="exact"/>
            <w:ind w:right="-57"/>
            <w:rPr>
              <w:rFonts w:cstheme="minorHAnsi"/>
              <w:sz w:val="12"/>
              <w:szCs w:val="12"/>
              <w:lang w:val="pt-BR"/>
            </w:rPr>
          </w:pPr>
          <w:r w:rsidRPr="006B2263">
            <w:rPr>
              <w:rFonts w:cstheme="minorHAnsi"/>
              <w:sz w:val="12"/>
              <w:szCs w:val="12"/>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14:paraId="41C1E85E" w14:textId="77777777" w:rsidR="00DC5865" w:rsidRPr="006B2263" w:rsidRDefault="00DC5865" w:rsidP="000D0B13">
          <w:pPr>
            <w:pStyle w:val="Rodap"/>
            <w:spacing w:line="130" w:lineRule="exact"/>
            <w:ind w:right="-57"/>
            <w:rPr>
              <w:rFonts w:cstheme="minorHAnsi"/>
              <w:sz w:val="12"/>
              <w:szCs w:val="12"/>
              <w:lang w:val="pt-BR"/>
            </w:rPr>
          </w:pPr>
        </w:p>
        <w:p w14:paraId="46FC300C" w14:textId="77777777" w:rsidR="00DC5865" w:rsidRPr="006B2263" w:rsidRDefault="00DC5865" w:rsidP="000D0B13">
          <w:pPr>
            <w:pStyle w:val="Rodap"/>
            <w:spacing w:line="130" w:lineRule="exact"/>
            <w:ind w:right="-57"/>
            <w:rPr>
              <w:rFonts w:cstheme="minorHAnsi"/>
              <w:sz w:val="12"/>
              <w:szCs w:val="12"/>
              <w:lang w:val="pt-BR"/>
            </w:rPr>
          </w:pPr>
          <w:r w:rsidRPr="006B2263">
            <w:rPr>
              <w:rFonts w:cstheme="minorHAnsi"/>
              <w:sz w:val="12"/>
              <w:szCs w:val="12"/>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53CC044A" w14:textId="77777777" w:rsidR="00DC5865" w:rsidRPr="006B2263" w:rsidRDefault="00DC5865" w:rsidP="000D0B13">
          <w:pPr>
            <w:pStyle w:val="Rodap"/>
            <w:spacing w:line="130" w:lineRule="exact"/>
            <w:ind w:right="-57"/>
            <w:rPr>
              <w:rFonts w:cstheme="minorHAnsi"/>
              <w:sz w:val="12"/>
              <w:szCs w:val="12"/>
              <w:lang w:val="pt-BR"/>
            </w:rPr>
          </w:pPr>
        </w:p>
        <w:p w14:paraId="54CD731B" w14:textId="77777777" w:rsidR="00DC5865" w:rsidRPr="006B2263" w:rsidRDefault="00DC5865" w:rsidP="000D0B13">
          <w:pPr>
            <w:rPr>
              <w:rFonts w:cstheme="minorHAnsi"/>
              <w:sz w:val="12"/>
              <w:szCs w:val="12"/>
              <w:lang w:val="pt-BR"/>
            </w:rPr>
          </w:pPr>
          <w:r w:rsidRPr="006B2263">
            <w:rPr>
              <w:rFonts w:cstheme="minorHAnsi"/>
              <w:sz w:val="12"/>
              <w:szCs w:val="12"/>
              <w:lang w:val="pt-BR"/>
            </w:rPr>
            <w:t>© 202</w:t>
          </w:r>
          <w:r>
            <w:rPr>
              <w:rFonts w:cstheme="minorHAnsi"/>
              <w:sz w:val="12"/>
              <w:szCs w:val="12"/>
              <w:lang w:val="pt-BR"/>
            </w:rPr>
            <w:t>2</w:t>
          </w:r>
          <w:r w:rsidRPr="006B2263">
            <w:rPr>
              <w:rFonts w:cstheme="minorHAnsi"/>
              <w:sz w:val="12"/>
              <w:szCs w:val="12"/>
              <w:lang w:val="pt-BR"/>
            </w:rPr>
            <w:t>. Para mais informações, contate a Deloitte Touche Tohmatsu Limited.</w:t>
          </w:r>
        </w:p>
        <w:p w14:paraId="68C5C60C" w14:textId="77777777" w:rsidR="00DC5865" w:rsidRPr="006B2263" w:rsidRDefault="00DC5865" w:rsidP="000D0B13">
          <w:pPr>
            <w:pStyle w:val="Rodap"/>
            <w:spacing w:line="130" w:lineRule="exact"/>
            <w:ind w:right="-57"/>
            <w:rPr>
              <w:rFonts w:eastAsia="Verdana" w:cstheme="minorHAnsi"/>
              <w:sz w:val="12"/>
              <w:szCs w:val="12"/>
              <w:lang w:val="pt-BR"/>
            </w:rPr>
          </w:pPr>
        </w:p>
      </w:tc>
      <w:tc>
        <w:tcPr>
          <w:tcW w:w="232" w:type="dxa"/>
          <w:vAlign w:val="bottom"/>
        </w:tcPr>
        <w:p w14:paraId="064BA224" w14:textId="77777777" w:rsidR="00DC5865" w:rsidRPr="000D0B13" w:rsidRDefault="00DC5865" w:rsidP="000D0B13">
          <w:pPr>
            <w:tabs>
              <w:tab w:val="right" w:pos="7371"/>
            </w:tabs>
            <w:spacing w:line="170" w:lineRule="exact"/>
            <w:rPr>
              <w:rFonts w:ascii="Verdana" w:eastAsia="Verdana" w:hAnsi="Verdana" w:cs="Times New Roman"/>
              <w:sz w:val="11"/>
              <w:szCs w:val="11"/>
              <w:lang w:val="pt-BR"/>
            </w:rPr>
          </w:pPr>
        </w:p>
      </w:tc>
    </w:tr>
  </w:tbl>
  <w:p w14:paraId="43CB7F95" w14:textId="77777777" w:rsidR="00DC5865" w:rsidRPr="00091F78" w:rsidRDefault="00DC5865" w:rsidP="00E365CA">
    <w:pPr>
      <w:rPr>
        <w:rFonts w:cs="Calibri"/>
      </w:rPr>
    </w:pPr>
    <w:r w:rsidRPr="00091F78">
      <w:rPr>
        <w:rFonts w:cs="Calibri"/>
        <w:noProof/>
        <w:sz w:val="11"/>
        <w:szCs w:val="11"/>
      </w:rPr>
      <mc:AlternateContent>
        <mc:Choice Requires="wpg">
          <w:drawing>
            <wp:anchor distT="0" distB="0" distL="114300" distR="114300" simplePos="0" relativeHeight="251677184" behindDoc="0" locked="0" layoutInCell="1" allowOverlap="1" wp14:anchorId="41336DD3" wp14:editId="2C340CAB">
              <wp:simplePos x="0" y="0"/>
              <wp:positionH relativeFrom="page">
                <wp:posOffset>723900</wp:posOffset>
              </wp:positionH>
              <wp:positionV relativeFrom="page">
                <wp:posOffset>361950</wp:posOffset>
              </wp:positionV>
              <wp:extent cx="6472619" cy="1314450"/>
              <wp:effectExtent l="0" t="0" r="4445" b="0"/>
              <wp:wrapNone/>
              <wp:docPr id="228"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229"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67D3A"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Deloitte Touche Tohmatsu</w:t>
                            </w:r>
                          </w:p>
                          <w:p w14:paraId="45CEE79F"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Setor Comercial Sul, Quadra 9,</w:t>
                            </w:r>
                            <w:r w:rsidRPr="006B2263">
                              <w:rPr>
                                <w:rFonts w:asciiTheme="minorHAnsi" w:eastAsia="Verdana" w:hAnsiTheme="minorHAnsi" w:cstheme="minorHAnsi"/>
                                <w:sz w:val="14"/>
                              </w:rPr>
                              <w:br/>
                              <w:t>Torre A, Ed. Parque Cidade Corporate, Sala 1104</w:t>
                            </w:r>
                            <w:r w:rsidRPr="006B2263">
                              <w:rPr>
                                <w:rFonts w:asciiTheme="minorHAnsi" w:eastAsia="Verdana" w:hAnsiTheme="minorHAnsi" w:cstheme="minorHAnsi"/>
                                <w:sz w:val="14"/>
                              </w:rPr>
                              <w:br/>
                              <w:t>70308-200 Brasília - DF</w:t>
                            </w:r>
                          </w:p>
                          <w:p w14:paraId="2D989887"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Brasil</w:t>
                            </w:r>
                          </w:p>
                          <w:p w14:paraId="52203DBF" w14:textId="77777777" w:rsidR="00DC5865" w:rsidRPr="006B2263" w:rsidRDefault="00DC5865" w:rsidP="00BF2981">
                            <w:pPr>
                              <w:spacing w:after="0" w:line="170" w:lineRule="atLeast"/>
                              <w:rPr>
                                <w:rFonts w:asciiTheme="minorHAnsi" w:eastAsia="Verdana" w:hAnsiTheme="minorHAnsi" w:cstheme="minorHAnsi"/>
                                <w:sz w:val="14"/>
                              </w:rPr>
                            </w:pPr>
                          </w:p>
                          <w:p w14:paraId="39EDA5E6"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Tel.: + 55 (61) 3224-3924</w:t>
                            </w:r>
                          </w:p>
                          <w:p w14:paraId="6D023667"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Fax: + 55 (61) 3226-6087</w:t>
                            </w:r>
                          </w:p>
                          <w:p w14:paraId="08EE030F"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www.deloitte.com.br</w:t>
                            </w:r>
                          </w:p>
                          <w:p w14:paraId="2DF810D2" w14:textId="77777777" w:rsidR="00DC5865" w:rsidRPr="006B2263" w:rsidRDefault="00DC5865" w:rsidP="004E50AD">
                            <w:pPr>
                              <w:spacing w:after="0" w:line="170" w:lineRule="atLeast"/>
                              <w:suppressOverlap/>
                              <w:rPr>
                                <w:rFonts w:asciiTheme="minorHAnsi" w:eastAsia="Verdana" w:hAnsiTheme="minorHAnsi" w:cstheme="minorHAns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0"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336DD3" id="Group 2" o:spid="_x0000_s1045" style="position:absolute;margin-left:57pt;margin-top:28.5pt;width:509.65pt;height:103.5pt;z-index:251677184;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">
              <v:shapetype id="_x0000_t202" coordsize="21600,21600" o:spt="202" path="m,l,21600r21600,l21600,xe">
                <v:stroke joinstyle="miter"/>
                <v:path gradientshapeok="t" o:connecttype="rect"/>
              </v:shapetype>
              <v:shape id="Text Box 3" o:spid="_x0000_s104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" filled="f" stroked="f" strokeweight=".5pt">
                <v:textbox inset="0,0,0,0">
                  <w:txbxContent>
                    <w:p w14:paraId="3C167D3A"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Deloitte Touche Tohmatsu</w:t>
                      </w:r>
                    </w:p>
                    <w:p w14:paraId="45CEE79F"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Setor Comercial Sul, Quadra 9,</w:t>
                      </w:r>
                      <w:r w:rsidRPr="006B2263">
                        <w:rPr>
                          <w:rFonts w:asciiTheme="minorHAnsi" w:eastAsia="Verdana" w:hAnsiTheme="minorHAnsi" w:cstheme="minorHAnsi"/>
                          <w:sz w:val="14"/>
                        </w:rPr>
                        <w:br/>
                        <w:t>Torre A, Ed. Parque Cidade Corporate, Sala 1104</w:t>
                      </w:r>
                      <w:r w:rsidRPr="006B2263">
                        <w:rPr>
                          <w:rFonts w:asciiTheme="minorHAnsi" w:eastAsia="Verdana" w:hAnsiTheme="minorHAnsi" w:cstheme="minorHAnsi"/>
                          <w:sz w:val="14"/>
                        </w:rPr>
                        <w:br/>
                        <w:t>70308-200 Brasília - DF</w:t>
                      </w:r>
                    </w:p>
                    <w:p w14:paraId="2D989887"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Brasil</w:t>
                      </w:r>
                    </w:p>
                    <w:p w14:paraId="52203DBF" w14:textId="77777777" w:rsidR="00DC5865" w:rsidRPr="006B2263" w:rsidRDefault="00DC5865" w:rsidP="00BF2981">
                      <w:pPr>
                        <w:spacing w:after="0" w:line="170" w:lineRule="atLeast"/>
                        <w:rPr>
                          <w:rFonts w:asciiTheme="minorHAnsi" w:eastAsia="Verdana" w:hAnsiTheme="minorHAnsi" w:cstheme="minorHAnsi"/>
                          <w:sz w:val="14"/>
                        </w:rPr>
                      </w:pPr>
                    </w:p>
                    <w:p w14:paraId="39EDA5E6"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Tel.: + 55 (61) 3224-3924</w:t>
                      </w:r>
                    </w:p>
                    <w:p w14:paraId="6D023667"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Fax: + 55 (61) 3226-6087</w:t>
                      </w:r>
                    </w:p>
                    <w:p w14:paraId="08EE030F" w14:textId="77777777" w:rsidR="00DC5865" w:rsidRPr="006B2263" w:rsidRDefault="00DC5865" w:rsidP="00BF2981">
                      <w:pPr>
                        <w:spacing w:after="0" w:line="170" w:lineRule="atLeast"/>
                        <w:rPr>
                          <w:rFonts w:asciiTheme="minorHAnsi" w:eastAsia="Verdana" w:hAnsiTheme="minorHAnsi" w:cstheme="minorHAnsi"/>
                          <w:sz w:val="14"/>
                        </w:rPr>
                      </w:pPr>
                      <w:r w:rsidRPr="006B2263">
                        <w:rPr>
                          <w:rFonts w:asciiTheme="minorHAnsi" w:eastAsia="Verdana" w:hAnsiTheme="minorHAnsi" w:cstheme="minorHAnsi"/>
                          <w:sz w:val="14"/>
                        </w:rPr>
                        <w:t>www.deloitte.com.br</w:t>
                      </w:r>
                    </w:p>
                    <w:p w14:paraId="2DF810D2" w14:textId="77777777" w:rsidR="00DC5865" w:rsidRPr="006B2263" w:rsidRDefault="00DC5865" w:rsidP="004E50AD">
                      <w:pPr>
                        <w:spacing w:after="0" w:line="170" w:lineRule="atLeast"/>
                        <w:suppressOverlap/>
                        <w:rPr>
                          <w:rFonts w:asciiTheme="minorHAnsi" w:eastAsia="Verdana" w:hAnsiTheme="minorHAnsi" w:cstheme="minorHAns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">
                <v:imagedata r:id="rId2" o:title=""/>
              </v:shape>
              <w10:wrap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340" w14:textId="77777777" w:rsidR="009C4F47" w:rsidRDefault="00E25C15">
    <w:pPr>
      <w:pStyle w:val="Cabealho"/>
    </w:pPr>
    <w:r>
      <w:rPr>
        <w:noProof/>
        <w:lang w:eastAsia="pt-BR"/>
      </w:rPr>
      <mc:AlternateContent>
        <mc:Choice Requires="wps">
          <w:drawing>
            <wp:anchor distT="0" distB="0" distL="114300" distR="114300" simplePos="0" relativeHeight="251635200" behindDoc="0" locked="0" layoutInCell="0" allowOverlap="1" wp14:anchorId="23276F5F" wp14:editId="63D6BF41">
              <wp:simplePos x="0" y="0"/>
              <wp:positionH relativeFrom="page">
                <wp:posOffset>0</wp:posOffset>
              </wp:positionH>
              <wp:positionV relativeFrom="page">
                <wp:posOffset>190500</wp:posOffset>
              </wp:positionV>
              <wp:extent cx="7560310" cy="266700"/>
              <wp:effectExtent l="0" t="0" r="0" b="0"/>
              <wp:wrapNone/>
              <wp:docPr id="15"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3F72E" w14:textId="77777777" w:rsidR="009C4F47" w:rsidRPr="00F10B26" w:rsidRDefault="00E25C15"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3276F5F" id="_x0000_t202" coordsize="21600,21600" o:spt="202" path="m,l,21600r21600,l21600,xe">
              <v:stroke joinstyle="miter"/>
              <v:path gradientshapeok="t" o:connecttype="rect"/>
            </v:shapetype>
            <v:shape id="_x0000_s1048" type="#_x0000_t202" alt="{&quot;HashCode&quot;:-1487292391,&quot;Height&quot;:841.0,&quot;Width&quot;:595.0,&quot;Placement&quot;:&quot;Header&quot;,&quot;Index&quot;:&quot;OddAndEven&quot;,&quot;Section&quot;:1,&quot;Top&quot;:0.0,&quot;Left&quot;:0.0}" style="position:absolute;margin-left:0;margin-top:15pt;width:595.3pt;height:21pt;z-index:251635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CxVIamHgIAAC0EAAAOAAAAAAAAAAAAAAAAAC4CAABkcnMvZTJvRG9jLnhtbFBLAQIt&#10;ABQABgAIAAAAIQA3pHo63AAAAAcBAAAPAAAAAAAAAAAAAAAAAHgEAABkcnMvZG93bnJldi54bWxQ&#10;SwUGAAAAAAQABADzAAAAgQUAAAAA&#10;" o:allowincell="f" filled="f" stroked="f" strokeweight=".5pt">
              <v:textbox inset=",0,20pt,0">
                <w:txbxContent>
                  <w:p w14:paraId="4CC3F72E" w14:textId="77777777" w:rsidR="009C4F47" w:rsidRPr="00F10B26" w:rsidRDefault="00E25C15"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p w14:paraId="3F466BF9" w14:textId="77777777" w:rsidR="00B2799E" w:rsidRDefault="00B2799E"/>
  <w:p w14:paraId="256B1ABC" w14:textId="77777777" w:rsidR="00B2799E" w:rsidRDefault="00B2799E"/>
  <w:p w14:paraId="715BDB17" w14:textId="77777777" w:rsidR="00B2799E" w:rsidRDefault="00B279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A767" w14:textId="51EB4D1F" w:rsidR="008540AD" w:rsidRDefault="008540AD" w:rsidP="006B2DA2">
    <w:pPr>
      <w:pStyle w:val="Cabealho"/>
      <w:tabs>
        <w:tab w:val="clear" w:pos="4252"/>
        <w:tab w:val="clear" w:pos="8504"/>
        <w:tab w:val="left" w:pos="3576"/>
      </w:tabs>
    </w:pPr>
    <w:r>
      <w:rPr>
        <w:noProof/>
        <w:lang w:eastAsia="pt-BR"/>
      </w:rPr>
      <mc:AlternateContent>
        <mc:Choice Requires="wps">
          <w:drawing>
            <wp:anchor distT="45720" distB="45720" distL="114300" distR="114300" simplePos="0" relativeHeight="251653632" behindDoc="0" locked="0" layoutInCell="1" allowOverlap="1" wp14:anchorId="7101F8E6" wp14:editId="74545FF2">
              <wp:simplePos x="0" y="0"/>
              <wp:positionH relativeFrom="column">
                <wp:posOffset>5017135</wp:posOffset>
              </wp:positionH>
              <wp:positionV relativeFrom="paragraph">
                <wp:posOffset>-494665</wp:posOffset>
              </wp:positionV>
              <wp:extent cx="5021580" cy="38100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76FDB4F8" w14:textId="77777777" w:rsidR="008540AD" w:rsidRPr="00E35ACF" w:rsidRDefault="008540AD"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7E1489B9" w14:textId="77777777" w:rsidR="008540AD" w:rsidRPr="00E35ACF" w:rsidRDefault="008540AD">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1F8E6" id="_x0000_t202" coordsize="21600,21600" o:spt="202" path="m,l,21600r21600,l21600,xe">
              <v:stroke joinstyle="miter"/>
              <v:path gradientshapeok="t" o:connecttype="rect"/>
            </v:shapetype>
            <v:shape id="Caixa de Texto 2" o:spid="_x0000_s1027" type="#_x0000_t202" style="position:absolute;margin-left:395.05pt;margin-top:-38.95pt;width:395.4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" filled="f" stroked="f">
              <v:textbox>
                <w:txbxContent>
                  <w:p w14:paraId="76FDB4F8" w14:textId="77777777" w:rsidR="008540AD" w:rsidRPr="00E35ACF" w:rsidRDefault="008540AD"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7E1489B9" w14:textId="77777777" w:rsidR="008540AD" w:rsidRPr="00E35ACF" w:rsidRDefault="008540AD">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632128" behindDoc="0" locked="0" layoutInCell="1" allowOverlap="1" wp14:anchorId="3DFDB3EA" wp14:editId="63F1BAAD">
              <wp:simplePos x="0" y="0"/>
              <wp:positionH relativeFrom="page">
                <wp:posOffset>7620</wp:posOffset>
              </wp:positionH>
              <wp:positionV relativeFrom="paragraph">
                <wp:posOffset>-723265</wp:posOffset>
              </wp:positionV>
              <wp:extent cx="10706100" cy="647700"/>
              <wp:effectExtent l="0" t="0" r="0" b="0"/>
              <wp:wrapNone/>
              <wp:docPr id="3" name="Retângulo 3"/>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60F8E708" w14:textId="77777777" w:rsidR="008540AD" w:rsidRDefault="008540AD" w:rsidP="007B58CB">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B3EA" id="Retângulo 3" o:spid="_x0000_s1028" style="position:absolute;margin-left:.6pt;margin-top:-56.95pt;width:843pt;height:5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W4pvzFsCAAC1BAAADgAAAAAAAAAAAAAAAAAuAgAAZHJzL2Uyb0RvYy54&#10;bWxQSwECLQAUAAYACAAAACEAlZ1+Bd8AAAALAQAADwAAAAAAAAAAAAAAAAC1BAAAZHJzL2Rvd25y&#10;ZXYueG1sUEsFBgAAAAAEAAQA8wAAAMEFAAAAAA==&#10;" fillcolor="#002d4b" stroked="f" strokeweight="1pt">
              <v:textbox>
                <w:txbxContent>
                  <w:p w14:paraId="60F8E708" w14:textId="77777777" w:rsidR="008540AD" w:rsidRDefault="008540AD" w:rsidP="007B58CB">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45440" behindDoc="0" locked="0" layoutInCell="1" allowOverlap="1" wp14:anchorId="206A4F55" wp14:editId="4B93711D">
              <wp:simplePos x="0" y="0"/>
              <wp:positionH relativeFrom="page">
                <wp:posOffset>7620</wp:posOffset>
              </wp:positionH>
              <wp:positionV relativeFrom="paragraph">
                <wp:posOffset>-74295</wp:posOffset>
              </wp:positionV>
              <wp:extent cx="10759440" cy="52705"/>
              <wp:effectExtent l="0" t="0" r="3810" b="4445"/>
              <wp:wrapNone/>
              <wp:docPr id="4"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A9C3EA3" id="Retângulo 14" o:spid="_x0000_s1026" style="position:absolute;margin-left:.6pt;margin-top:-5.85pt;width:847.2pt;height:4.15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mc:Fallback>
      </mc:AlternateContent>
    </w:r>
    <w:r>
      <w:rPr>
        <w:noProof/>
        <w:sz w:val="20"/>
        <w:szCs w:val="20"/>
        <w:lang w:eastAsia="pt-BR"/>
      </w:rPr>
      <w:drawing>
        <wp:anchor distT="0" distB="0" distL="114300" distR="114300" simplePos="0" relativeHeight="251633152" behindDoc="0" locked="0" layoutInCell="1" allowOverlap="1" wp14:anchorId="1C165C79" wp14:editId="72673F72">
          <wp:simplePos x="0" y="0"/>
          <wp:positionH relativeFrom="margin">
            <wp:posOffset>-415290</wp:posOffset>
          </wp:positionH>
          <wp:positionV relativeFrom="page">
            <wp:posOffset>114300</wp:posOffset>
          </wp:positionV>
          <wp:extent cx="967740" cy="198755"/>
          <wp:effectExtent l="0" t="0" r="381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8E1" w14:textId="77777777" w:rsidR="009C4F47" w:rsidRPr="00147488" w:rsidRDefault="00E25C15" w:rsidP="00147488">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667968" behindDoc="0" locked="0" layoutInCell="0" allowOverlap="1" wp14:anchorId="58CD3B8A" wp14:editId="4074173A">
              <wp:simplePos x="0" y="0"/>
              <wp:positionH relativeFrom="page">
                <wp:align>right</wp:align>
              </wp:positionH>
              <wp:positionV relativeFrom="page">
                <wp:posOffset>9728</wp:posOffset>
              </wp:positionV>
              <wp:extent cx="4441730" cy="607978"/>
              <wp:effectExtent l="0" t="0" r="0" b="1905"/>
              <wp:wrapNone/>
              <wp:docPr id="30" name="MSIPCMd4874885a903e562d240bca3" descr="{&quot;HashCode&quot;:-14872923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4441730" cy="607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E8A68" w14:textId="77777777" w:rsidR="009C4F47" w:rsidRPr="009C4F47" w:rsidRDefault="00571767" w:rsidP="009C4F47">
                          <w:pPr>
                            <w:spacing w:after="0"/>
                            <w:jc w:val="right"/>
                            <w:rPr>
                              <w:rFonts w:ascii="Calibri" w:hAnsi="Calibri" w:cs="Calibri"/>
                              <w:color w:val="FFFFFF" w:themeColor="background1"/>
                            </w:rPr>
                          </w:pPr>
                        </w:p>
                        <w:p w14:paraId="0E40A03C" w14:textId="77777777" w:rsidR="009C4F47" w:rsidRPr="009C4F47" w:rsidRDefault="00E25C15"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604FD937" w14:textId="77777777" w:rsidR="009C4F47" w:rsidRPr="009C4F47" w:rsidRDefault="00E25C15" w:rsidP="009C4F47">
                          <w:pPr>
                            <w:spacing w:after="0"/>
                            <w:jc w:val="right"/>
                            <w:rPr>
                              <w:rFonts w:cs="Arial"/>
                              <w:color w:val="FFFFFF" w:themeColor="background1"/>
                            </w:rPr>
                          </w:pPr>
                          <w:r w:rsidRPr="009C4F47">
                            <w:rPr>
                              <w:rFonts w:cs="Arial"/>
                              <w:color w:val="FFFFFF" w:themeColor="background1"/>
                            </w:rPr>
                            <w:t>BB Seguridade Participações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D3B8A" id="_x0000_t202" coordsize="21600,21600" o:spt="202" path="m,l,21600r21600,l21600,xe">
              <v:stroke joinstyle="miter"/>
              <v:path gradientshapeok="t" o:connecttype="rect"/>
            </v:shapetype>
            <v:shape id="_x0000_s1049" type="#_x0000_t202" alt="{&quot;HashCode&quot;:-1487292391,&quot;Height&quot;:841.0,&quot;Width&quot;:595.0,&quot;Placement&quot;:&quot;Header&quot;,&quot;Index&quot;:&quot;FirstPage&quot;,&quot;Section&quot;:1,&quot;Top&quot;:0.0,&quot;Left&quot;:0.0}" style="position:absolute;margin-left:298.55pt;margin-top:.75pt;width:349.75pt;height:47.85pt;z-index:2516679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" o:allowincell="f" filled="f" stroked="f" strokeweight=".5pt">
              <v:textbox inset=",0,20pt,0">
                <w:txbxContent>
                  <w:p w14:paraId="44EE8A68" w14:textId="77777777" w:rsidR="009C4F47" w:rsidRPr="009C4F47" w:rsidRDefault="00571767" w:rsidP="009C4F47">
                    <w:pPr>
                      <w:spacing w:after="0"/>
                      <w:jc w:val="right"/>
                      <w:rPr>
                        <w:rFonts w:ascii="Calibri" w:hAnsi="Calibri" w:cs="Calibri"/>
                        <w:color w:val="FFFFFF" w:themeColor="background1"/>
                      </w:rPr>
                    </w:pPr>
                  </w:p>
                  <w:p w14:paraId="0E40A03C" w14:textId="77777777" w:rsidR="009C4F47" w:rsidRPr="009C4F47" w:rsidRDefault="00E25C15"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604FD937" w14:textId="77777777" w:rsidR="009C4F47" w:rsidRPr="009C4F47" w:rsidRDefault="00E25C15" w:rsidP="009C4F47">
                    <w:pPr>
                      <w:spacing w:after="0"/>
                      <w:jc w:val="right"/>
                      <w:rPr>
                        <w:rFonts w:cs="Arial"/>
                        <w:color w:val="FFFFFF" w:themeColor="background1"/>
                      </w:rPr>
                    </w:pPr>
                    <w:r w:rsidRPr="009C4F47">
                      <w:rPr>
                        <w:rFonts w:cs="Arial"/>
                        <w:color w:val="FFFFFF" w:themeColor="background1"/>
                      </w:rPr>
                      <w:t>BB Seguridade Participações S.A.</w:t>
                    </w:r>
                  </w:p>
                </w:txbxContent>
              </v:textbox>
              <w10:wrap anchorx="page" anchory="page"/>
            </v:shape>
          </w:pict>
        </mc:Fallback>
      </mc:AlternateContent>
    </w:r>
    <w:r w:rsidRPr="005D303B">
      <w:rPr>
        <w:rFonts w:cs="Arial"/>
        <w:b/>
        <w:noProof/>
        <w:color w:val="1F4E79" w:themeColor="accent1" w:themeShade="80"/>
        <w:szCs w:val="18"/>
        <w:lang w:eastAsia="pt-BR"/>
      </w:rPr>
      <w:drawing>
        <wp:anchor distT="0" distB="0" distL="114300" distR="114300" simplePos="0" relativeHeight="251652608" behindDoc="0" locked="0" layoutInCell="1" allowOverlap="1" wp14:anchorId="332DBF5B" wp14:editId="40ABD427">
          <wp:simplePos x="0" y="0"/>
          <wp:positionH relativeFrom="margin">
            <wp:posOffset>-447675</wp:posOffset>
          </wp:positionH>
          <wp:positionV relativeFrom="paragraph">
            <wp:posOffset>-353060</wp:posOffset>
          </wp:positionV>
          <wp:extent cx="1176020" cy="259080"/>
          <wp:effectExtent l="0" t="0" r="5080" b="7620"/>
          <wp:wrapNone/>
          <wp:docPr id="239"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4416" behindDoc="1" locked="0" layoutInCell="1" allowOverlap="1" wp14:anchorId="545E77AE" wp14:editId="1AF6ABF8">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31" name="Retângulo 31"/>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6D9A" id="Retângulo 31" o:spid="_x0000_s1026" style="position:absolute;margin-left:0;margin-top:-42.75pt;width:594.75pt;height:51.8pt;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60800" behindDoc="0" locked="0" layoutInCell="1" allowOverlap="1" wp14:anchorId="04E5C6B5" wp14:editId="04300DBB">
              <wp:simplePos x="0" y="0"/>
              <wp:positionH relativeFrom="page">
                <wp:posOffset>0</wp:posOffset>
              </wp:positionH>
              <wp:positionV relativeFrom="paragraph">
                <wp:posOffset>77252</wp:posOffset>
              </wp:positionV>
              <wp:extent cx="9144000" cy="53340"/>
              <wp:effectExtent l="0" t="0" r="0" b="3810"/>
              <wp:wrapNone/>
              <wp:docPr id="33"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39EBCC2" id="Retângulo 14" o:spid="_x0000_s1026" style="position:absolute;margin-left:0;margin-top:6.1pt;width:10in;height:4.2pt;z-index:2516608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p w14:paraId="14363CED" w14:textId="77777777" w:rsidR="00B2799E" w:rsidRDefault="00B2799E"/>
  <w:p w14:paraId="0C7C42B9" w14:textId="77777777" w:rsidR="00B2799E" w:rsidRDefault="00B2799E"/>
  <w:p w14:paraId="306C4071" w14:textId="77777777" w:rsidR="00B2799E" w:rsidRDefault="00B2799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A274" w14:textId="77777777" w:rsidR="00FD5AF6" w:rsidRDefault="00FD5AF6" w:rsidP="006B2DA2">
    <w:pPr>
      <w:pStyle w:val="Cabealho"/>
      <w:tabs>
        <w:tab w:val="clear" w:pos="4252"/>
        <w:tab w:val="clear" w:pos="8504"/>
        <w:tab w:val="left" w:pos="3576"/>
      </w:tabs>
    </w:pPr>
    <w:r>
      <w:rPr>
        <w:noProof/>
        <w:lang w:eastAsia="pt-BR"/>
      </w:rPr>
      <mc:AlternateContent>
        <mc:Choice Requires="wps">
          <w:drawing>
            <wp:anchor distT="0" distB="0" distL="114300" distR="114300" simplePos="0" relativeHeight="251682304" behindDoc="0" locked="0" layoutInCell="0" allowOverlap="1" wp14:anchorId="1DF94397" wp14:editId="7CE45E77">
              <wp:simplePos x="0" y="0"/>
              <wp:positionH relativeFrom="page">
                <wp:align>right</wp:align>
              </wp:positionH>
              <wp:positionV relativeFrom="page">
                <wp:align>top</wp:align>
              </wp:positionV>
              <wp:extent cx="7772400" cy="463550"/>
              <wp:effectExtent l="0" t="0" r="0" b="12700"/>
              <wp:wrapNone/>
              <wp:docPr id="213" name="MSIPCMca55489db686c5eb9afb43f1" descr="{&quot;HashCode&quot;:1921194595,&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76CAF" w14:textId="77777777" w:rsidR="00FD5AF6" w:rsidRPr="00341F18" w:rsidRDefault="00FD5AF6" w:rsidP="00341F18">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DF94397" id="_x0000_t202" coordsize="21600,21600" o:spt="202" path="m,l,21600r21600,l21600,xe">
              <v:stroke joinstyle="miter"/>
              <v:path gradientshapeok="t" o:connecttype="rect"/>
            </v:shapetype>
            <v:shape id="_x0000_s1050" type="#_x0000_t202" alt="{&quot;HashCode&quot;:1921194595,&quot;Height&quot;:9999999.0,&quot;Width&quot;:9999999.0,&quot;Placement&quot;:&quot;Header&quot;,&quot;Index&quot;:&quot;Primary&quot;,&quot;Section&quot;:9,&quot;Top&quot;:0.0,&quot;Left&quot;:0.0}" style="position:absolute;margin-left:560.8pt;margin-top:0;width:612pt;height:36.5pt;z-index:2516823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OAOr/8cAgAALwQAAA4AAAAAAAAAAAAAAAAALgIAAGRycy9lMm9Eb2MueG1sUEsBAi0AFAAG&#10;AAgAAAAhAM++O6HaAAAABQEAAA8AAAAAAAAAAAAAAAAAdgQAAGRycy9kb3ducmV2LnhtbFBLBQYA&#10;AAAABAAEAPMAAAB9BQAAAAA=&#10;" o:allowincell="f" filled="f" stroked="f" strokeweight=".5pt">
              <v:textbox inset=",0,20pt,0">
                <w:txbxContent>
                  <w:p w14:paraId="73976CAF" w14:textId="77777777" w:rsidR="00FD5AF6" w:rsidRPr="00341F18" w:rsidRDefault="00FD5AF6" w:rsidP="00341F18">
                    <w:pPr>
                      <w:spacing w:after="0"/>
                      <w:jc w:val="right"/>
                      <w:rPr>
                        <w:rFonts w:ascii="Calibri" w:hAnsi="Calibri" w:cs="Calibri"/>
                        <w:color w:val="000000"/>
                        <w:sz w:val="20"/>
                      </w:rPr>
                    </w:pPr>
                  </w:p>
                </w:txbxContent>
              </v:textbox>
              <w10:wrap anchorx="page" anchory="page"/>
            </v:shape>
          </w:pict>
        </mc:Fallback>
      </mc:AlternateContent>
    </w:r>
    <w:r>
      <w:rPr>
        <w:noProof/>
        <w:lang w:eastAsia="pt-BR"/>
      </w:rPr>
      <mc:AlternateContent>
        <mc:Choice Requires="wps">
          <w:drawing>
            <wp:anchor distT="45720" distB="45720" distL="114300" distR="114300" simplePos="0" relativeHeight="251681280" behindDoc="0" locked="0" layoutInCell="1" allowOverlap="1" wp14:anchorId="41547065" wp14:editId="6008F8E2">
              <wp:simplePos x="0" y="0"/>
              <wp:positionH relativeFrom="column">
                <wp:posOffset>5017135</wp:posOffset>
              </wp:positionH>
              <wp:positionV relativeFrom="paragraph">
                <wp:posOffset>-494665</wp:posOffset>
              </wp:positionV>
              <wp:extent cx="5021580" cy="381000"/>
              <wp:effectExtent l="0" t="0" r="0" b="0"/>
              <wp:wrapSquare wrapText="bothSides"/>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6BC24223" w14:textId="77777777" w:rsidR="00FD5AF6" w:rsidRPr="00E35ACF" w:rsidRDefault="00FD5AF6"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16703459" w14:textId="77777777" w:rsidR="00FD5AF6" w:rsidRPr="00E35ACF" w:rsidRDefault="00FD5AF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47065" id="_x0000_s1051" type="#_x0000_t202" style="position:absolute;margin-left:395.05pt;margin-top:-38.95pt;width:395.4pt;height:30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" filled="f" stroked="f">
              <v:textbox>
                <w:txbxContent>
                  <w:p w14:paraId="6BC24223" w14:textId="77777777" w:rsidR="00FD5AF6" w:rsidRPr="00E35ACF" w:rsidRDefault="00FD5AF6"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16703459" w14:textId="77777777" w:rsidR="00FD5AF6" w:rsidRPr="00E35ACF" w:rsidRDefault="00FD5AF6">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678208" behindDoc="0" locked="0" layoutInCell="1" allowOverlap="1" wp14:anchorId="4FB517CC" wp14:editId="5340E778">
              <wp:simplePos x="0" y="0"/>
              <wp:positionH relativeFrom="page">
                <wp:posOffset>7620</wp:posOffset>
              </wp:positionH>
              <wp:positionV relativeFrom="paragraph">
                <wp:posOffset>-723265</wp:posOffset>
              </wp:positionV>
              <wp:extent cx="10706100" cy="647700"/>
              <wp:effectExtent l="0" t="0" r="0" b="0"/>
              <wp:wrapNone/>
              <wp:docPr id="215" name="Retângulo 215"/>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158A40CD" w14:textId="77777777" w:rsidR="00FD5AF6" w:rsidRDefault="00FD5AF6" w:rsidP="007B58CB">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517CC" id="Retângulo 215" o:spid="_x0000_s1052" style="position:absolute;margin-left:.6pt;margin-top:-56.95pt;width:843pt;height:5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" fillcolor="#002d4b" stroked="f" strokeweight="1pt">
              <v:textbox>
                <w:txbxContent>
                  <w:p w14:paraId="158A40CD" w14:textId="77777777" w:rsidR="00FD5AF6" w:rsidRDefault="00FD5AF6" w:rsidP="007B58CB">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80256" behindDoc="0" locked="0" layoutInCell="1" allowOverlap="1" wp14:anchorId="5FC33EC1" wp14:editId="7BFCB99C">
              <wp:simplePos x="0" y="0"/>
              <wp:positionH relativeFrom="page">
                <wp:posOffset>7620</wp:posOffset>
              </wp:positionH>
              <wp:positionV relativeFrom="paragraph">
                <wp:posOffset>-74295</wp:posOffset>
              </wp:positionV>
              <wp:extent cx="10759440" cy="52705"/>
              <wp:effectExtent l="0" t="0" r="3810" b="4445"/>
              <wp:wrapNone/>
              <wp:docPr id="216"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3709494" id="Retângulo 14" o:spid="_x0000_s1026" style="position:absolute;margin-left:.6pt;margin-top:-5.85pt;width:847.2pt;height:4.15pt;flip:y;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mc:Fallback>
      </mc:AlternateContent>
    </w:r>
    <w:r>
      <w:rPr>
        <w:noProof/>
        <w:sz w:val="20"/>
        <w:szCs w:val="20"/>
        <w:lang w:eastAsia="pt-BR"/>
      </w:rPr>
      <w:drawing>
        <wp:anchor distT="0" distB="0" distL="114300" distR="114300" simplePos="0" relativeHeight="251679232" behindDoc="0" locked="0" layoutInCell="1" allowOverlap="1" wp14:anchorId="444E9A12" wp14:editId="29699FC4">
          <wp:simplePos x="0" y="0"/>
          <wp:positionH relativeFrom="margin">
            <wp:posOffset>-415290</wp:posOffset>
          </wp:positionH>
          <wp:positionV relativeFrom="page">
            <wp:posOffset>114300</wp:posOffset>
          </wp:positionV>
          <wp:extent cx="967740" cy="198755"/>
          <wp:effectExtent l="0" t="0" r="3810" b="0"/>
          <wp:wrapNone/>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tab/>
    </w:r>
  </w:p>
  <w:p w14:paraId="34AAF802" w14:textId="77777777" w:rsidR="00FD5AF6" w:rsidRDefault="00FD5A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0191" w14:textId="77777777" w:rsidR="00375569" w:rsidRDefault="0037556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2DE0" w14:textId="77777777" w:rsidR="00375569" w:rsidRDefault="0037556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5AB" w14:textId="3F870C0F" w:rsidR="00F97A88" w:rsidRDefault="00F97A88" w:rsidP="006B2DA2">
    <w:pPr>
      <w:pStyle w:val="Cabealho"/>
      <w:tabs>
        <w:tab w:val="clear" w:pos="4252"/>
        <w:tab w:val="clear" w:pos="8504"/>
        <w:tab w:val="left" w:pos="3576"/>
      </w:tabs>
    </w:pPr>
    <w:r>
      <w:rPr>
        <w:noProof/>
        <w:lang w:eastAsia="pt-BR"/>
      </w:rPr>
      <mc:AlternateContent>
        <mc:Choice Requires="wps">
          <w:drawing>
            <wp:anchor distT="45720" distB="45720" distL="114300" distR="114300" simplePos="0" relativeHeight="251672064" behindDoc="0" locked="0" layoutInCell="1" allowOverlap="1" wp14:anchorId="36DE2B28" wp14:editId="7DF9F76A">
              <wp:simplePos x="0" y="0"/>
              <wp:positionH relativeFrom="column">
                <wp:posOffset>5017135</wp:posOffset>
              </wp:positionH>
              <wp:positionV relativeFrom="paragraph">
                <wp:posOffset>-494665</wp:posOffset>
              </wp:positionV>
              <wp:extent cx="5021580" cy="381000"/>
              <wp:effectExtent l="0" t="0" r="0" b="0"/>
              <wp:wrapSquare wrapText="bothSides"/>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44C715A5" w14:textId="77777777" w:rsidR="00F97A88" w:rsidRPr="00E35ACF" w:rsidRDefault="00F97A88"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249625DF" w14:textId="77777777" w:rsidR="00F97A88" w:rsidRPr="00E35ACF" w:rsidRDefault="00F97A8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E2B28" id="_x0000_t202" coordsize="21600,21600" o:spt="202" path="m,l,21600r21600,l21600,xe">
              <v:stroke joinstyle="miter"/>
              <v:path gradientshapeok="t" o:connecttype="rect"/>
            </v:shapetype>
            <v:shape id="_x0000_s1029" type="#_x0000_t202" style="position:absolute;margin-left:395.05pt;margin-top:-38.95pt;width:395.4pt;height:30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" filled="f" stroked="f">
              <v:textbox>
                <w:txbxContent>
                  <w:p w14:paraId="44C715A5" w14:textId="77777777" w:rsidR="00F97A88" w:rsidRPr="00E35ACF" w:rsidRDefault="00F97A88"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249625DF" w14:textId="77777777" w:rsidR="00F97A88" w:rsidRPr="00E35ACF" w:rsidRDefault="00F97A88">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638272" behindDoc="0" locked="0" layoutInCell="1" allowOverlap="1" wp14:anchorId="6B9FAFC7" wp14:editId="79959936">
              <wp:simplePos x="0" y="0"/>
              <wp:positionH relativeFrom="page">
                <wp:posOffset>7620</wp:posOffset>
              </wp:positionH>
              <wp:positionV relativeFrom="paragraph">
                <wp:posOffset>-723265</wp:posOffset>
              </wp:positionV>
              <wp:extent cx="10706100" cy="647700"/>
              <wp:effectExtent l="0" t="0" r="0" b="0"/>
              <wp:wrapNone/>
              <wp:docPr id="61" name="Retângulo 61"/>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2F37A811" w14:textId="77777777" w:rsidR="00F97A88" w:rsidRDefault="00F97A88" w:rsidP="007B58CB">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AFC7" id="Retângulo 61" o:spid="_x0000_s1030" style="position:absolute;margin-left:.6pt;margin-top:-56.95pt;width:843pt;height:5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Lcg8VlsCAAC1BAAADgAAAAAAAAAAAAAAAAAuAgAAZHJzL2Uyb0RvYy54&#10;bWxQSwECLQAUAAYACAAAACEAlZ1+Bd8AAAALAQAADwAAAAAAAAAAAAAAAAC1BAAAZHJzL2Rvd25y&#10;ZXYueG1sUEsFBgAAAAAEAAQA8wAAAMEFAAAAAA==&#10;" fillcolor="#002d4b" stroked="f" strokeweight="1pt">
              <v:textbox>
                <w:txbxContent>
                  <w:p w14:paraId="2F37A811" w14:textId="77777777" w:rsidR="00F97A88" w:rsidRDefault="00F97A88" w:rsidP="007B58CB">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59776" behindDoc="0" locked="0" layoutInCell="1" allowOverlap="1" wp14:anchorId="475CCE44" wp14:editId="7B23A89F">
              <wp:simplePos x="0" y="0"/>
              <wp:positionH relativeFrom="page">
                <wp:posOffset>7620</wp:posOffset>
              </wp:positionH>
              <wp:positionV relativeFrom="paragraph">
                <wp:posOffset>-74295</wp:posOffset>
              </wp:positionV>
              <wp:extent cx="10759440" cy="52705"/>
              <wp:effectExtent l="0" t="0" r="3810" b="4445"/>
              <wp:wrapNone/>
              <wp:docPr id="62"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1B4383CA" id="Retângulo 14" o:spid="_x0000_s1026" style="position:absolute;margin-left:.6pt;margin-top:-5.85pt;width:847.2pt;height:4.15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mc:Fallback>
      </mc:AlternateContent>
    </w:r>
    <w:r>
      <w:rPr>
        <w:noProof/>
        <w:sz w:val="20"/>
        <w:szCs w:val="20"/>
        <w:lang w:eastAsia="pt-BR"/>
      </w:rPr>
      <w:drawing>
        <wp:anchor distT="0" distB="0" distL="114300" distR="114300" simplePos="0" relativeHeight="251641344" behindDoc="0" locked="0" layoutInCell="1" allowOverlap="1" wp14:anchorId="1A15BB82" wp14:editId="2208CD48">
          <wp:simplePos x="0" y="0"/>
          <wp:positionH relativeFrom="margin">
            <wp:posOffset>-415290</wp:posOffset>
          </wp:positionH>
          <wp:positionV relativeFrom="page">
            <wp:posOffset>114300</wp:posOffset>
          </wp:positionV>
          <wp:extent cx="967740" cy="198755"/>
          <wp:effectExtent l="0" t="0" r="381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E40A" w14:textId="77777777" w:rsidR="00376D0F" w:rsidRDefault="00376D0F">
    <w:pPr>
      <w:pStyle w:val="Cabealho"/>
    </w:pPr>
    <w:r>
      <w:rPr>
        <w:noProof/>
        <w:lang w:eastAsia="pt-BR"/>
      </w:rPr>
      <mc:AlternateContent>
        <mc:Choice Requires="wps">
          <w:drawing>
            <wp:anchor distT="0" distB="0" distL="114300" distR="114300" simplePos="0" relativeHeight="251646464" behindDoc="0" locked="0" layoutInCell="0" allowOverlap="1" wp14:anchorId="4EB9D462" wp14:editId="46B7FDD3">
              <wp:simplePos x="0" y="0"/>
              <wp:positionH relativeFrom="page">
                <wp:posOffset>0</wp:posOffset>
              </wp:positionH>
              <wp:positionV relativeFrom="page">
                <wp:posOffset>190500</wp:posOffset>
              </wp:positionV>
              <wp:extent cx="7560310" cy="266700"/>
              <wp:effectExtent l="0" t="0" r="0" b="0"/>
              <wp:wrapNone/>
              <wp:docPr id="41"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72EB0" w14:textId="77777777" w:rsidR="00376D0F" w:rsidRPr="00F10B26" w:rsidRDefault="00376D0F"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B9D462" id="_x0000_t202" coordsize="21600,21600" o:spt="202" path="m,l,21600r21600,l21600,xe">
              <v:stroke joinstyle="miter"/>
              <v:path gradientshapeok="t" o:connecttype="rect"/>
            </v:shapetype>
            <v:shape id="MSIPCMafbe480880c78337ed6cc877" o:spid="_x0000_s1031" type="#_x0000_t202" alt="{&quot;HashCode&quot;:-1487292391,&quot;Height&quot;:841.0,&quot;Width&quot;:595.0,&quot;Placement&quot;:&quot;Header&quot;,&quot;Index&quot;:&quot;OddAndEven&quot;,&quot;Section&quot;:1,&quot;Top&quot;:0.0,&quot;Left&quot;:0.0}" style="position:absolute;margin-left:0;margin-top:15pt;width:595.3pt;height:21pt;z-index:25164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J1By7IdAgAALAQAAA4AAAAAAAAAAAAAAAAALgIAAGRycy9lMm9Eb2MueG1sUEsBAi0A&#10;FAAGAAgAAAAhADekejrcAAAABwEAAA8AAAAAAAAAAAAAAAAAdwQAAGRycy9kb3ducmV2LnhtbFBL&#10;BQYAAAAABAAEAPMAAACABQAAAAA=&#10;" o:allowincell="f" filled="f" stroked="f" strokeweight=".5pt">
              <v:textbox inset=",0,20pt,0">
                <w:txbxContent>
                  <w:p w14:paraId="15E72EB0" w14:textId="77777777" w:rsidR="00376D0F" w:rsidRPr="00F10B26" w:rsidRDefault="00376D0F"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FB8C" w14:textId="77777777" w:rsidR="00376D0F" w:rsidRPr="00147488" w:rsidRDefault="00376D0F" w:rsidP="00147488">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664896" behindDoc="0" locked="0" layoutInCell="0" allowOverlap="1" wp14:anchorId="371C8285" wp14:editId="1B916A1C">
              <wp:simplePos x="0" y="0"/>
              <wp:positionH relativeFrom="page">
                <wp:align>right</wp:align>
              </wp:positionH>
              <wp:positionV relativeFrom="page">
                <wp:posOffset>9728</wp:posOffset>
              </wp:positionV>
              <wp:extent cx="4441730" cy="607978"/>
              <wp:effectExtent l="0" t="0" r="0" b="1905"/>
              <wp:wrapNone/>
              <wp:docPr id="42" name="MSIPCMd4874885a903e562d240bca3" descr="{&quot;HashCode&quot;:-14872923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4441730" cy="607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6C105" w14:textId="77777777" w:rsidR="00376D0F" w:rsidRPr="009C4F47" w:rsidRDefault="00376D0F" w:rsidP="009C4F47">
                          <w:pPr>
                            <w:spacing w:after="0"/>
                            <w:jc w:val="right"/>
                            <w:rPr>
                              <w:rFonts w:ascii="Calibri" w:hAnsi="Calibri" w:cs="Calibri"/>
                              <w:color w:val="FFFFFF" w:themeColor="background1"/>
                            </w:rPr>
                          </w:pPr>
                        </w:p>
                        <w:p w14:paraId="7557C7A9" w14:textId="77777777" w:rsidR="00376D0F" w:rsidRPr="009C4F47" w:rsidRDefault="00376D0F"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43939F59" w14:textId="77777777" w:rsidR="00376D0F" w:rsidRPr="009C4F47" w:rsidRDefault="00376D0F" w:rsidP="009C4F47">
                          <w:pPr>
                            <w:spacing w:after="0"/>
                            <w:jc w:val="right"/>
                            <w:rPr>
                              <w:rFonts w:cs="Arial"/>
                              <w:color w:val="FFFFFF" w:themeColor="background1"/>
                            </w:rPr>
                          </w:pPr>
                          <w:r w:rsidRPr="009C4F47">
                            <w:rPr>
                              <w:rFonts w:cs="Arial"/>
                              <w:color w:val="FFFFFF" w:themeColor="background1"/>
                            </w:rPr>
                            <w:t>BB Seguridade Participações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C8285" id="_x0000_t202" coordsize="21600,21600" o:spt="202" path="m,l,21600r21600,l21600,xe">
              <v:stroke joinstyle="miter"/>
              <v:path gradientshapeok="t" o:connecttype="rect"/>
            </v:shapetype>
            <v:shape id="MSIPCMd4874885a903e562d240bca3" o:spid="_x0000_s1032" type="#_x0000_t202" alt="{&quot;HashCode&quot;:-1487292391,&quot;Height&quot;:841.0,&quot;Width&quot;:595.0,&quot;Placement&quot;:&quot;Header&quot;,&quot;Index&quot;:&quot;FirstPage&quot;,&quot;Section&quot;:1,&quot;Top&quot;:0.0,&quot;Left&quot;:0.0}" style="position:absolute;margin-left:298.55pt;margin-top:.75pt;width:349.75pt;height:47.85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" o:allowincell="f" filled="f" stroked="f" strokeweight=".5pt">
              <v:textbox inset=",0,20pt,0">
                <w:txbxContent>
                  <w:p w14:paraId="60F6C105" w14:textId="77777777" w:rsidR="00376D0F" w:rsidRPr="009C4F47" w:rsidRDefault="00376D0F" w:rsidP="009C4F47">
                    <w:pPr>
                      <w:spacing w:after="0"/>
                      <w:jc w:val="right"/>
                      <w:rPr>
                        <w:rFonts w:ascii="Calibri" w:hAnsi="Calibri" w:cs="Calibri"/>
                        <w:color w:val="FFFFFF" w:themeColor="background1"/>
                      </w:rPr>
                    </w:pPr>
                  </w:p>
                  <w:p w14:paraId="7557C7A9" w14:textId="77777777" w:rsidR="00376D0F" w:rsidRPr="009C4F47" w:rsidRDefault="00376D0F" w:rsidP="009C4F47">
                    <w:pPr>
                      <w:spacing w:after="0"/>
                      <w:jc w:val="right"/>
                      <w:rPr>
                        <w:rFonts w:cs="Arial"/>
                        <w:color w:val="FFFFFF" w:themeColor="background1"/>
                      </w:rPr>
                    </w:pPr>
                    <w:r w:rsidRPr="009C4F47">
                      <w:rPr>
                        <w:rFonts w:cs="Arial"/>
                        <w:color w:val="FFFFFF" w:themeColor="background1"/>
                      </w:rPr>
                      <w:t>Demonstrações Contábeis Individuais e Consolidadas – Exercício 2019</w:t>
                    </w:r>
                  </w:p>
                  <w:p w14:paraId="43939F59" w14:textId="77777777" w:rsidR="00376D0F" w:rsidRPr="009C4F47" w:rsidRDefault="00376D0F" w:rsidP="009C4F47">
                    <w:pPr>
                      <w:spacing w:after="0"/>
                      <w:jc w:val="right"/>
                      <w:rPr>
                        <w:rFonts w:cs="Arial"/>
                        <w:color w:val="FFFFFF" w:themeColor="background1"/>
                      </w:rPr>
                    </w:pPr>
                    <w:r w:rsidRPr="009C4F47">
                      <w:rPr>
                        <w:rFonts w:cs="Arial"/>
                        <w:color w:val="FFFFFF" w:themeColor="background1"/>
                      </w:rPr>
                      <w:t>BB Seguridade Participações S.A.</w:t>
                    </w:r>
                  </w:p>
                </w:txbxContent>
              </v:textbox>
              <w10:wrap anchorx="page" anchory="page"/>
            </v:shape>
          </w:pict>
        </mc:Fallback>
      </mc:AlternateContent>
    </w:r>
    <w:r w:rsidRPr="005D303B">
      <w:rPr>
        <w:rFonts w:cs="Arial"/>
        <w:b/>
        <w:noProof/>
        <w:color w:val="1F4E79" w:themeColor="accent1" w:themeShade="80"/>
        <w:szCs w:val="18"/>
        <w:lang w:eastAsia="pt-BR"/>
      </w:rPr>
      <w:drawing>
        <wp:anchor distT="0" distB="0" distL="114300" distR="114300" simplePos="0" relativeHeight="251658752" behindDoc="0" locked="0" layoutInCell="1" allowOverlap="1" wp14:anchorId="1EF6F905" wp14:editId="34A08193">
          <wp:simplePos x="0" y="0"/>
          <wp:positionH relativeFrom="margin">
            <wp:posOffset>-447675</wp:posOffset>
          </wp:positionH>
          <wp:positionV relativeFrom="paragraph">
            <wp:posOffset>-353060</wp:posOffset>
          </wp:positionV>
          <wp:extent cx="1176020" cy="259080"/>
          <wp:effectExtent l="0" t="0" r="5080" b="7620"/>
          <wp:wrapNone/>
          <wp:docPr id="14"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7728" behindDoc="1" locked="0" layoutInCell="1" allowOverlap="1" wp14:anchorId="5FD31CFA" wp14:editId="0C97B03C">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43" name="Retângulo 43"/>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9FBC" id="Retângulo 43" o:spid="_x0000_s1026" style="position:absolute;margin-left:0;margin-top:-42.75pt;width:594.75pt;height:51.8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62848" behindDoc="0" locked="0" layoutInCell="1" allowOverlap="1" wp14:anchorId="75B0B7E7" wp14:editId="32509A61">
              <wp:simplePos x="0" y="0"/>
              <wp:positionH relativeFrom="page">
                <wp:posOffset>0</wp:posOffset>
              </wp:positionH>
              <wp:positionV relativeFrom="paragraph">
                <wp:posOffset>77252</wp:posOffset>
              </wp:positionV>
              <wp:extent cx="9144000" cy="53340"/>
              <wp:effectExtent l="0" t="0" r="0" b="3810"/>
              <wp:wrapNone/>
              <wp:docPr id="44"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59D39256" id="Retângulo 14" o:spid="_x0000_s1026" style="position:absolute;margin-left:0;margin-top:6.1pt;width:10in;height:4.2pt;z-index:2516628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F6E4" w14:textId="77777777" w:rsidR="00573897" w:rsidRDefault="00573897">
    <w:pPr>
      <w:pStyle w:val="Cabealho"/>
    </w:pPr>
    <w:r>
      <w:rPr>
        <w:noProof/>
        <w:lang w:eastAsia="pt-BR"/>
      </w:rPr>
      <mc:AlternateContent>
        <mc:Choice Requires="wps">
          <w:drawing>
            <wp:anchor distT="0" distB="0" distL="114300" distR="114300" simplePos="0" relativeHeight="251634176" behindDoc="0" locked="0" layoutInCell="0" allowOverlap="1" wp14:anchorId="02749A56" wp14:editId="6E1FCCE4">
              <wp:simplePos x="0" y="0"/>
              <wp:positionH relativeFrom="page">
                <wp:posOffset>0</wp:posOffset>
              </wp:positionH>
              <wp:positionV relativeFrom="page">
                <wp:posOffset>190500</wp:posOffset>
              </wp:positionV>
              <wp:extent cx="7560310" cy="266700"/>
              <wp:effectExtent l="0" t="0" r="0" b="0"/>
              <wp:wrapNone/>
              <wp:docPr id="2"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63FDB" w14:textId="77777777" w:rsidR="00573897" w:rsidRPr="00F10B26" w:rsidRDefault="00573897"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2749A56" id="_x0000_t202" coordsize="21600,21600" o:spt="202" path="m,l,21600r21600,l21600,xe">
              <v:stroke joinstyle="miter"/>
              <v:path gradientshapeok="t" o:connecttype="rect"/>
            </v:shapetype>
            <v:shape id="_x0000_s1033" type="#_x0000_t202" alt="{&quot;HashCode&quot;:-1487292391,&quot;Height&quot;:841.0,&quot;Width&quot;:595.0,&quot;Placement&quot;:&quot;Header&quot;,&quot;Index&quot;:&quot;OddAndEven&quot;,&quot;Section&quot;:1,&quot;Top&quot;:0.0,&quot;Left&quot;:0.0}" style="position:absolute;margin-left:0;margin-top:15pt;width:595.3pt;height:21pt;z-index:251634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Pqg0BMdAgAALAQAAA4AAAAAAAAAAAAAAAAALgIAAGRycy9lMm9Eb2MueG1sUEsBAi0A&#10;FAAGAAgAAAAhADekejrcAAAABwEAAA8AAAAAAAAAAAAAAAAAdwQAAGRycy9kb3ducmV2LnhtbFBL&#10;BQYAAAAABAAEAPMAAACABQAAAAA=&#10;" o:allowincell="f" filled="f" stroked="f" strokeweight=".5pt">
              <v:textbox inset=",0,20pt,0">
                <w:txbxContent>
                  <w:p w14:paraId="50A63FDB" w14:textId="77777777" w:rsidR="00573897" w:rsidRPr="00F10B26" w:rsidRDefault="00573897"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6954" w14:textId="66B4902D" w:rsidR="0060258F" w:rsidRDefault="0060258F" w:rsidP="006B2DA2">
    <w:pPr>
      <w:pStyle w:val="Cabealho"/>
      <w:tabs>
        <w:tab w:val="clear" w:pos="4252"/>
        <w:tab w:val="clear" w:pos="8504"/>
        <w:tab w:val="left" w:pos="3576"/>
      </w:tabs>
    </w:pPr>
    <w:r>
      <w:rPr>
        <w:noProof/>
        <w:lang w:eastAsia="pt-BR"/>
      </w:rPr>
      <mc:AlternateContent>
        <mc:Choice Requires="wps">
          <w:drawing>
            <wp:anchor distT="45720" distB="45720" distL="114300" distR="114300" simplePos="0" relativeHeight="251661824" behindDoc="0" locked="0" layoutInCell="1" allowOverlap="1" wp14:anchorId="79DB94FA" wp14:editId="55043F50">
              <wp:simplePos x="0" y="0"/>
              <wp:positionH relativeFrom="column">
                <wp:posOffset>5017135</wp:posOffset>
              </wp:positionH>
              <wp:positionV relativeFrom="paragraph">
                <wp:posOffset>-494665</wp:posOffset>
              </wp:positionV>
              <wp:extent cx="5021580" cy="381000"/>
              <wp:effectExtent l="0" t="0" r="0" b="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0B329E93" w14:textId="77777777" w:rsidR="0060258F" w:rsidRPr="00E35ACF" w:rsidRDefault="0060258F"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2FFA345C" w14:textId="77777777" w:rsidR="0060258F" w:rsidRPr="00E35ACF" w:rsidRDefault="0060258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B94FA" id="_x0000_t202" coordsize="21600,21600" o:spt="202" path="m,l,21600r21600,l21600,xe">
              <v:stroke joinstyle="miter"/>
              <v:path gradientshapeok="t" o:connecttype="rect"/>
            </v:shapetype>
            <v:shape id="_x0000_s1034" type="#_x0000_t202" style="position:absolute;margin-left:395.05pt;margin-top:-38.95pt;width:395.4pt;height:3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" filled="f" stroked="f">
              <v:textbox>
                <w:txbxContent>
                  <w:p w14:paraId="0B329E93" w14:textId="77777777" w:rsidR="0060258F" w:rsidRPr="00E35ACF" w:rsidRDefault="0060258F" w:rsidP="00FE25ED">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2021</w:t>
                    </w:r>
                    <w:r w:rsidRPr="00E35ACF">
                      <w:rPr>
                        <w:rFonts w:cs="Arial"/>
                        <w:color w:val="FFFFFF" w:themeColor="background1"/>
                        <w:szCs w:val="18"/>
                      </w:rPr>
                      <w:br/>
                      <w:t>BB Seguridade Participações S.A.</w:t>
                    </w:r>
                  </w:p>
                  <w:p w14:paraId="2FFA345C" w14:textId="77777777" w:rsidR="0060258F" w:rsidRPr="00E35ACF" w:rsidRDefault="0060258F">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651584" behindDoc="0" locked="0" layoutInCell="1" allowOverlap="1" wp14:anchorId="2F05EEF2" wp14:editId="1EFDBCE7">
              <wp:simplePos x="0" y="0"/>
              <wp:positionH relativeFrom="page">
                <wp:posOffset>7620</wp:posOffset>
              </wp:positionH>
              <wp:positionV relativeFrom="paragraph">
                <wp:posOffset>-723265</wp:posOffset>
              </wp:positionV>
              <wp:extent cx="10706100" cy="647700"/>
              <wp:effectExtent l="0" t="0" r="0" b="0"/>
              <wp:wrapNone/>
              <wp:docPr id="24" name="Retângulo 24"/>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17E1061C" w14:textId="77777777" w:rsidR="0060258F" w:rsidRDefault="0060258F" w:rsidP="007B58CB">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EEF2" id="Retângulo 24" o:spid="_x0000_s1035" style="position:absolute;margin-left:.6pt;margin-top:-56.95pt;width:843pt;height:5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VigjNFsCAAC1BAAADgAAAAAAAAAAAAAAAAAuAgAAZHJzL2Uyb0RvYy54&#10;bWxQSwECLQAUAAYACAAAACEAlZ1+Bd8AAAALAQAADwAAAAAAAAAAAAAAAAC1BAAAZHJzL2Rvd25y&#10;ZXYueG1sUEsFBgAAAAAEAAQA8wAAAMEFAAAAAA==&#10;" fillcolor="#002d4b" stroked="f" strokeweight="1pt">
              <v:textbox>
                <w:txbxContent>
                  <w:p w14:paraId="17E1061C" w14:textId="77777777" w:rsidR="0060258F" w:rsidRDefault="0060258F" w:rsidP="007B58CB">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56704" behindDoc="0" locked="0" layoutInCell="1" allowOverlap="1" wp14:anchorId="23B5EFE9" wp14:editId="07449F6C">
              <wp:simplePos x="0" y="0"/>
              <wp:positionH relativeFrom="page">
                <wp:posOffset>7620</wp:posOffset>
              </wp:positionH>
              <wp:positionV relativeFrom="paragraph">
                <wp:posOffset>-74295</wp:posOffset>
              </wp:positionV>
              <wp:extent cx="10759440" cy="52705"/>
              <wp:effectExtent l="0" t="0" r="3810" b="4445"/>
              <wp:wrapNone/>
              <wp:docPr id="25"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56D85DA" id="Retângulo 14" o:spid="_x0000_s1026" style="position:absolute;margin-left:.6pt;margin-top:-5.85pt;width:847.2pt;height:4.1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mc:Fallback>
      </mc:AlternateContent>
    </w:r>
    <w:r>
      <w:rPr>
        <w:noProof/>
        <w:sz w:val="20"/>
        <w:szCs w:val="20"/>
        <w:lang w:eastAsia="pt-BR"/>
      </w:rPr>
      <w:drawing>
        <wp:anchor distT="0" distB="0" distL="114300" distR="114300" simplePos="0" relativeHeight="251655680" behindDoc="0" locked="0" layoutInCell="1" allowOverlap="1" wp14:anchorId="3A6AF4EF" wp14:editId="6EA499DE">
          <wp:simplePos x="0" y="0"/>
          <wp:positionH relativeFrom="margin">
            <wp:posOffset>-415290</wp:posOffset>
          </wp:positionH>
          <wp:positionV relativeFrom="page">
            <wp:posOffset>114300</wp:posOffset>
          </wp:positionV>
          <wp:extent cx="967740" cy="198755"/>
          <wp:effectExtent l="0" t="0" r="381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BB5"/>
    <w:multiLevelType w:val="hybridMultilevel"/>
    <w:tmpl w:val="93244A1E"/>
    <w:lvl w:ilvl="0" w:tplc="907A373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385E15"/>
    <w:multiLevelType w:val="hybridMultilevel"/>
    <w:tmpl w:val="3BF44D4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03476BFD"/>
    <w:multiLevelType w:val="hybridMultilevel"/>
    <w:tmpl w:val="4CAA95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5F7533"/>
    <w:multiLevelType w:val="hybridMultilevel"/>
    <w:tmpl w:val="21E834CA"/>
    <w:lvl w:ilvl="0" w:tplc="206897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A227A86"/>
    <w:multiLevelType w:val="hybridMultilevel"/>
    <w:tmpl w:val="B87A9F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F4521E"/>
    <w:multiLevelType w:val="hybridMultilevel"/>
    <w:tmpl w:val="2FA66088"/>
    <w:lvl w:ilvl="0" w:tplc="866C6EAE">
      <w:start w:val="1"/>
      <w:numFmt w:val="decimal"/>
      <w:lvlText w:val="(%1)"/>
      <w:lvlJc w:val="left"/>
      <w:pPr>
        <w:ind w:left="758" w:hanging="360"/>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0FD04093"/>
    <w:multiLevelType w:val="hybridMultilevel"/>
    <w:tmpl w:val="6FFC8048"/>
    <w:lvl w:ilvl="0" w:tplc="2EC23C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3097B75"/>
    <w:multiLevelType w:val="hybridMultilevel"/>
    <w:tmpl w:val="82600E1E"/>
    <w:lvl w:ilvl="0" w:tplc="64B86ACC">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13D50567"/>
    <w:multiLevelType w:val="hybridMultilevel"/>
    <w:tmpl w:val="D36EA10E"/>
    <w:lvl w:ilvl="0" w:tplc="E144A3F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547C66"/>
    <w:multiLevelType w:val="hybridMultilevel"/>
    <w:tmpl w:val="21588690"/>
    <w:lvl w:ilvl="0" w:tplc="C5C8317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65D2E46"/>
    <w:multiLevelType w:val="hybridMultilevel"/>
    <w:tmpl w:val="45E608FE"/>
    <w:lvl w:ilvl="0" w:tplc="27E6F3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6B9735B"/>
    <w:multiLevelType w:val="hybridMultilevel"/>
    <w:tmpl w:val="6B5C1D60"/>
    <w:lvl w:ilvl="0" w:tplc="7A440EC4">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15:restartNumberingAfterBreak="0">
    <w:nsid w:val="17013D00"/>
    <w:multiLevelType w:val="hybridMultilevel"/>
    <w:tmpl w:val="9A705DB6"/>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3417D"/>
    <w:multiLevelType w:val="hybridMultilevel"/>
    <w:tmpl w:val="6FFC8048"/>
    <w:lvl w:ilvl="0" w:tplc="2EC23C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E490294"/>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1EB4198F"/>
    <w:multiLevelType w:val="hybridMultilevel"/>
    <w:tmpl w:val="6FFC8048"/>
    <w:lvl w:ilvl="0" w:tplc="2EC23C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0B02F61"/>
    <w:multiLevelType w:val="hybridMultilevel"/>
    <w:tmpl w:val="42CC2042"/>
    <w:lvl w:ilvl="0" w:tplc="D4A8EEC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212B2FD0"/>
    <w:multiLevelType w:val="hybridMultilevel"/>
    <w:tmpl w:val="0BB6AB74"/>
    <w:lvl w:ilvl="0" w:tplc="F39EBCB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13E74C3"/>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1475053"/>
    <w:multiLevelType w:val="hybridMultilevel"/>
    <w:tmpl w:val="D3BE966A"/>
    <w:lvl w:ilvl="0" w:tplc="A5CA9F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21DA5DF7"/>
    <w:multiLevelType w:val="hybridMultilevel"/>
    <w:tmpl w:val="2628445E"/>
    <w:lvl w:ilvl="0" w:tplc="F42CD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2BE7E32"/>
    <w:multiLevelType w:val="hybridMultilevel"/>
    <w:tmpl w:val="91ACD6D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5804CCC"/>
    <w:multiLevelType w:val="hybridMultilevel"/>
    <w:tmpl w:val="4148CE02"/>
    <w:lvl w:ilvl="0" w:tplc="A478FB6C">
      <w:start w:val="1"/>
      <w:numFmt w:val="lowerLetter"/>
      <w:lvlText w:val="%1)"/>
      <w:lvlJc w:val="left"/>
      <w:pPr>
        <w:ind w:left="1901" w:hanging="1050"/>
      </w:pPr>
      <w:rPr>
        <w:rFonts w:ascii="Arial" w:eastAsia="Times New Roman" w:hAnsi="Arial" w:cs="Arial"/>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7"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9350B7B"/>
    <w:multiLevelType w:val="hybridMultilevel"/>
    <w:tmpl w:val="F2C28B2A"/>
    <w:lvl w:ilvl="0" w:tplc="D12289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2CEE5FC0"/>
    <w:multiLevelType w:val="hybridMultilevel"/>
    <w:tmpl w:val="24D8F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2E01226F"/>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7E3048"/>
    <w:multiLevelType w:val="hybridMultilevel"/>
    <w:tmpl w:val="F43A0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347A7818"/>
    <w:multiLevelType w:val="hybridMultilevel"/>
    <w:tmpl w:val="6EB23144"/>
    <w:lvl w:ilvl="0" w:tplc="38129C4A">
      <w:start w:val="1"/>
      <w:numFmt w:val="decimal"/>
      <w:lvlText w:val="(%1)"/>
      <w:lvlJc w:val="left"/>
      <w:pPr>
        <w:ind w:left="340" w:hanging="34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36423CB4"/>
    <w:multiLevelType w:val="hybridMultilevel"/>
    <w:tmpl w:val="4AB8DC6E"/>
    <w:lvl w:ilvl="0" w:tplc="F30E029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69119D5"/>
    <w:multiLevelType w:val="hybridMultilevel"/>
    <w:tmpl w:val="9522C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15:restartNumberingAfterBreak="0">
    <w:nsid w:val="43F54C2A"/>
    <w:multiLevelType w:val="hybridMultilevel"/>
    <w:tmpl w:val="4A7850BA"/>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4F771A3"/>
    <w:multiLevelType w:val="hybridMultilevel"/>
    <w:tmpl w:val="759C84A6"/>
    <w:lvl w:ilvl="0" w:tplc="B6264DE4">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3" w15:restartNumberingAfterBreak="0">
    <w:nsid w:val="44FC28C1"/>
    <w:multiLevelType w:val="hybridMultilevel"/>
    <w:tmpl w:val="D82A7002"/>
    <w:lvl w:ilvl="0" w:tplc="785E5344">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45910899"/>
    <w:multiLevelType w:val="hybridMultilevel"/>
    <w:tmpl w:val="45E608FE"/>
    <w:lvl w:ilvl="0" w:tplc="27E6F3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4E513421"/>
    <w:multiLevelType w:val="hybridMultilevel"/>
    <w:tmpl w:val="4578738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46" w15:restartNumberingAfterBreak="0">
    <w:nsid w:val="503372C7"/>
    <w:multiLevelType w:val="hybridMultilevel"/>
    <w:tmpl w:val="759C84A6"/>
    <w:lvl w:ilvl="0" w:tplc="B6264DE4">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7" w15:restartNumberingAfterBreak="0">
    <w:nsid w:val="50395186"/>
    <w:multiLevelType w:val="hybridMultilevel"/>
    <w:tmpl w:val="460EF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15:restartNumberingAfterBreak="0">
    <w:nsid w:val="506566DC"/>
    <w:multiLevelType w:val="hybridMultilevel"/>
    <w:tmpl w:val="9A705DB6"/>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0DE1F96"/>
    <w:multiLevelType w:val="hybridMultilevel"/>
    <w:tmpl w:val="1FEE6924"/>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518F2FEC"/>
    <w:multiLevelType w:val="multilevel"/>
    <w:tmpl w:val="7C08A85A"/>
    <w:lvl w:ilvl="0">
      <w:start w:val="2"/>
      <w:numFmt w:val="decimal"/>
      <w:lvlText w:val="%1"/>
      <w:lvlJc w:val="left"/>
      <w:pPr>
        <w:ind w:left="615" w:hanging="615"/>
      </w:pPr>
    </w:lvl>
    <w:lvl w:ilvl="1">
      <w:start w:val="28"/>
      <w:numFmt w:val="decimalZero"/>
      <w:lvlText w:val="%1.%2"/>
      <w:lvlJc w:val="left"/>
      <w:pPr>
        <w:ind w:left="967" w:hanging="615"/>
      </w:pPr>
    </w:lvl>
    <w:lvl w:ilvl="2">
      <w:start w:val="605"/>
      <w:numFmt w:val="decimal"/>
      <w:lvlText w:val="%1.%2.%3"/>
      <w:lvlJc w:val="left"/>
      <w:pPr>
        <w:ind w:left="1319" w:hanging="615"/>
      </w:pPr>
    </w:lvl>
    <w:lvl w:ilvl="3">
      <w:start w:val="1"/>
      <w:numFmt w:val="decimal"/>
      <w:lvlText w:val="%1.%2.%3.%4"/>
      <w:lvlJc w:val="left"/>
      <w:pPr>
        <w:ind w:left="1776" w:hanging="720"/>
      </w:pPr>
    </w:lvl>
    <w:lvl w:ilvl="4">
      <w:start w:val="1"/>
      <w:numFmt w:val="decimal"/>
      <w:lvlText w:val="%1.%2.%3.%4.%5"/>
      <w:lvlJc w:val="left"/>
      <w:pPr>
        <w:ind w:left="2128" w:hanging="720"/>
      </w:pPr>
    </w:lvl>
    <w:lvl w:ilvl="5">
      <w:start w:val="1"/>
      <w:numFmt w:val="decimal"/>
      <w:lvlText w:val="%1.%2.%3.%4.%5.%6"/>
      <w:lvlJc w:val="left"/>
      <w:pPr>
        <w:ind w:left="2480" w:hanging="720"/>
      </w:pPr>
    </w:lvl>
    <w:lvl w:ilvl="6">
      <w:start w:val="1"/>
      <w:numFmt w:val="decimal"/>
      <w:lvlText w:val="%1.%2.%3.%4.%5.%6.%7"/>
      <w:lvlJc w:val="left"/>
      <w:pPr>
        <w:ind w:left="3192" w:hanging="1080"/>
      </w:pPr>
    </w:lvl>
    <w:lvl w:ilvl="7">
      <w:start w:val="1"/>
      <w:numFmt w:val="decimal"/>
      <w:lvlText w:val="%1.%2.%3.%4.%5.%6.%7.%8"/>
      <w:lvlJc w:val="left"/>
      <w:pPr>
        <w:ind w:left="3544" w:hanging="1080"/>
      </w:pPr>
    </w:lvl>
    <w:lvl w:ilvl="8">
      <w:start w:val="1"/>
      <w:numFmt w:val="decimal"/>
      <w:lvlText w:val="%1.%2.%3.%4.%5.%6.%7.%8.%9"/>
      <w:lvlJc w:val="left"/>
      <w:pPr>
        <w:ind w:left="3896" w:hanging="1080"/>
      </w:pPr>
    </w:lvl>
  </w:abstractNum>
  <w:abstractNum w:abstractNumId="51"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52" w15:restartNumberingAfterBreak="0">
    <w:nsid w:val="5BA10385"/>
    <w:multiLevelType w:val="hybridMultilevel"/>
    <w:tmpl w:val="02C6E208"/>
    <w:lvl w:ilvl="0" w:tplc="8AA2FE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0D8161B"/>
    <w:multiLevelType w:val="hybridMultilevel"/>
    <w:tmpl w:val="C30047CE"/>
    <w:lvl w:ilvl="0" w:tplc="909C4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55"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2743845"/>
    <w:multiLevelType w:val="hybridMultilevel"/>
    <w:tmpl w:val="F2C28B2A"/>
    <w:lvl w:ilvl="0" w:tplc="D12289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15:restartNumberingAfterBreak="0">
    <w:nsid w:val="62DF5C42"/>
    <w:multiLevelType w:val="hybridMultilevel"/>
    <w:tmpl w:val="E9180414"/>
    <w:lvl w:ilvl="0" w:tplc="1C762D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652635CC"/>
    <w:multiLevelType w:val="hybridMultilevel"/>
    <w:tmpl w:val="470875DC"/>
    <w:lvl w:ilvl="0" w:tplc="F386F9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7E21CD9"/>
    <w:multiLevelType w:val="hybridMultilevel"/>
    <w:tmpl w:val="25989172"/>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8235267"/>
    <w:multiLevelType w:val="hybridMultilevel"/>
    <w:tmpl w:val="0564081A"/>
    <w:lvl w:ilvl="0" w:tplc="D57A2F9E">
      <w:start w:val="9"/>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6B2F3F55"/>
    <w:multiLevelType w:val="hybridMultilevel"/>
    <w:tmpl w:val="6BAC241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BE15B10"/>
    <w:multiLevelType w:val="hybridMultilevel"/>
    <w:tmpl w:val="6FEAD276"/>
    <w:lvl w:ilvl="0" w:tplc="17F0A8F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3" w15:restartNumberingAfterBreak="0">
    <w:nsid w:val="6E2A1C9F"/>
    <w:multiLevelType w:val="hybridMultilevel"/>
    <w:tmpl w:val="E9180414"/>
    <w:lvl w:ilvl="0" w:tplc="1C762D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15:restartNumberingAfterBreak="0">
    <w:nsid w:val="6E684D80"/>
    <w:multiLevelType w:val="hybridMultilevel"/>
    <w:tmpl w:val="DE54F938"/>
    <w:lvl w:ilvl="0" w:tplc="31E4899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F39303A"/>
    <w:multiLevelType w:val="hybridMultilevel"/>
    <w:tmpl w:val="B27AA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0651363"/>
    <w:multiLevelType w:val="hybridMultilevel"/>
    <w:tmpl w:val="427E49F4"/>
    <w:lvl w:ilvl="0" w:tplc="EE609F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0C21F00"/>
    <w:multiLevelType w:val="hybridMultilevel"/>
    <w:tmpl w:val="D1460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1619F4"/>
    <w:multiLevelType w:val="hybridMultilevel"/>
    <w:tmpl w:val="BADE8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3AF4C5F"/>
    <w:multiLevelType w:val="hybridMultilevel"/>
    <w:tmpl w:val="3C120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40D7301"/>
    <w:multiLevelType w:val="hybridMultilevel"/>
    <w:tmpl w:val="B53E914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4" w15:restartNumberingAfterBreak="0">
    <w:nsid w:val="74F537F9"/>
    <w:multiLevelType w:val="hybridMultilevel"/>
    <w:tmpl w:val="E9180414"/>
    <w:lvl w:ilvl="0" w:tplc="1C762D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5" w15:restartNumberingAfterBreak="0">
    <w:nsid w:val="76F01714"/>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6" w15:restartNumberingAfterBreak="0">
    <w:nsid w:val="774449B4"/>
    <w:multiLevelType w:val="hybridMultilevel"/>
    <w:tmpl w:val="DE0863AE"/>
    <w:lvl w:ilvl="0" w:tplc="907A3738">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7" w15:restartNumberingAfterBreak="0">
    <w:nsid w:val="789121BB"/>
    <w:multiLevelType w:val="hybridMultilevel"/>
    <w:tmpl w:val="6276CD1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9324EDF"/>
    <w:multiLevelType w:val="hybridMultilevel"/>
    <w:tmpl w:val="D3BE966A"/>
    <w:lvl w:ilvl="0" w:tplc="A5CA9F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9" w15:restartNumberingAfterBreak="0">
    <w:nsid w:val="795222EF"/>
    <w:multiLevelType w:val="hybridMultilevel"/>
    <w:tmpl w:val="DB4C7CA0"/>
    <w:lvl w:ilvl="0" w:tplc="815666F2">
      <w:start w:val="1"/>
      <w:numFmt w:val="decimal"/>
      <w:lvlText w:val="(%1)"/>
      <w:lvlJc w:val="left"/>
      <w:pPr>
        <w:ind w:left="360" w:hanging="360"/>
      </w:pPr>
      <w:rPr>
        <w:rFonts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0" w15:restartNumberingAfterBreak="0">
    <w:nsid w:val="798245A3"/>
    <w:multiLevelType w:val="hybridMultilevel"/>
    <w:tmpl w:val="F2066144"/>
    <w:lvl w:ilvl="0" w:tplc="04090001">
      <w:start w:val="1"/>
      <w:numFmt w:val="bullet"/>
      <w:lvlText w:val=""/>
      <w:lvlJc w:val="left"/>
      <w:pPr>
        <w:ind w:left="720" w:hanging="360"/>
      </w:pPr>
      <w:rPr>
        <w:rFonts w:ascii="Symbol" w:hAnsi="Symbol" w:hint="default"/>
      </w:rPr>
    </w:lvl>
    <w:lvl w:ilvl="1" w:tplc="DB609508">
      <w:numFmt w:val="bullet"/>
      <w:lvlText w:val="•"/>
      <w:lvlJc w:val="left"/>
      <w:pPr>
        <w:ind w:left="1692" w:hanging="612"/>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83"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4" w15:restartNumberingAfterBreak="0">
    <w:nsid w:val="7C035341"/>
    <w:multiLevelType w:val="hybridMultilevel"/>
    <w:tmpl w:val="8E3C1FE6"/>
    <w:lvl w:ilvl="0" w:tplc="1DF4856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5"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6" w15:restartNumberingAfterBreak="0">
    <w:nsid w:val="7D074E3B"/>
    <w:multiLevelType w:val="hybridMultilevel"/>
    <w:tmpl w:val="F01CE5CA"/>
    <w:lvl w:ilvl="0" w:tplc="5C4C2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E51312C"/>
    <w:multiLevelType w:val="hybridMultilevel"/>
    <w:tmpl w:val="BE323D08"/>
    <w:lvl w:ilvl="0" w:tplc="546AB7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4"/>
  </w:num>
  <w:num w:numId="2">
    <w:abstractNumId w:val="73"/>
  </w:num>
  <w:num w:numId="3">
    <w:abstractNumId w:val="24"/>
  </w:num>
  <w:num w:numId="4">
    <w:abstractNumId w:val="11"/>
  </w:num>
  <w:num w:numId="5">
    <w:abstractNumId w:val="25"/>
  </w:num>
  <w:num w:numId="6">
    <w:abstractNumId w:val="54"/>
  </w:num>
  <w:num w:numId="7">
    <w:abstractNumId w:val="13"/>
  </w:num>
  <w:num w:numId="8">
    <w:abstractNumId w:val="35"/>
  </w:num>
  <w:num w:numId="9">
    <w:abstractNumId w:val="40"/>
  </w:num>
  <w:num w:numId="10">
    <w:abstractNumId w:val="71"/>
  </w:num>
  <w:num w:numId="11">
    <w:abstractNumId w:val="33"/>
  </w:num>
  <w:num w:numId="12">
    <w:abstractNumId w:val="55"/>
  </w:num>
  <w:num w:numId="13">
    <w:abstractNumId w:val="9"/>
  </w:num>
  <w:num w:numId="14">
    <w:abstractNumId w:val="38"/>
  </w:num>
  <w:num w:numId="15">
    <w:abstractNumId w:val="27"/>
  </w:num>
  <w:num w:numId="16">
    <w:abstractNumId w:val="1"/>
  </w:num>
  <w:num w:numId="17">
    <w:abstractNumId w:val="41"/>
  </w:num>
  <w:num w:numId="18">
    <w:abstractNumId w:val="5"/>
  </w:num>
  <w:num w:numId="19">
    <w:abstractNumId w:val="69"/>
  </w:num>
  <w:num w:numId="20">
    <w:abstractNumId w:val="59"/>
  </w:num>
  <w:num w:numId="21">
    <w:abstractNumId w:val="85"/>
  </w:num>
  <w:num w:numId="22">
    <w:abstractNumId w:val="78"/>
  </w:num>
  <w:num w:numId="23">
    <w:abstractNumId w:val="17"/>
  </w:num>
  <w:num w:numId="24">
    <w:abstractNumId w:val="15"/>
  </w:num>
  <w:num w:numId="25">
    <w:abstractNumId w:val="67"/>
  </w:num>
  <w:num w:numId="26">
    <w:abstractNumId w:val="14"/>
  </w:num>
  <w:num w:numId="27">
    <w:abstractNumId w:val="51"/>
  </w:num>
  <w:num w:numId="28">
    <w:abstractNumId w:val="37"/>
  </w:num>
  <w:num w:numId="29">
    <w:abstractNumId w:val="86"/>
  </w:num>
  <w:num w:numId="30">
    <w:abstractNumId w:val="87"/>
  </w:num>
  <w:num w:numId="31">
    <w:abstractNumId w:val="31"/>
  </w:num>
  <w:num w:numId="32">
    <w:abstractNumId w:val="77"/>
  </w:num>
  <w:num w:numId="33">
    <w:abstractNumId w:val="28"/>
  </w:num>
  <w:num w:numId="34">
    <w:abstractNumId w:val="18"/>
  </w:num>
  <w:num w:numId="35">
    <w:abstractNumId w:val="83"/>
  </w:num>
  <w:num w:numId="36">
    <w:abstractNumId w:val="70"/>
  </w:num>
  <w:num w:numId="37">
    <w:abstractNumId w:val="65"/>
  </w:num>
  <w:num w:numId="38">
    <w:abstractNumId w:val="45"/>
  </w:num>
  <w:num w:numId="39">
    <w:abstractNumId w:val="47"/>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30"/>
  </w:num>
  <w:num w:numId="44">
    <w:abstractNumId w:val="66"/>
  </w:num>
  <w:num w:numId="45">
    <w:abstractNumId w:val="81"/>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58"/>
  </w:num>
  <w:num w:numId="49">
    <w:abstractNumId w:val="68"/>
  </w:num>
  <w:num w:numId="50">
    <w:abstractNumId w:val="23"/>
  </w:num>
  <w:num w:numId="51">
    <w:abstractNumId w:val="72"/>
  </w:num>
  <w:num w:numId="52">
    <w:abstractNumId w:val="53"/>
  </w:num>
  <w:num w:numId="53">
    <w:abstractNumId w:val="2"/>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
  </w:num>
  <w:num w:numId="58">
    <w:abstractNumId w:val="44"/>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50"/>
    <w:lvlOverride w:ilvl="0">
      <w:startOverride w:val="2"/>
    </w:lvlOverride>
    <w:lvlOverride w:ilvl="1">
      <w:startOverride w:val="28"/>
    </w:lvlOverride>
    <w:lvlOverride w:ilvl="2">
      <w:startOverride w:val="60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num>
  <w:num w:numId="70">
    <w:abstractNumId w:val="52"/>
  </w:num>
  <w:num w:numId="71">
    <w:abstractNumId w:val="36"/>
  </w:num>
  <w:num w:numId="72">
    <w:abstractNumId w:val="4"/>
  </w:num>
  <w:num w:numId="73">
    <w:abstractNumId w:val="62"/>
  </w:num>
  <w:num w:numId="74">
    <w:abstractNumId w:val="19"/>
  </w:num>
  <w:num w:numId="75">
    <w:abstractNumId w:val="43"/>
  </w:num>
  <w:num w:numId="76">
    <w:abstractNumId w:val="8"/>
  </w:num>
  <w:num w:numId="77">
    <w:abstractNumId w:val="57"/>
  </w:num>
  <w:num w:numId="78">
    <w:abstractNumId w:val="63"/>
  </w:num>
  <w:num w:numId="79">
    <w:abstractNumId w:val="74"/>
  </w:num>
  <w:num w:numId="80">
    <w:abstractNumId w:val="42"/>
  </w:num>
  <w:num w:numId="81">
    <w:abstractNumId w:val="75"/>
  </w:num>
  <w:num w:numId="82">
    <w:abstractNumId w:val="34"/>
  </w:num>
  <w:num w:numId="83">
    <w:abstractNumId w:val="10"/>
  </w:num>
  <w:num w:numId="84">
    <w:abstractNumId w:val="60"/>
  </w:num>
  <w:num w:numId="85">
    <w:abstractNumId w:val="61"/>
  </w:num>
  <w:num w:numId="86">
    <w:abstractNumId w:val="49"/>
  </w:num>
  <w:num w:numId="87">
    <w:abstractNumId w:val="64"/>
  </w:num>
  <w:num w:numId="88">
    <w:abstractNumId w:val="0"/>
  </w:num>
  <w:num w:numId="89">
    <w:abstractNumId w:val="56"/>
  </w:num>
  <w:num w:numId="90">
    <w:abstractNumId w:val="21"/>
  </w:num>
  <w:num w:numId="91">
    <w:abstractNumId w:val="16"/>
  </w:num>
  <w:num w:numId="92">
    <w:abstractNumId w:val="29"/>
  </w:num>
  <w:num w:numId="93">
    <w:abstractNumId w:val="6"/>
  </w:num>
  <w:num w:numId="94">
    <w:abstractNumId w:val="39"/>
  </w:num>
  <w:num w:numId="95">
    <w:abstractNumId w:val="22"/>
  </w:num>
  <w:num w:numId="96">
    <w:abstractNumId w:val="26"/>
  </w:num>
  <w:num w:numId="97">
    <w:abstractNumId w:val="8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02A"/>
    <w:rsid w:val="00003530"/>
    <w:rsid w:val="00005CAA"/>
    <w:rsid w:val="0000601B"/>
    <w:rsid w:val="0000759E"/>
    <w:rsid w:val="00007A5D"/>
    <w:rsid w:val="00012049"/>
    <w:rsid w:val="00012577"/>
    <w:rsid w:val="00013BC0"/>
    <w:rsid w:val="00014EC1"/>
    <w:rsid w:val="00015A21"/>
    <w:rsid w:val="000161AB"/>
    <w:rsid w:val="00020A6E"/>
    <w:rsid w:val="00020DDE"/>
    <w:rsid w:val="0002119F"/>
    <w:rsid w:val="00022BC3"/>
    <w:rsid w:val="00022E32"/>
    <w:rsid w:val="0002315B"/>
    <w:rsid w:val="00023D8F"/>
    <w:rsid w:val="00024751"/>
    <w:rsid w:val="00024D0B"/>
    <w:rsid w:val="00030E5D"/>
    <w:rsid w:val="00031BD2"/>
    <w:rsid w:val="00032116"/>
    <w:rsid w:val="00032CF5"/>
    <w:rsid w:val="0003451E"/>
    <w:rsid w:val="00034B53"/>
    <w:rsid w:val="000355CB"/>
    <w:rsid w:val="00036121"/>
    <w:rsid w:val="00037AC3"/>
    <w:rsid w:val="00047718"/>
    <w:rsid w:val="00050224"/>
    <w:rsid w:val="000507BA"/>
    <w:rsid w:val="000511AA"/>
    <w:rsid w:val="0005562A"/>
    <w:rsid w:val="00056C09"/>
    <w:rsid w:val="00064557"/>
    <w:rsid w:val="0006681B"/>
    <w:rsid w:val="0006724B"/>
    <w:rsid w:val="00071223"/>
    <w:rsid w:val="00071241"/>
    <w:rsid w:val="0007615B"/>
    <w:rsid w:val="00076DFF"/>
    <w:rsid w:val="00077564"/>
    <w:rsid w:val="00077F31"/>
    <w:rsid w:val="000803CF"/>
    <w:rsid w:val="00080A12"/>
    <w:rsid w:val="00081E77"/>
    <w:rsid w:val="00083959"/>
    <w:rsid w:val="00083A9B"/>
    <w:rsid w:val="000844DC"/>
    <w:rsid w:val="00086354"/>
    <w:rsid w:val="00087CB3"/>
    <w:rsid w:val="0009028D"/>
    <w:rsid w:val="00092854"/>
    <w:rsid w:val="000967DE"/>
    <w:rsid w:val="00096E88"/>
    <w:rsid w:val="000A33F3"/>
    <w:rsid w:val="000A3AB8"/>
    <w:rsid w:val="000A3D92"/>
    <w:rsid w:val="000A6F34"/>
    <w:rsid w:val="000B2E2F"/>
    <w:rsid w:val="000B3282"/>
    <w:rsid w:val="000B3330"/>
    <w:rsid w:val="000B3796"/>
    <w:rsid w:val="000B3E9C"/>
    <w:rsid w:val="000B4735"/>
    <w:rsid w:val="000B4867"/>
    <w:rsid w:val="000B5B5C"/>
    <w:rsid w:val="000B60F3"/>
    <w:rsid w:val="000B6AA4"/>
    <w:rsid w:val="000C088E"/>
    <w:rsid w:val="000C1469"/>
    <w:rsid w:val="000C4D7D"/>
    <w:rsid w:val="000C78FC"/>
    <w:rsid w:val="000D44F1"/>
    <w:rsid w:val="000D5FC1"/>
    <w:rsid w:val="000D610E"/>
    <w:rsid w:val="000E0CEF"/>
    <w:rsid w:val="000E24B2"/>
    <w:rsid w:val="000E415C"/>
    <w:rsid w:val="000E42E6"/>
    <w:rsid w:val="000E4573"/>
    <w:rsid w:val="000E53EE"/>
    <w:rsid w:val="000F0924"/>
    <w:rsid w:val="000F2546"/>
    <w:rsid w:val="000F417D"/>
    <w:rsid w:val="000F5078"/>
    <w:rsid w:val="000F6165"/>
    <w:rsid w:val="000F78C2"/>
    <w:rsid w:val="00105347"/>
    <w:rsid w:val="00106C5A"/>
    <w:rsid w:val="00107277"/>
    <w:rsid w:val="00107E85"/>
    <w:rsid w:val="00111800"/>
    <w:rsid w:val="00111B62"/>
    <w:rsid w:val="00112C07"/>
    <w:rsid w:val="00112F4C"/>
    <w:rsid w:val="001143BB"/>
    <w:rsid w:val="00114C44"/>
    <w:rsid w:val="00114D47"/>
    <w:rsid w:val="00114D85"/>
    <w:rsid w:val="00116243"/>
    <w:rsid w:val="001170F1"/>
    <w:rsid w:val="00123D8D"/>
    <w:rsid w:val="001248B6"/>
    <w:rsid w:val="00126F8B"/>
    <w:rsid w:val="001278B9"/>
    <w:rsid w:val="00127C78"/>
    <w:rsid w:val="00130452"/>
    <w:rsid w:val="00132148"/>
    <w:rsid w:val="00133C71"/>
    <w:rsid w:val="001340D2"/>
    <w:rsid w:val="00134161"/>
    <w:rsid w:val="001354EE"/>
    <w:rsid w:val="001357EC"/>
    <w:rsid w:val="0013771E"/>
    <w:rsid w:val="00141687"/>
    <w:rsid w:val="001441C1"/>
    <w:rsid w:val="00145AD2"/>
    <w:rsid w:val="00146A99"/>
    <w:rsid w:val="001472DF"/>
    <w:rsid w:val="00147A61"/>
    <w:rsid w:val="00150A99"/>
    <w:rsid w:val="001521B5"/>
    <w:rsid w:val="0015348F"/>
    <w:rsid w:val="00154AFC"/>
    <w:rsid w:val="001558CC"/>
    <w:rsid w:val="0015797D"/>
    <w:rsid w:val="00162CC0"/>
    <w:rsid w:val="00162D44"/>
    <w:rsid w:val="0016383D"/>
    <w:rsid w:val="00165367"/>
    <w:rsid w:val="00166975"/>
    <w:rsid w:val="00167252"/>
    <w:rsid w:val="00170F44"/>
    <w:rsid w:val="00172111"/>
    <w:rsid w:val="00172674"/>
    <w:rsid w:val="00172B50"/>
    <w:rsid w:val="001740E9"/>
    <w:rsid w:val="001772C0"/>
    <w:rsid w:val="001816AF"/>
    <w:rsid w:val="00182370"/>
    <w:rsid w:val="001826D1"/>
    <w:rsid w:val="00182802"/>
    <w:rsid w:val="00182A47"/>
    <w:rsid w:val="00182EA7"/>
    <w:rsid w:val="00182FC3"/>
    <w:rsid w:val="0018325A"/>
    <w:rsid w:val="001836F3"/>
    <w:rsid w:val="00183946"/>
    <w:rsid w:val="00183D72"/>
    <w:rsid w:val="00183FBF"/>
    <w:rsid w:val="001849B5"/>
    <w:rsid w:val="00187B50"/>
    <w:rsid w:val="00191372"/>
    <w:rsid w:val="00191F19"/>
    <w:rsid w:val="001A3250"/>
    <w:rsid w:val="001A769A"/>
    <w:rsid w:val="001A7DD3"/>
    <w:rsid w:val="001B14AB"/>
    <w:rsid w:val="001B28ED"/>
    <w:rsid w:val="001B50A9"/>
    <w:rsid w:val="001C1882"/>
    <w:rsid w:val="001C425E"/>
    <w:rsid w:val="001C7B46"/>
    <w:rsid w:val="001D2FA3"/>
    <w:rsid w:val="001D51FC"/>
    <w:rsid w:val="001D5664"/>
    <w:rsid w:val="001D5AF7"/>
    <w:rsid w:val="001E29F0"/>
    <w:rsid w:val="001E2C25"/>
    <w:rsid w:val="001E4241"/>
    <w:rsid w:val="001F0A82"/>
    <w:rsid w:val="001F2AB4"/>
    <w:rsid w:val="001F2E08"/>
    <w:rsid w:val="001F3823"/>
    <w:rsid w:val="001F5AF8"/>
    <w:rsid w:val="001F6CFC"/>
    <w:rsid w:val="0020171B"/>
    <w:rsid w:val="00204930"/>
    <w:rsid w:val="00207B4A"/>
    <w:rsid w:val="00210ED2"/>
    <w:rsid w:val="0021172A"/>
    <w:rsid w:val="00211BB6"/>
    <w:rsid w:val="002132A2"/>
    <w:rsid w:val="0021343F"/>
    <w:rsid w:val="00214867"/>
    <w:rsid w:val="002269ED"/>
    <w:rsid w:val="00230B22"/>
    <w:rsid w:val="00231AF4"/>
    <w:rsid w:val="00232321"/>
    <w:rsid w:val="00234AD5"/>
    <w:rsid w:val="00234F0B"/>
    <w:rsid w:val="00241FC3"/>
    <w:rsid w:val="00242321"/>
    <w:rsid w:val="00244BA9"/>
    <w:rsid w:val="00247039"/>
    <w:rsid w:val="00247781"/>
    <w:rsid w:val="002500BA"/>
    <w:rsid w:val="00251262"/>
    <w:rsid w:val="00254D28"/>
    <w:rsid w:val="002577EE"/>
    <w:rsid w:val="00260B51"/>
    <w:rsid w:val="0026274C"/>
    <w:rsid w:val="00264C3C"/>
    <w:rsid w:val="002652CB"/>
    <w:rsid w:val="00265B2D"/>
    <w:rsid w:val="002663FA"/>
    <w:rsid w:val="0026664B"/>
    <w:rsid w:val="00267AF3"/>
    <w:rsid w:val="00275580"/>
    <w:rsid w:val="00276764"/>
    <w:rsid w:val="00280A05"/>
    <w:rsid w:val="00280F70"/>
    <w:rsid w:val="00284AD6"/>
    <w:rsid w:val="0028560A"/>
    <w:rsid w:val="00291F73"/>
    <w:rsid w:val="00292056"/>
    <w:rsid w:val="00295417"/>
    <w:rsid w:val="00295CB7"/>
    <w:rsid w:val="002A22F3"/>
    <w:rsid w:val="002B0076"/>
    <w:rsid w:val="002B5111"/>
    <w:rsid w:val="002B59B6"/>
    <w:rsid w:val="002B6EB8"/>
    <w:rsid w:val="002B7069"/>
    <w:rsid w:val="002C250D"/>
    <w:rsid w:val="002C3B69"/>
    <w:rsid w:val="002C4688"/>
    <w:rsid w:val="002C4924"/>
    <w:rsid w:val="002C562D"/>
    <w:rsid w:val="002C5B84"/>
    <w:rsid w:val="002D143C"/>
    <w:rsid w:val="002D5A83"/>
    <w:rsid w:val="002D65D2"/>
    <w:rsid w:val="002D68C2"/>
    <w:rsid w:val="002D71EB"/>
    <w:rsid w:val="002D7D9E"/>
    <w:rsid w:val="002D7FD5"/>
    <w:rsid w:val="002E070F"/>
    <w:rsid w:val="002E0EC5"/>
    <w:rsid w:val="002E3C67"/>
    <w:rsid w:val="002E452F"/>
    <w:rsid w:val="002E4875"/>
    <w:rsid w:val="002E5479"/>
    <w:rsid w:val="002E561F"/>
    <w:rsid w:val="002E7410"/>
    <w:rsid w:val="002E756A"/>
    <w:rsid w:val="002E7736"/>
    <w:rsid w:val="002F0B11"/>
    <w:rsid w:val="002F7E14"/>
    <w:rsid w:val="00300419"/>
    <w:rsid w:val="00307613"/>
    <w:rsid w:val="00307AD1"/>
    <w:rsid w:val="00311A33"/>
    <w:rsid w:val="00311A34"/>
    <w:rsid w:val="00312B45"/>
    <w:rsid w:val="00314402"/>
    <w:rsid w:val="00315C3C"/>
    <w:rsid w:val="003160DD"/>
    <w:rsid w:val="003174CB"/>
    <w:rsid w:val="00317905"/>
    <w:rsid w:val="00321043"/>
    <w:rsid w:val="003221D8"/>
    <w:rsid w:val="0032286E"/>
    <w:rsid w:val="0032296E"/>
    <w:rsid w:val="00324C45"/>
    <w:rsid w:val="003252DC"/>
    <w:rsid w:val="00326C6A"/>
    <w:rsid w:val="00327364"/>
    <w:rsid w:val="00333535"/>
    <w:rsid w:val="00336C60"/>
    <w:rsid w:val="00336CE3"/>
    <w:rsid w:val="00336EA5"/>
    <w:rsid w:val="00341F18"/>
    <w:rsid w:val="00342AFD"/>
    <w:rsid w:val="00342E77"/>
    <w:rsid w:val="003432FE"/>
    <w:rsid w:val="00343E4E"/>
    <w:rsid w:val="00344965"/>
    <w:rsid w:val="003469CC"/>
    <w:rsid w:val="0035572B"/>
    <w:rsid w:val="00355FF0"/>
    <w:rsid w:val="00356AB8"/>
    <w:rsid w:val="003574A9"/>
    <w:rsid w:val="00360713"/>
    <w:rsid w:val="00361F6F"/>
    <w:rsid w:val="00364937"/>
    <w:rsid w:val="00365D56"/>
    <w:rsid w:val="0036729E"/>
    <w:rsid w:val="00367ACF"/>
    <w:rsid w:val="00370FE2"/>
    <w:rsid w:val="003712B8"/>
    <w:rsid w:val="00373E08"/>
    <w:rsid w:val="0037479E"/>
    <w:rsid w:val="00375569"/>
    <w:rsid w:val="00376D0F"/>
    <w:rsid w:val="00377C47"/>
    <w:rsid w:val="00381F96"/>
    <w:rsid w:val="00382527"/>
    <w:rsid w:val="0038713C"/>
    <w:rsid w:val="003904F1"/>
    <w:rsid w:val="003905D1"/>
    <w:rsid w:val="00391F99"/>
    <w:rsid w:val="00396647"/>
    <w:rsid w:val="00397AA6"/>
    <w:rsid w:val="003A237E"/>
    <w:rsid w:val="003A369A"/>
    <w:rsid w:val="003A3BB0"/>
    <w:rsid w:val="003A3E69"/>
    <w:rsid w:val="003A46E3"/>
    <w:rsid w:val="003A46FA"/>
    <w:rsid w:val="003A496C"/>
    <w:rsid w:val="003A5FCE"/>
    <w:rsid w:val="003A68DE"/>
    <w:rsid w:val="003B0871"/>
    <w:rsid w:val="003B0A01"/>
    <w:rsid w:val="003B1062"/>
    <w:rsid w:val="003B1B70"/>
    <w:rsid w:val="003B3EF2"/>
    <w:rsid w:val="003B6C01"/>
    <w:rsid w:val="003B6D97"/>
    <w:rsid w:val="003B7789"/>
    <w:rsid w:val="003B79C1"/>
    <w:rsid w:val="003C0129"/>
    <w:rsid w:val="003C0D9A"/>
    <w:rsid w:val="003C2712"/>
    <w:rsid w:val="003C43EB"/>
    <w:rsid w:val="003C462F"/>
    <w:rsid w:val="003C76C4"/>
    <w:rsid w:val="003D04B4"/>
    <w:rsid w:val="003D1CDE"/>
    <w:rsid w:val="003D521E"/>
    <w:rsid w:val="003D61C6"/>
    <w:rsid w:val="003D7C55"/>
    <w:rsid w:val="003E1DF3"/>
    <w:rsid w:val="003E1F82"/>
    <w:rsid w:val="003E5CAD"/>
    <w:rsid w:val="003E752D"/>
    <w:rsid w:val="003E7547"/>
    <w:rsid w:val="003F6F8D"/>
    <w:rsid w:val="00403DDD"/>
    <w:rsid w:val="00412829"/>
    <w:rsid w:val="004140F2"/>
    <w:rsid w:val="00414271"/>
    <w:rsid w:val="00415064"/>
    <w:rsid w:val="004155A1"/>
    <w:rsid w:val="00420180"/>
    <w:rsid w:val="004221F2"/>
    <w:rsid w:val="00425DE8"/>
    <w:rsid w:val="00426DEA"/>
    <w:rsid w:val="00427B99"/>
    <w:rsid w:val="00431D8B"/>
    <w:rsid w:val="00433C13"/>
    <w:rsid w:val="004345E8"/>
    <w:rsid w:val="00435016"/>
    <w:rsid w:val="00435972"/>
    <w:rsid w:val="00435ED1"/>
    <w:rsid w:val="00436698"/>
    <w:rsid w:val="004405C7"/>
    <w:rsid w:val="00445209"/>
    <w:rsid w:val="004509A2"/>
    <w:rsid w:val="00450E29"/>
    <w:rsid w:val="00451174"/>
    <w:rsid w:val="00454D9F"/>
    <w:rsid w:val="00456104"/>
    <w:rsid w:val="004577EF"/>
    <w:rsid w:val="004618D3"/>
    <w:rsid w:val="004640C8"/>
    <w:rsid w:val="00464624"/>
    <w:rsid w:val="00464F97"/>
    <w:rsid w:val="0046510B"/>
    <w:rsid w:val="00465810"/>
    <w:rsid w:val="00465C18"/>
    <w:rsid w:val="00465EF4"/>
    <w:rsid w:val="004665B2"/>
    <w:rsid w:val="00467245"/>
    <w:rsid w:val="004678AB"/>
    <w:rsid w:val="004706AD"/>
    <w:rsid w:val="00471986"/>
    <w:rsid w:val="00472309"/>
    <w:rsid w:val="0047521F"/>
    <w:rsid w:val="004753EF"/>
    <w:rsid w:val="004777A0"/>
    <w:rsid w:val="0048278C"/>
    <w:rsid w:val="00482B72"/>
    <w:rsid w:val="00484D66"/>
    <w:rsid w:val="00486355"/>
    <w:rsid w:val="00486767"/>
    <w:rsid w:val="0048752F"/>
    <w:rsid w:val="004878A8"/>
    <w:rsid w:val="0049071F"/>
    <w:rsid w:val="004913BA"/>
    <w:rsid w:val="00491AD0"/>
    <w:rsid w:val="00491C21"/>
    <w:rsid w:val="00493598"/>
    <w:rsid w:val="0049511F"/>
    <w:rsid w:val="004952EC"/>
    <w:rsid w:val="00497D57"/>
    <w:rsid w:val="004A04A5"/>
    <w:rsid w:val="004A26EE"/>
    <w:rsid w:val="004A2B2E"/>
    <w:rsid w:val="004A3333"/>
    <w:rsid w:val="004A5980"/>
    <w:rsid w:val="004A5CDD"/>
    <w:rsid w:val="004A6656"/>
    <w:rsid w:val="004B00DD"/>
    <w:rsid w:val="004B1897"/>
    <w:rsid w:val="004B1EE7"/>
    <w:rsid w:val="004B3BAB"/>
    <w:rsid w:val="004B56B5"/>
    <w:rsid w:val="004B60D3"/>
    <w:rsid w:val="004B620B"/>
    <w:rsid w:val="004B659D"/>
    <w:rsid w:val="004B6AF4"/>
    <w:rsid w:val="004C461F"/>
    <w:rsid w:val="004C4B52"/>
    <w:rsid w:val="004C4E4A"/>
    <w:rsid w:val="004C7B50"/>
    <w:rsid w:val="004C7FF9"/>
    <w:rsid w:val="004D1DA8"/>
    <w:rsid w:val="004D27B6"/>
    <w:rsid w:val="004D6B19"/>
    <w:rsid w:val="004D6CE0"/>
    <w:rsid w:val="004D716E"/>
    <w:rsid w:val="004D7A2F"/>
    <w:rsid w:val="004E0822"/>
    <w:rsid w:val="004E230D"/>
    <w:rsid w:val="004E3014"/>
    <w:rsid w:val="004E4B98"/>
    <w:rsid w:val="004E5AC7"/>
    <w:rsid w:val="004E7140"/>
    <w:rsid w:val="004F12A3"/>
    <w:rsid w:val="004F2709"/>
    <w:rsid w:val="004F509B"/>
    <w:rsid w:val="004F712D"/>
    <w:rsid w:val="00500AB3"/>
    <w:rsid w:val="005061D2"/>
    <w:rsid w:val="00506AE7"/>
    <w:rsid w:val="0051329F"/>
    <w:rsid w:val="00514B04"/>
    <w:rsid w:val="00516724"/>
    <w:rsid w:val="00516F75"/>
    <w:rsid w:val="005212E8"/>
    <w:rsid w:val="0052662E"/>
    <w:rsid w:val="0052784B"/>
    <w:rsid w:val="0053756D"/>
    <w:rsid w:val="00537934"/>
    <w:rsid w:val="00540F6B"/>
    <w:rsid w:val="00543849"/>
    <w:rsid w:val="00543C1A"/>
    <w:rsid w:val="005449F8"/>
    <w:rsid w:val="00545645"/>
    <w:rsid w:val="0054696D"/>
    <w:rsid w:val="00550987"/>
    <w:rsid w:val="00551188"/>
    <w:rsid w:val="0055271D"/>
    <w:rsid w:val="0055368E"/>
    <w:rsid w:val="00553F85"/>
    <w:rsid w:val="00555BE6"/>
    <w:rsid w:val="00560119"/>
    <w:rsid w:val="00560D1E"/>
    <w:rsid w:val="00560E22"/>
    <w:rsid w:val="005614B4"/>
    <w:rsid w:val="0056394D"/>
    <w:rsid w:val="00565150"/>
    <w:rsid w:val="005678EB"/>
    <w:rsid w:val="00567DAB"/>
    <w:rsid w:val="00570A41"/>
    <w:rsid w:val="00571767"/>
    <w:rsid w:val="00573897"/>
    <w:rsid w:val="00576B7C"/>
    <w:rsid w:val="00580320"/>
    <w:rsid w:val="005820DF"/>
    <w:rsid w:val="00582DF1"/>
    <w:rsid w:val="00583EE6"/>
    <w:rsid w:val="00587438"/>
    <w:rsid w:val="00590D4B"/>
    <w:rsid w:val="005912C9"/>
    <w:rsid w:val="00592EB1"/>
    <w:rsid w:val="00595FEE"/>
    <w:rsid w:val="005A0095"/>
    <w:rsid w:val="005A0C14"/>
    <w:rsid w:val="005A393B"/>
    <w:rsid w:val="005A430F"/>
    <w:rsid w:val="005A7BDF"/>
    <w:rsid w:val="005A7EAF"/>
    <w:rsid w:val="005B1C07"/>
    <w:rsid w:val="005B37F6"/>
    <w:rsid w:val="005B3A1E"/>
    <w:rsid w:val="005B47AA"/>
    <w:rsid w:val="005B6937"/>
    <w:rsid w:val="005B6BDB"/>
    <w:rsid w:val="005C1702"/>
    <w:rsid w:val="005C50CA"/>
    <w:rsid w:val="005C5DF2"/>
    <w:rsid w:val="005C6790"/>
    <w:rsid w:val="005C6C97"/>
    <w:rsid w:val="005D1684"/>
    <w:rsid w:val="005D3551"/>
    <w:rsid w:val="005D5A74"/>
    <w:rsid w:val="005D6646"/>
    <w:rsid w:val="005D7AB0"/>
    <w:rsid w:val="005E3172"/>
    <w:rsid w:val="005E3985"/>
    <w:rsid w:val="005E6124"/>
    <w:rsid w:val="005F2BEE"/>
    <w:rsid w:val="005F5610"/>
    <w:rsid w:val="005F5825"/>
    <w:rsid w:val="005F645D"/>
    <w:rsid w:val="00600E3D"/>
    <w:rsid w:val="0060186D"/>
    <w:rsid w:val="006022A7"/>
    <w:rsid w:val="0060258F"/>
    <w:rsid w:val="00610938"/>
    <w:rsid w:val="0061154C"/>
    <w:rsid w:val="006146BB"/>
    <w:rsid w:val="00615F65"/>
    <w:rsid w:val="006162F6"/>
    <w:rsid w:val="00620635"/>
    <w:rsid w:val="00622B94"/>
    <w:rsid w:val="006242DA"/>
    <w:rsid w:val="00627550"/>
    <w:rsid w:val="006311E9"/>
    <w:rsid w:val="00631FAC"/>
    <w:rsid w:val="00634343"/>
    <w:rsid w:val="00636A46"/>
    <w:rsid w:val="006434F9"/>
    <w:rsid w:val="00644F94"/>
    <w:rsid w:val="006462C1"/>
    <w:rsid w:val="006464F7"/>
    <w:rsid w:val="00646918"/>
    <w:rsid w:val="00646930"/>
    <w:rsid w:val="00651620"/>
    <w:rsid w:val="0065178D"/>
    <w:rsid w:val="00652402"/>
    <w:rsid w:val="00653248"/>
    <w:rsid w:val="006534AE"/>
    <w:rsid w:val="00653ADB"/>
    <w:rsid w:val="00654335"/>
    <w:rsid w:val="00655E03"/>
    <w:rsid w:val="006562F4"/>
    <w:rsid w:val="00656B14"/>
    <w:rsid w:val="00656BE5"/>
    <w:rsid w:val="00657309"/>
    <w:rsid w:val="00657532"/>
    <w:rsid w:val="00657A40"/>
    <w:rsid w:val="0066037A"/>
    <w:rsid w:val="006620C9"/>
    <w:rsid w:val="00663504"/>
    <w:rsid w:val="006637E5"/>
    <w:rsid w:val="00664D3C"/>
    <w:rsid w:val="00665954"/>
    <w:rsid w:val="006660C1"/>
    <w:rsid w:val="00666CC4"/>
    <w:rsid w:val="0066770E"/>
    <w:rsid w:val="00670F43"/>
    <w:rsid w:val="00672BFD"/>
    <w:rsid w:val="00680454"/>
    <w:rsid w:val="00684091"/>
    <w:rsid w:val="006855C8"/>
    <w:rsid w:val="00685C30"/>
    <w:rsid w:val="006877EF"/>
    <w:rsid w:val="006878AC"/>
    <w:rsid w:val="00687F43"/>
    <w:rsid w:val="00690389"/>
    <w:rsid w:val="006912B6"/>
    <w:rsid w:val="006921D0"/>
    <w:rsid w:val="00694E37"/>
    <w:rsid w:val="00695DEF"/>
    <w:rsid w:val="00697E90"/>
    <w:rsid w:val="006A185F"/>
    <w:rsid w:val="006A2A9B"/>
    <w:rsid w:val="006B0CC6"/>
    <w:rsid w:val="006B2578"/>
    <w:rsid w:val="006B2DA2"/>
    <w:rsid w:val="006B46BB"/>
    <w:rsid w:val="006B4FD7"/>
    <w:rsid w:val="006B5B6D"/>
    <w:rsid w:val="006B7102"/>
    <w:rsid w:val="006C0347"/>
    <w:rsid w:val="006C5DAA"/>
    <w:rsid w:val="006C75CF"/>
    <w:rsid w:val="006D5442"/>
    <w:rsid w:val="006D57D9"/>
    <w:rsid w:val="006D61C2"/>
    <w:rsid w:val="006D7B24"/>
    <w:rsid w:val="006D7E60"/>
    <w:rsid w:val="006E1046"/>
    <w:rsid w:val="006E2013"/>
    <w:rsid w:val="006E38A3"/>
    <w:rsid w:val="006E7638"/>
    <w:rsid w:val="006F1A58"/>
    <w:rsid w:val="006F4088"/>
    <w:rsid w:val="006F4787"/>
    <w:rsid w:val="006F7155"/>
    <w:rsid w:val="006F72FF"/>
    <w:rsid w:val="0070012A"/>
    <w:rsid w:val="00701473"/>
    <w:rsid w:val="00704963"/>
    <w:rsid w:val="00704FD8"/>
    <w:rsid w:val="00704FEB"/>
    <w:rsid w:val="007071A6"/>
    <w:rsid w:val="007114C6"/>
    <w:rsid w:val="00712539"/>
    <w:rsid w:val="00712A0A"/>
    <w:rsid w:val="00714865"/>
    <w:rsid w:val="00716A4A"/>
    <w:rsid w:val="00717787"/>
    <w:rsid w:val="007239F4"/>
    <w:rsid w:val="00724A34"/>
    <w:rsid w:val="00725333"/>
    <w:rsid w:val="0073051B"/>
    <w:rsid w:val="0073139A"/>
    <w:rsid w:val="0073170F"/>
    <w:rsid w:val="00732591"/>
    <w:rsid w:val="00732B7F"/>
    <w:rsid w:val="00733EBF"/>
    <w:rsid w:val="00734646"/>
    <w:rsid w:val="007353AB"/>
    <w:rsid w:val="0073583C"/>
    <w:rsid w:val="007375D5"/>
    <w:rsid w:val="0074062A"/>
    <w:rsid w:val="0074094C"/>
    <w:rsid w:val="00741A94"/>
    <w:rsid w:val="00743DD3"/>
    <w:rsid w:val="00745891"/>
    <w:rsid w:val="007467A0"/>
    <w:rsid w:val="0074702E"/>
    <w:rsid w:val="00747E94"/>
    <w:rsid w:val="0075117B"/>
    <w:rsid w:val="007520B3"/>
    <w:rsid w:val="00753018"/>
    <w:rsid w:val="007534CC"/>
    <w:rsid w:val="00753698"/>
    <w:rsid w:val="0075483B"/>
    <w:rsid w:val="00756E16"/>
    <w:rsid w:val="00762A2F"/>
    <w:rsid w:val="00763042"/>
    <w:rsid w:val="00763418"/>
    <w:rsid w:val="007655C8"/>
    <w:rsid w:val="007661E3"/>
    <w:rsid w:val="00767545"/>
    <w:rsid w:val="00772866"/>
    <w:rsid w:val="00772C71"/>
    <w:rsid w:val="00773920"/>
    <w:rsid w:val="0077430A"/>
    <w:rsid w:val="007743B1"/>
    <w:rsid w:val="00776D8A"/>
    <w:rsid w:val="00780592"/>
    <w:rsid w:val="007835DF"/>
    <w:rsid w:val="00783C3E"/>
    <w:rsid w:val="0079296B"/>
    <w:rsid w:val="00793743"/>
    <w:rsid w:val="007938B6"/>
    <w:rsid w:val="00797B19"/>
    <w:rsid w:val="00797FB0"/>
    <w:rsid w:val="007A1401"/>
    <w:rsid w:val="007A17D5"/>
    <w:rsid w:val="007A1F5D"/>
    <w:rsid w:val="007A2127"/>
    <w:rsid w:val="007A30A5"/>
    <w:rsid w:val="007A4BB7"/>
    <w:rsid w:val="007A6137"/>
    <w:rsid w:val="007A69DC"/>
    <w:rsid w:val="007B071A"/>
    <w:rsid w:val="007B1042"/>
    <w:rsid w:val="007B1EB3"/>
    <w:rsid w:val="007B58CB"/>
    <w:rsid w:val="007B6512"/>
    <w:rsid w:val="007B6C64"/>
    <w:rsid w:val="007B7769"/>
    <w:rsid w:val="007C2358"/>
    <w:rsid w:val="007C667C"/>
    <w:rsid w:val="007D09B8"/>
    <w:rsid w:val="007D1BF4"/>
    <w:rsid w:val="007D450B"/>
    <w:rsid w:val="007D4585"/>
    <w:rsid w:val="007D4A37"/>
    <w:rsid w:val="007D6C0C"/>
    <w:rsid w:val="007E0D51"/>
    <w:rsid w:val="007E5C6C"/>
    <w:rsid w:val="007E6073"/>
    <w:rsid w:val="007E6836"/>
    <w:rsid w:val="007E7311"/>
    <w:rsid w:val="007E7539"/>
    <w:rsid w:val="007F0B8B"/>
    <w:rsid w:val="007F0ED4"/>
    <w:rsid w:val="007F4528"/>
    <w:rsid w:val="007F4615"/>
    <w:rsid w:val="007F6BEC"/>
    <w:rsid w:val="00801648"/>
    <w:rsid w:val="008026CA"/>
    <w:rsid w:val="00802A29"/>
    <w:rsid w:val="0080511E"/>
    <w:rsid w:val="00806739"/>
    <w:rsid w:val="00807154"/>
    <w:rsid w:val="00811567"/>
    <w:rsid w:val="008115B4"/>
    <w:rsid w:val="00812E4F"/>
    <w:rsid w:val="00813E8D"/>
    <w:rsid w:val="008149FC"/>
    <w:rsid w:val="00814AB0"/>
    <w:rsid w:val="008163D5"/>
    <w:rsid w:val="008210FE"/>
    <w:rsid w:val="0082232E"/>
    <w:rsid w:val="00822FBD"/>
    <w:rsid w:val="00823E21"/>
    <w:rsid w:val="00824879"/>
    <w:rsid w:val="0082704A"/>
    <w:rsid w:val="008274CD"/>
    <w:rsid w:val="00831EB8"/>
    <w:rsid w:val="00832617"/>
    <w:rsid w:val="00835801"/>
    <w:rsid w:val="00835C1A"/>
    <w:rsid w:val="0084275E"/>
    <w:rsid w:val="0084338D"/>
    <w:rsid w:val="008441E6"/>
    <w:rsid w:val="00845647"/>
    <w:rsid w:val="00845BDA"/>
    <w:rsid w:val="00846654"/>
    <w:rsid w:val="008519FF"/>
    <w:rsid w:val="00851CCD"/>
    <w:rsid w:val="00853298"/>
    <w:rsid w:val="008540AD"/>
    <w:rsid w:val="00855AB1"/>
    <w:rsid w:val="00857220"/>
    <w:rsid w:val="0085753A"/>
    <w:rsid w:val="0086485E"/>
    <w:rsid w:val="0086529B"/>
    <w:rsid w:val="0086578A"/>
    <w:rsid w:val="0086595F"/>
    <w:rsid w:val="00865ACA"/>
    <w:rsid w:val="0086687C"/>
    <w:rsid w:val="00867156"/>
    <w:rsid w:val="008701A5"/>
    <w:rsid w:val="00870BB8"/>
    <w:rsid w:val="008722CF"/>
    <w:rsid w:val="008724EF"/>
    <w:rsid w:val="00872C20"/>
    <w:rsid w:val="008736E7"/>
    <w:rsid w:val="008772C3"/>
    <w:rsid w:val="00880C68"/>
    <w:rsid w:val="00880EAA"/>
    <w:rsid w:val="0088169A"/>
    <w:rsid w:val="00881964"/>
    <w:rsid w:val="008907B9"/>
    <w:rsid w:val="00894CBA"/>
    <w:rsid w:val="008A0533"/>
    <w:rsid w:val="008A54FE"/>
    <w:rsid w:val="008A64AF"/>
    <w:rsid w:val="008A79BA"/>
    <w:rsid w:val="008B0062"/>
    <w:rsid w:val="008B01F4"/>
    <w:rsid w:val="008B1488"/>
    <w:rsid w:val="008B17D2"/>
    <w:rsid w:val="008B3917"/>
    <w:rsid w:val="008B51AE"/>
    <w:rsid w:val="008B567C"/>
    <w:rsid w:val="008B6528"/>
    <w:rsid w:val="008B6712"/>
    <w:rsid w:val="008B69BD"/>
    <w:rsid w:val="008B6B6B"/>
    <w:rsid w:val="008C1FA3"/>
    <w:rsid w:val="008C2DEA"/>
    <w:rsid w:val="008C7616"/>
    <w:rsid w:val="008D0DAC"/>
    <w:rsid w:val="008D1158"/>
    <w:rsid w:val="008D1D4E"/>
    <w:rsid w:val="008D3C3C"/>
    <w:rsid w:val="008D4CAF"/>
    <w:rsid w:val="008D5169"/>
    <w:rsid w:val="008D5D88"/>
    <w:rsid w:val="008D5EE8"/>
    <w:rsid w:val="008D69F9"/>
    <w:rsid w:val="008E0AFA"/>
    <w:rsid w:val="008E18ED"/>
    <w:rsid w:val="008E3FA2"/>
    <w:rsid w:val="008E4C6E"/>
    <w:rsid w:val="008E6A2D"/>
    <w:rsid w:val="008E7061"/>
    <w:rsid w:val="008F1E0A"/>
    <w:rsid w:val="008F2106"/>
    <w:rsid w:val="008F523A"/>
    <w:rsid w:val="008F5FF2"/>
    <w:rsid w:val="008F7BB6"/>
    <w:rsid w:val="009059A1"/>
    <w:rsid w:val="00905CD3"/>
    <w:rsid w:val="00907639"/>
    <w:rsid w:val="00914D93"/>
    <w:rsid w:val="00915FC7"/>
    <w:rsid w:val="009175BE"/>
    <w:rsid w:val="00917D32"/>
    <w:rsid w:val="009203BB"/>
    <w:rsid w:val="00922ECD"/>
    <w:rsid w:val="00923FD5"/>
    <w:rsid w:val="00926891"/>
    <w:rsid w:val="009301E3"/>
    <w:rsid w:val="00931580"/>
    <w:rsid w:val="00933873"/>
    <w:rsid w:val="00934CFE"/>
    <w:rsid w:val="0093615E"/>
    <w:rsid w:val="0093718F"/>
    <w:rsid w:val="00941FC9"/>
    <w:rsid w:val="009449D2"/>
    <w:rsid w:val="0094548E"/>
    <w:rsid w:val="00951092"/>
    <w:rsid w:val="00951E78"/>
    <w:rsid w:val="009522A3"/>
    <w:rsid w:val="00953527"/>
    <w:rsid w:val="00954BF4"/>
    <w:rsid w:val="00955DE4"/>
    <w:rsid w:val="00957DE6"/>
    <w:rsid w:val="00962E61"/>
    <w:rsid w:val="00963D5A"/>
    <w:rsid w:val="00964C3D"/>
    <w:rsid w:val="00965828"/>
    <w:rsid w:val="00965B07"/>
    <w:rsid w:val="0097051E"/>
    <w:rsid w:val="00970625"/>
    <w:rsid w:val="00970A35"/>
    <w:rsid w:val="00970D92"/>
    <w:rsid w:val="00975391"/>
    <w:rsid w:val="0097637E"/>
    <w:rsid w:val="00980168"/>
    <w:rsid w:val="0098188D"/>
    <w:rsid w:val="00982ECE"/>
    <w:rsid w:val="00982F3F"/>
    <w:rsid w:val="00985EA9"/>
    <w:rsid w:val="009869A3"/>
    <w:rsid w:val="009873B0"/>
    <w:rsid w:val="00993DB9"/>
    <w:rsid w:val="00994807"/>
    <w:rsid w:val="00995020"/>
    <w:rsid w:val="0099631F"/>
    <w:rsid w:val="0099705B"/>
    <w:rsid w:val="00997507"/>
    <w:rsid w:val="009A02F5"/>
    <w:rsid w:val="009A099C"/>
    <w:rsid w:val="009A1484"/>
    <w:rsid w:val="009A37BF"/>
    <w:rsid w:val="009A403C"/>
    <w:rsid w:val="009A5326"/>
    <w:rsid w:val="009B5AA3"/>
    <w:rsid w:val="009B66E0"/>
    <w:rsid w:val="009B67E5"/>
    <w:rsid w:val="009B6F98"/>
    <w:rsid w:val="009C0010"/>
    <w:rsid w:val="009C09F8"/>
    <w:rsid w:val="009C1FED"/>
    <w:rsid w:val="009C2040"/>
    <w:rsid w:val="009C5236"/>
    <w:rsid w:val="009C5F6A"/>
    <w:rsid w:val="009C6B60"/>
    <w:rsid w:val="009C79F4"/>
    <w:rsid w:val="009C7F10"/>
    <w:rsid w:val="009D0CDD"/>
    <w:rsid w:val="009D2F1B"/>
    <w:rsid w:val="009D731F"/>
    <w:rsid w:val="009E0642"/>
    <w:rsid w:val="009E1FF3"/>
    <w:rsid w:val="009E2072"/>
    <w:rsid w:val="009E2DA6"/>
    <w:rsid w:val="009E534E"/>
    <w:rsid w:val="009E5728"/>
    <w:rsid w:val="009E6AAA"/>
    <w:rsid w:val="009E72BA"/>
    <w:rsid w:val="009F355B"/>
    <w:rsid w:val="009F41F0"/>
    <w:rsid w:val="009F602C"/>
    <w:rsid w:val="009F6A39"/>
    <w:rsid w:val="00A00D72"/>
    <w:rsid w:val="00A01909"/>
    <w:rsid w:val="00A02FFB"/>
    <w:rsid w:val="00A05AB5"/>
    <w:rsid w:val="00A06521"/>
    <w:rsid w:val="00A13206"/>
    <w:rsid w:val="00A1375C"/>
    <w:rsid w:val="00A13AA8"/>
    <w:rsid w:val="00A143D3"/>
    <w:rsid w:val="00A14B51"/>
    <w:rsid w:val="00A157D0"/>
    <w:rsid w:val="00A250DB"/>
    <w:rsid w:val="00A25DA0"/>
    <w:rsid w:val="00A26F22"/>
    <w:rsid w:val="00A301F5"/>
    <w:rsid w:val="00A3330F"/>
    <w:rsid w:val="00A338B9"/>
    <w:rsid w:val="00A36E9F"/>
    <w:rsid w:val="00A406AD"/>
    <w:rsid w:val="00A414A6"/>
    <w:rsid w:val="00A4438E"/>
    <w:rsid w:val="00A4533A"/>
    <w:rsid w:val="00A526E0"/>
    <w:rsid w:val="00A52ED7"/>
    <w:rsid w:val="00A55F00"/>
    <w:rsid w:val="00A611D1"/>
    <w:rsid w:val="00A6120B"/>
    <w:rsid w:val="00A653B6"/>
    <w:rsid w:val="00A66C10"/>
    <w:rsid w:val="00A709A8"/>
    <w:rsid w:val="00A713B2"/>
    <w:rsid w:val="00A72706"/>
    <w:rsid w:val="00A746C8"/>
    <w:rsid w:val="00A81D77"/>
    <w:rsid w:val="00A84259"/>
    <w:rsid w:val="00A86DC8"/>
    <w:rsid w:val="00A8709D"/>
    <w:rsid w:val="00A87709"/>
    <w:rsid w:val="00A879F9"/>
    <w:rsid w:val="00A90900"/>
    <w:rsid w:val="00A91F59"/>
    <w:rsid w:val="00A93D1E"/>
    <w:rsid w:val="00A9577C"/>
    <w:rsid w:val="00A95A81"/>
    <w:rsid w:val="00A961A5"/>
    <w:rsid w:val="00A96DFB"/>
    <w:rsid w:val="00AA267D"/>
    <w:rsid w:val="00AA27C6"/>
    <w:rsid w:val="00AA423E"/>
    <w:rsid w:val="00AA50EF"/>
    <w:rsid w:val="00AA6738"/>
    <w:rsid w:val="00AA6D81"/>
    <w:rsid w:val="00AB1E6B"/>
    <w:rsid w:val="00AB2BE0"/>
    <w:rsid w:val="00AB439F"/>
    <w:rsid w:val="00AB46A7"/>
    <w:rsid w:val="00AB48EA"/>
    <w:rsid w:val="00AB523D"/>
    <w:rsid w:val="00AB539B"/>
    <w:rsid w:val="00AB5767"/>
    <w:rsid w:val="00AB5C32"/>
    <w:rsid w:val="00AB5F4A"/>
    <w:rsid w:val="00AB6F8B"/>
    <w:rsid w:val="00AB7A15"/>
    <w:rsid w:val="00AC067E"/>
    <w:rsid w:val="00AC06D9"/>
    <w:rsid w:val="00AC0A33"/>
    <w:rsid w:val="00AC1C23"/>
    <w:rsid w:val="00AC2A1C"/>
    <w:rsid w:val="00AC643A"/>
    <w:rsid w:val="00AD1528"/>
    <w:rsid w:val="00AD173B"/>
    <w:rsid w:val="00AD5A3F"/>
    <w:rsid w:val="00AD6158"/>
    <w:rsid w:val="00AD75AD"/>
    <w:rsid w:val="00AD774F"/>
    <w:rsid w:val="00AD77F2"/>
    <w:rsid w:val="00AE25AC"/>
    <w:rsid w:val="00AE28A4"/>
    <w:rsid w:val="00AE57E0"/>
    <w:rsid w:val="00AE5B16"/>
    <w:rsid w:val="00AE6740"/>
    <w:rsid w:val="00AE70F7"/>
    <w:rsid w:val="00AF30A8"/>
    <w:rsid w:val="00AF488C"/>
    <w:rsid w:val="00AF5126"/>
    <w:rsid w:val="00AF74EB"/>
    <w:rsid w:val="00AF7C4F"/>
    <w:rsid w:val="00B00776"/>
    <w:rsid w:val="00B0121F"/>
    <w:rsid w:val="00B019AD"/>
    <w:rsid w:val="00B027D5"/>
    <w:rsid w:val="00B070A9"/>
    <w:rsid w:val="00B12A34"/>
    <w:rsid w:val="00B14BAA"/>
    <w:rsid w:val="00B1568A"/>
    <w:rsid w:val="00B15F2D"/>
    <w:rsid w:val="00B20D14"/>
    <w:rsid w:val="00B21E2A"/>
    <w:rsid w:val="00B22BFA"/>
    <w:rsid w:val="00B231DD"/>
    <w:rsid w:val="00B23F82"/>
    <w:rsid w:val="00B2459F"/>
    <w:rsid w:val="00B25BB0"/>
    <w:rsid w:val="00B25C80"/>
    <w:rsid w:val="00B27496"/>
    <w:rsid w:val="00B2799E"/>
    <w:rsid w:val="00B30310"/>
    <w:rsid w:val="00B30B20"/>
    <w:rsid w:val="00B30C3C"/>
    <w:rsid w:val="00B313CB"/>
    <w:rsid w:val="00B326FF"/>
    <w:rsid w:val="00B32B69"/>
    <w:rsid w:val="00B32FB6"/>
    <w:rsid w:val="00B35610"/>
    <w:rsid w:val="00B37A8C"/>
    <w:rsid w:val="00B42C48"/>
    <w:rsid w:val="00B50327"/>
    <w:rsid w:val="00B51184"/>
    <w:rsid w:val="00B51BEE"/>
    <w:rsid w:val="00B5406D"/>
    <w:rsid w:val="00B558DA"/>
    <w:rsid w:val="00B61AAF"/>
    <w:rsid w:val="00B61BE7"/>
    <w:rsid w:val="00B6362F"/>
    <w:rsid w:val="00B64CBB"/>
    <w:rsid w:val="00B65A85"/>
    <w:rsid w:val="00B671A3"/>
    <w:rsid w:val="00B67E8C"/>
    <w:rsid w:val="00B702D2"/>
    <w:rsid w:val="00B761A3"/>
    <w:rsid w:val="00B76A0E"/>
    <w:rsid w:val="00B77D4C"/>
    <w:rsid w:val="00B77D58"/>
    <w:rsid w:val="00B83A38"/>
    <w:rsid w:val="00B844EB"/>
    <w:rsid w:val="00B86789"/>
    <w:rsid w:val="00B87610"/>
    <w:rsid w:val="00B877BA"/>
    <w:rsid w:val="00B87FE6"/>
    <w:rsid w:val="00B90156"/>
    <w:rsid w:val="00B92D83"/>
    <w:rsid w:val="00B96E81"/>
    <w:rsid w:val="00B9729F"/>
    <w:rsid w:val="00BA011B"/>
    <w:rsid w:val="00BA0F9D"/>
    <w:rsid w:val="00BA108D"/>
    <w:rsid w:val="00BA3C60"/>
    <w:rsid w:val="00BA469B"/>
    <w:rsid w:val="00BA4E2B"/>
    <w:rsid w:val="00BA5AE7"/>
    <w:rsid w:val="00BB0017"/>
    <w:rsid w:val="00BB00D1"/>
    <w:rsid w:val="00BB0A3F"/>
    <w:rsid w:val="00BB0F4B"/>
    <w:rsid w:val="00BB2741"/>
    <w:rsid w:val="00BB405E"/>
    <w:rsid w:val="00BB4313"/>
    <w:rsid w:val="00BB514B"/>
    <w:rsid w:val="00BB6C9B"/>
    <w:rsid w:val="00BC3B21"/>
    <w:rsid w:val="00BC6FCF"/>
    <w:rsid w:val="00BD04D6"/>
    <w:rsid w:val="00BD0A22"/>
    <w:rsid w:val="00BD0FBD"/>
    <w:rsid w:val="00BD49F5"/>
    <w:rsid w:val="00BE18DD"/>
    <w:rsid w:val="00BE3C4B"/>
    <w:rsid w:val="00BE4552"/>
    <w:rsid w:val="00BF2E45"/>
    <w:rsid w:val="00BF39C7"/>
    <w:rsid w:val="00BF5979"/>
    <w:rsid w:val="00C0092F"/>
    <w:rsid w:val="00C01B3E"/>
    <w:rsid w:val="00C027BC"/>
    <w:rsid w:val="00C032C2"/>
    <w:rsid w:val="00C033E2"/>
    <w:rsid w:val="00C06F6F"/>
    <w:rsid w:val="00C078F6"/>
    <w:rsid w:val="00C07C14"/>
    <w:rsid w:val="00C07CCC"/>
    <w:rsid w:val="00C1123B"/>
    <w:rsid w:val="00C12147"/>
    <w:rsid w:val="00C145BC"/>
    <w:rsid w:val="00C212D8"/>
    <w:rsid w:val="00C230D1"/>
    <w:rsid w:val="00C255CD"/>
    <w:rsid w:val="00C265AE"/>
    <w:rsid w:val="00C31422"/>
    <w:rsid w:val="00C31A45"/>
    <w:rsid w:val="00C32719"/>
    <w:rsid w:val="00C327B4"/>
    <w:rsid w:val="00C34075"/>
    <w:rsid w:val="00C34A32"/>
    <w:rsid w:val="00C35C07"/>
    <w:rsid w:val="00C373B6"/>
    <w:rsid w:val="00C37DF6"/>
    <w:rsid w:val="00C41921"/>
    <w:rsid w:val="00C42353"/>
    <w:rsid w:val="00C44136"/>
    <w:rsid w:val="00C46344"/>
    <w:rsid w:val="00C51DEB"/>
    <w:rsid w:val="00C55440"/>
    <w:rsid w:val="00C57A48"/>
    <w:rsid w:val="00C61DF8"/>
    <w:rsid w:val="00C62DC8"/>
    <w:rsid w:val="00C635EC"/>
    <w:rsid w:val="00C65C62"/>
    <w:rsid w:val="00C67BBA"/>
    <w:rsid w:val="00C7401B"/>
    <w:rsid w:val="00C77B47"/>
    <w:rsid w:val="00C80991"/>
    <w:rsid w:val="00C80BBE"/>
    <w:rsid w:val="00C82368"/>
    <w:rsid w:val="00C83B70"/>
    <w:rsid w:val="00C86AB1"/>
    <w:rsid w:val="00C92B28"/>
    <w:rsid w:val="00C951B9"/>
    <w:rsid w:val="00C96AB9"/>
    <w:rsid w:val="00C96E65"/>
    <w:rsid w:val="00C978CD"/>
    <w:rsid w:val="00CA0446"/>
    <w:rsid w:val="00CA0838"/>
    <w:rsid w:val="00CA2F51"/>
    <w:rsid w:val="00CA37DF"/>
    <w:rsid w:val="00CA6680"/>
    <w:rsid w:val="00CA6E04"/>
    <w:rsid w:val="00CB1114"/>
    <w:rsid w:val="00CB643D"/>
    <w:rsid w:val="00CB6B23"/>
    <w:rsid w:val="00CC0E70"/>
    <w:rsid w:val="00CD09AB"/>
    <w:rsid w:val="00CD2425"/>
    <w:rsid w:val="00CD3B98"/>
    <w:rsid w:val="00CD43F9"/>
    <w:rsid w:val="00CD520D"/>
    <w:rsid w:val="00CD6175"/>
    <w:rsid w:val="00CD6230"/>
    <w:rsid w:val="00CD68E5"/>
    <w:rsid w:val="00CD74C4"/>
    <w:rsid w:val="00CE54A8"/>
    <w:rsid w:val="00CE6031"/>
    <w:rsid w:val="00CE6B57"/>
    <w:rsid w:val="00CF0D90"/>
    <w:rsid w:val="00CF569B"/>
    <w:rsid w:val="00CF7426"/>
    <w:rsid w:val="00D01F17"/>
    <w:rsid w:val="00D01F34"/>
    <w:rsid w:val="00D01F78"/>
    <w:rsid w:val="00D02561"/>
    <w:rsid w:val="00D0362E"/>
    <w:rsid w:val="00D04834"/>
    <w:rsid w:val="00D04B44"/>
    <w:rsid w:val="00D05F8F"/>
    <w:rsid w:val="00D11A95"/>
    <w:rsid w:val="00D16F14"/>
    <w:rsid w:val="00D203E6"/>
    <w:rsid w:val="00D20A6B"/>
    <w:rsid w:val="00D26BDE"/>
    <w:rsid w:val="00D31089"/>
    <w:rsid w:val="00D310B4"/>
    <w:rsid w:val="00D32E9F"/>
    <w:rsid w:val="00D37213"/>
    <w:rsid w:val="00D37CB8"/>
    <w:rsid w:val="00D40A47"/>
    <w:rsid w:val="00D42EE5"/>
    <w:rsid w:val="00D46F6F"/>
    <w:rsid w:val="00D4791D"/>
    <w:rsid w:val="00D52475"/>
    <w:rsid w:val="00D52BFE"/>
    <w:rsid w:val="00D5414D"/>
    <w:rsid w:val="00D55BCA"/>
    <w:rsid w:val="00D57385"/>
    <w:rsid w:val="00D611E5"/>
    <w:rsid w:val="00D63764"/>
    <w:rsid w:val="00D63B33"/>
    <w:rsid w:val="00D67213"/>
    <w:rsid w:val="00D67854"/>
    <w:rsid w:val="00D72646"/>
    <w:rsid w:val="00D729DF"/>
    <w:rsid w:val="00D73085"/>
    <w:rsid w:val="00D73532"/>
    <w:rsid w:val="00D736B8"/>
    <w:rsid w:val="00D74D85"/>
    <w:rsid w:val="00D750CE"/>
    <w:rsid w:val="00D7595E"/>
    <w:rsid w:val="00D800D2"/>
    <w:rsid w:val="00D81CF4"/>
    <w:rsid w:val="00D8271D"/>
    <w:rsid w:val="00D82801"/>
    <w:rsid w:val="00D82FEC"/>
    <w:rsid w:val="00D84C89"/>
    <w:rsid w:val="00D90E43"/>
    <w:rsid w:val="00D9714C"/>
    <w:rsid w:val="00D97454"/>
    <w:rsid w:val="00DA0CEE"/>
    <w:rsid w:val="00DA22A9"/>
    <w:rsid w:val="00DA2C8D"/>
    <w:rsid w:val="00DA49CC"/>
    <w:rsid w:val="00DB0F43"/>
    <w:rsid w:val="00DB1AA6"/>
    <w:rsid w:val="00DB1FA5"/>
    <w:rsid w:val="00DB24D0"/>
    <w:rsid w:val="00DB32BE"/>
    <w:rsid w:val="00DB3B17"/>
    <w:rsid w:val="00DB5063"/>
    <w:rsid w:val="00DB669F"/>
    <w:rsid w:val="00DB7488"/>
    <w:rsid w:val="00DB75CB"/>
    <w:rsid w:val="00DB7F33"/>
    <w:rsid w:val="00DC0B1A"/>
    <w:rsid w:val="00DC312D"/>
    <w:rsid w:val="00DC5865"/>
    <w:rsid w:val="00DC5A22"/>
    <w:rsid w:val="00DC7272"/>
    <w:rsid w:val="00DC7F6B"/>
    <w:rsid w:val="00DD0CE1"/>
    <w:rsid w:val="00DD3719"/>
    <w:rsid w:val="00DD3809"/>
    <w:rsid w:val="00DD50A3"/>
    <w:rsid w:val="00DD6DE1"/>
    <w:rsid w:val="00DD7095"/>
    <w:rsid w:val="00DE021E"/>
    <w:rsid w:val="00DE0E10"/>
    <w:rsid w:val="00DE18ED"/>
    <w:rsid w:val="00DE1E42"/>
    <w:rsid w:val="00DE366A"/>
    <w:rsid w:val="00DF19C1"/>
    <w:rsid w:val="00DF6A7B"/>
    <w:rsid w:val="00DF726C"/>
    <w:rsid w:val="00DF77DE"/>
    <w:rsid w:val="00E0126D"/>
    <w:rsid w:val="00E02FD0"/>
    <w:rsid w:val="00E030A8"/>
    <w:rsid w:val="00E07CC0"/>
    <w:rsid w:val="00E112B8"/>
    <w:rsid w:val="00E12532"/>
    <w:rsid w:val="00E12FE6"/>
    <w:rsid w:val="00E1402A"/>
    <w:rsid w:val="00E201B8"/>
    <w:rsid w:val="00E21163"/>
    <w:rsid w:val="00E21184"/>
    <w:rsid w:val="00E22619"/>
    <w:rsid w:val="00E2281B"/>
    <w:rsid w:val="00E24A6D"/>
    <w:rsid w:val="00E24DE2"/>
    <w:rsid w:val="00E25C15"/>
    <w:rsid w:val="00E3253A"/>
    <w:rsid w:val="00E35803"/>
    <w:rsid w:val="00E35ACF"/>
    <w:rsid w:val="00E43437"/>
    <w:rsid w:val="00E457A8"/>
    <w:rsid w:val="00E50EC6"/>
    <w:rsid w:val="00E54DA8"/>
    <w:rsid w:val="00E56506"/>
    <w:rsid w:val="00E57E03"/>
    <w:rsid w:val="00E62978"/>
    <w:rsid w:val="00E64FAB"/>
    <w:rsid w:val="00E66AED"/>
    <w:rsid w:val="00E67722"/>
    <w:rsid w:val="00E7122A"/>
    <w:rsid w:val="00E71B2A"/>
    <w:rsid w:val="00E751E3"/>
    <w:rsid w:val="00E822B7"/>
    <w:rsid w:val="00E82C47"/>
    <w:rsid w:val="00E832B7"/>
    <w:rsid w:val="00E84EC2"/>
    <w:rsid w:val="00E86E3F"/>
    <w:rsid w:val="00E908B8"/>
    <w:rsid w:val="00E90EAF"/>
    <w:rsid w:val="00E94899"/>
    <w:rsid w:val="00E95971"/>
    <w:rsid w:val="00E967DB"/>
    <w:rsid w:val="00EA14D1"/>
    <w:rsid w:val="00EA249D"/>
    <w:rsid w:val="00EB1880"/>
    <w:rsid w:val="00EB245F"/>
    <w:rsid w:val="00EB2F53"/>
    <w:rsid w:val="00EC40F0"/>
    <w:rsid w:val="00EC6491"/>
    <w:rsid w:val="00EC7C14"/>
    <w:rsid w:val="00ED1DCB"/>
    <w:rsid w:val="00ED23B2"/>
    <w:rsid w:val="00ED2447"/>
    <w:rsid w:val="00ED35F1"/>
    <w:rsid w:val="00ED5B6F"/>
    <w:rsid w:val="00ED5CBA"/>
    <w:rsid w:val="00EE124F"/>
    <w:rsid w:val="00EE5877"/>
    <w:rsid w:val="00EE62B0"/>
    <w:rsid w:val="00EF2DED"/>
    <w:rsid w:val="00EF2FA0"/>
    <w:rsid w:val="00EF7527"/>
    <w:rsid w:val="00F002FA"/>
    <w:rsid w:val="00F010DE"/>
    <w:rsid w:val="00F011EC"/>
    <w:rsid w:val="00F03056"/>
    <w:rsid w:val="00F03B88"/>
    <w:rsid w:val="00F03BE5"/>
    <w:rsid w:val="00F054EB"/>
    <w:rsid w:val="00F074F3"/>
    <w:rsid w:val="00F123C6"/>
    <w:rsid w:val="00F137C0"/>
    <w:rsid w:val="00F13A48"/>
    <w:rsid w:val="00F15F7A"/>
    <w:rsid w:val="00F167E3"/>
    <w:rsid w:val="00F178A9"/>
    <w:rsid w:val="00F200E9"/>
    <w:rsid w:val="00F21CC3"/>
    <w:rsid w:val="00F22707"/>
    <w:rsid w:val="00F232C0"/>
    <w:rsid w:val="00F2459E"/>
    <w:rsid w:val="00F26972"/>
    <w:rsid w:val="00F32FAC"/>
    <w:rsid w:val="00F36F6B"/>
    <w:rsid w:val="00F4035C"/>
    <w:rsid w:val="00F415A4"/>
    <w:rsid w:val="00F416C3"/>
    <w:rsid w:val="00F428A9"/>
    <w:rsid w:val="00F441A9"/>
    <w:rsid w:val="00F44ABA"/>
    <w:rsid w:val="00F50CC3"/>
    <w:rsid w:val="00F54F6C"/>
    <w:rsid w:val="00F60070"/>
    <w:rsid w:val="00F60574"/>
    <w:rsid w:val="00F619D6"/>
    <w:rsid w:val="00F62C60"/>
    <w:rsid w:val="00F63BDD"/>
    <w:rsid w:val="00F64FA8"/>
    <w:rsid w:val="00F65DBF"/>
    <w:rsid w:val="00F678FE"/>
    <w:rsid w:val="00F67C3A"/>
    <w:rsid w:val="00F717C6"/>
    <w:rsid w:val="00F71813"/>
    <w:rsid w:val="00F72087"/>
    <w:rsid w:val="00F72513"/>
    <w:rsid w:val="00F74DD3"/>
    <w:rsid w:val="00F820D9"/>
    <w:rsid w:val="00F852DD"/>
    <w:rsid w:val="00F8648D"/>
    <w:rsid w:val="00F91237"/>
    <w:rsid w:val="00F924D1"/>
    <w:rsid w:val="00F92E93"/>
    <w:rsid w:val="00F9533D"/>
    <w:rsid w:val="00F95AE4"/>
    <w:rsid w:val="00F96D14"/>
    <w:rsid w:val="00F97024"/>
    <w:rsid w:val="00F978B2"/>
    <w:rsid w:val="00F97A88"/>
    <w:rsid w:val="00FA16CE"/>
    <w:rsid w:val="00FA1E7D"/>
    <w:rsid w:val="00FA29D1"/>
    <w:rsid w:val="00FA33D6"/>
    <w:rsid w:val="00FA447F"/>
    <w:rsid w:val="00FA56FC"/>
    <w:rsid w:val="00FA6C78"/>
    <w:rsid w:val="00FB3385"/>
    <w:rsid w:val="00FB368D"/>
    <w:rsid w:val="00FB599D"/>
    <w:rsid w:val="00FB5F03"/>
    <w:rsid w:val="00FB65E9"/>
    <w:rsid w:val="00FB73B2"/>
    <w:rsid w:val="00FC30DB"/>
    <w:rsid w:val="00FC31C4"/>
    <w:rsid w:val="00FC3966"/>
    <w:rsid w:val="00FC4652"/>
    <w:rsid w:val="00FC723F"/>
    <w:rsid w:val="00FD2995"/>
    <w:rsid w:val="00FD2CCF"/>
    <w:rsid w:val="00FD5AF6"/>
    <w:rsid w:val="00FD6272"/>
    <w:rsid w:val="00FE1334"/>
    <w:rsid w:val="00FE25ED"/>
    <w:rsid w:val="00FE54EC"/>
    <w:rsid w:val="00FE58C1"/>
    <w:rsid w:val="00FE603A"/>
    <w:rsid w:val="00FF092C"/>
    <w:rsid w:val="00FF2DDD"/>
    <w:rsid w:val="00FF3DC0"/>
    <w:rsid w:val="00FF5FA3"/>
    <w:rsid w:val="00FF63F8"/>
    <w:rsid w:val="00FF772E"/>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2305"/>
    <o:shapelayout v:ext="edit">
      <o:idmap v:ext="edit" data="1"/>
    </o:shapelayout>
  </w:shapeDefaults>
  <w:decimalSymbol w:val=","/>
  <w:listSeparator w:val=";"/>
  <w14:docId w14:val="04D1F0A3"/>
  <w15:docId w15:val="{DA2D38CE-0E96-4693-BB55-1D2700A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EA"/>
    <w:rPr>
      <w:rFonts w:ascii="Arial" w:hAnsi="Arial"/>
      <w:sz w:val="18"/>
    </w:rPr>
  </w:style>
  <w:style w:type="paragraph" w:styleId="Ttulo1">
    <w:name w:val="heading 1"/>
    <w:basedOn w:val="Normal"/>
    <w:next w:val="Normal"/>
    <w:link w:val="Ttulo1Char"/>
    <w:autoRedefine/>
    <w:qFormat/>
    <w:rsid w:val="00092854"/>
    <w:pPr>
      <w:keepNext/>
      <w:keepLines/>
      <w:pageBreakBefore/>
      <w:spacing w:before="240" w:after="200"/>
      <w:jc w:val="both"/>
      <w:outlineLvl w:val="0"/>
    </w:pPr>
    <w:rPr>
      <w:rFonts w:eastAsia="Times New Roman" w:cs="Arial"/>
      <w:b/>
      <w:bCs/>
      <w:color w:val="1F4E79" w:themeColor="accent1" w:themeShade="80"/>
      <w:sz w:val="20"/>
      <w:szCs w:val="20"/>
      <w:lang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7488"/>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rsid w:val="00092854"/>
    <w:rPr>
      <w:rFonts w:ascii="Arial" w:eastAsia="Times New Roman" w:hAnsi="Arial" w:cs="Arial"/>
      <w:b/>
      <w:bCs/>
      <w:color w:val="1F4E79" w:themeColor="accent1" w:themeShade="80"/>
      <w:sz w:val="20"/>
      <w:szCs w:val="20"/>
      <w:lang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uiPriority w:val="99"/>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0">
    <w:name w:val="Tabela de Lista 6 Colorida - Ênfase 51"/>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ing 1a Char Char Char Char,Draft,Table header,Draft1,Draft2,Guideline,encabezado Char Char Char Char Char,Car4,Header Char Char Char,even"/>
    <w:basedOn w:val="Normal"/>
    <w:link w:val="CabealhoChar"/>
    <w:uiPriority w:val="99"/>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ing 1a Char Char Char Char Char,Draft Char,Table header Char,Draft1 Char,Draft2 Char,Guideline Char,encabezado Char Char Char Char Char Char,Car4 Char,Header Char Char Char Char,even Char"/>
    <w:basedOn w:val="Fontepargpadro"/>
    <w:link w:val="Cabealho"/>
    <w:uiPriority w:val="99"/>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34"/>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4952EC"/>
    <w:pPr>
      <w:tabs>
        <w:tab w:val="right" w:leader="dot" w:pos="9628"/>
      </w:tabs>
      <w:spacing w:after="100" w:line="264" w:lineRule="auto"/>
    </w:pPr>
    <w:rPr>
      <w:rFonts w:cs="Arial"/>
      <w:b/>
      <w:bCs/>
      <w:caps/>
      <w:noProof/>
      <w:color w:val="1F4E79" w:themeColor="accent1" w:themeShade="80"/>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uiPriority w:val="99"/>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0">
    <w:name w:val="Tabela de Grade 1 Clara - Ênfase 11"/>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0">
    <w:name w:val="Tabela de Lista 4 - Ênfase 11"/>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0">
    <w:name w:val="Tabela de Lista 7 Colorida - Ênfase 11"/>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
    <w:name w:val="Tabela de Grade 2 - Ênfase 11"/>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0">
    <w:name w:val="Tabela de Grade 2 - Ênfase 51"/>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0">
    <w:name w:val="Tabela de Grade 6 Colorida - Ênfase 51"/>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0">
    <w:name w:val="Tabela de Lista 2 - Ênfase 51"/>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0">
    <w:name w:val="Tabela de Lista 4 - Ênfase 51"/>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0">
    <w:name w:val="Tabela de Lista 2 - Ênfase 11"/>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
    <w:name w:val="Sem lista1"/>
    <w:next w:val="Semlista"/>
    <w:uiPriority w:val="99"/>
    <w:semiHidden/>
    <w:unhideWhenUsed/>
    <w:rsid w:val="00763042"/>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semiHidden/>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6"/>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uiPriority w:val="99"/>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9"/>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numbering" w:customStyle="1" w:styleId="Semlista2">
    <w:name w:val="Sem lista2"/>
    <w:next w:val="Semlista"/>
    <w:uiPriority w:val="99"/>
    <w:semiHidden/>
    <w:unhideWhenUsed/>
    <w:rsid w:val="006D5442"/>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
    <w:name w:val="Sem lista11"/>
    <w:next w:val="Semlista"/>
    <w:uiPriority w:val="99"/>
    <w:semiHidden/>
    <w:unhideWhenUsed/>
    <w:rsid w:val="006D5442"/>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0"/>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0"/>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0"/>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paragraph" w:styleId="Corpodetexto2">
    <w:name w:val="Body Text 2"/>
    <w:basedOn w:val="Normal"/>
    <w:link w:val="Corpodetexto2Char"/>
    <w:uiPriority w:val="99"/>
    <w:rsid w:val="003E1DF3"/>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3E1DF3"/>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3E1DF3"/>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3E1DF3"/>
    <w:rPr>
      <w:rFonts w:ascii="Times" w:eastAsia="Times New Roman" w:hAnsi="Times" w:cs="Times New Roman"/>
      <w:szCs w:val="20"/>
      <w:lang w:eastAsia="pt-BR"/>
    </w:rPr>
  </w:style>
  <w:style w:type="paragraph" w:customStyle="1" w:styleId="Default">
    <w:name w:val="Default"/>
    <w:rsid w:val="003E1DF3"/>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3E1DF3"/>
    <w:pPr>
      <w:spacing w:line="137" w:lineRule="atLeast"/>
    </w:pPr>
    <w:rPr>
      <w:color w:val="auto"/>
    </w:rPr>
  </w:style>
  <w:style w:type="paragraph" w:customStyle="1" w:styleId="bullet1">
    <w:name w:val="bullet 1"/>
    <w:basedOn w:val="Normal"/>
    <w:rsid w:val="003E1DF3"/>
    <w:pPr>
      <w:numPr>
        <w:numId w:val="26"/>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3E1DF3"/>
    <w:rPr>
      <w:rFonts w:ascii="Arial" w:eastAsia="Times New Roman" w:hAnsi="Arial" w:cs="Times New Roman"/>
      <w:kern w:val="20"/>
      <w:sz w:val="20"/>
      <w:szCs w:val="24"/>
      <w:lang w:eastAsia="en-GB"/>
    </w:rPr>
  </w:style>
  <w:style w:type="character" w:customStyle="1" w:styleId="st">
    <w:name w:val="st"/>
    <w:basedOn w:val="Fontepargpadro"/>
    <w:rsid w:val="003E1DF3"/>
  </w:style>
  <w:style w:type="paragraph" w:customStyle="1" w:styleId="Padro">
    <w:name w:val="Padrão"/>
    <w:rsid w:val="003E1DF3"/>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3E1DF3"/>
    <w:pPr>
      <w:numPr>
        <w:numId w:val="27"/>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3E1DF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E1DF3"/>
    <w:rPr>
      <w:rFonts w:ascii="Calibri" w:eastAsia="Calibri" w:hAnsi="Calibri" w:cs="Times New Roman"/>
      <w:sz w:val="20"/>
      <w:szCs w:val="20"/>
    </w:rPr>
  </w:style>
  <w:style w:type="paragraph" w:styleId="NormalWeb">
    <w:name w:val="Normal (Web)"/>
    <w:basedOn w:val="Normal"/>
    <w:uiPriority w:val="99"/>
    <w:semiHidden/>
    <w:unhideWhenUsed/>
    <w:rsid w:val="003E1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3E1DF3"/>
    <w:rPr>
      <w:i/>
      <w:iCs/>
    </w:rPr>
  </w:style>
  <w:style w:type="character" w:customStyle="1" w:styleId="pt-br">
    <w:name w:val="pt-br"/>
    <w:basedOn w:val="Fontepargpadro"/>
    <w:rsid w:val="003E1DF3"/>
  </w:style>
  <w:style w:type="character" w:customStyle="1" w:styleId="hps">
    <w:name w:val="hps"/>
    <w:basedOn w:val="Fontepargpadro"/>
    <w:rsid w:val="003E1DF3"/>
  </w:style>
  <w:style w:type="character" w:styleId="Forte">
    <w:name w:val="Strong"/>
    <w:uiPriority w:val="22"/>
    <w:qFormat/>
    <w:rsid w:val="003E1DF3"/>
    <w:rPr>
      <w:b/>
      <w:bCs/>
    </w:rPr>
  </w:style>
  <w:style w:type="table" w:customStyle="1" w:styleId="TabelaSimples21">
    <w:name w:val="Tabela Simples 21"/>
    <w:basedOn w:val="Tabelanormal"/>
    <w:uiPriority w:val="42"/>
    <w:rsid w:val="003E1DF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3E1DF3"/>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3E1DF3"/>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3E1DF3"/>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3E1DF3"/>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
    <w:uiPriority w:val="99"/>
    <w:semiHidden/>
    <w:rsid w:val="003E1DF3"/>
    <w:rPr>
      <w:rFonts w:eastAsia="MS Mincho"/>
      <w:sz w:val="20"/>
      <w:szCs w:val="20"/>
    </w:rPr>
  </w:style>
  <w:style w:type="character" w:styleId="Refdenotadefim">
    <w:name w:val="endnote reference"/>
    <w:basedOn w:val="Fontepargpadro"/>
    <w:uiPriority w:val="99"/>
    <w:semiHidden/>
    <w:unhideWhenUsed/>
    <w:rsid w:val="003E1DF3"/>
    <w:rPr>
      <w:vertAlign w:val="superscript"/>
    </w:rPr>
  </w:style>
  <w:style w:type="character" w:customStyle="1" w:styleId="Ttulo3Char">
    <w:name w:val="Título 3 Char"/>
    <w:basedOn w:val="Fontepargpadro"/>
    <w:link w:val="Ttulo3"/>
    <w:rsid w:val="00DB7488"/>
    <w:rPr>
      <w:rFonts w:ascii="Times New Roman" w:eastAsia="Times New Roman" w:hAnsi="Times New Roman" w:cs="Times New Roman"/>
      <w:sz w:val="24"/>
      <w:szCs w:val="20"/>
      <w:lang w:val="x-none" w:eastAsia="zh-CN"/>
    </w:rPr>
  </w:style>
  <w:style w:type="paragraph" w:customStyle="1" w:styleId="Normal1">
    <w:name w:val="Normal 1"/>
    <w:rsid w:val="00DB7488"/>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DB7488"/>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DB7488"/>
    <w:pPr>
      <w:spacing w:line="240" w:lineRule="auto"/>
    </w:pPr>
    <w:rPr>
      <w:i w:val="0"/>
      <w:sz w:val="18"/>
    </w:rPr>
  </w:style>
  <w:style w:type="table" w:customStyle="1" w:styleId="TableGrid3">
    <w:name w:val="Table Grid3"/>
    <w:basedOn w:val="Tabelanormal"/>
    <w:next w:val="Tabelacomgrade"/>
    <w:uiPriority w:val="59"/>
    <w:rsid w:val="00DB7488"/>
    <w:pPr>
      <w:spacing w:after="0" w:line="240" w:lineRule="auto"/>
    </w:pPr>
    <w:rPr>
      <w:lang w:val="en-GB"/>
    </w:rPr>
    <w:tblPr/>
  </w:style>
  <w:style w:type="paragraph" w:customStyle="1" w:styleId="filename">
    <w:name w:val="filename"/>
    <w:basedOn w:val="Cabealho"/>
    <w:link w:val="filenameChar"/>
    <w:autoRedefine/>
    <w:qFormat/>
    <w:rsid w:val="00DB7488"/>
    <w:pPr>
      <w:tabs>
        <w:tab w:val="clear" w:pos="4252"/>
        <w:tab w:val="clear" w:pos="8504"/>
        <w:tab w:val="center" w:pos="4320"/>
        <w:tab w:val="right" w:pos="8640"/>
      </w:tabs>
      <w:jc w:val="both"/>
    </w:pPr>
    <w:rPr>
      <w:rFonts w:ascii="Verdana" w:eastAsia="Times New Roman" w:hAnsi="Verdana" w:cs="Times New Roman"/>
      <w:sz w:val="10"/>
      <w:szCs w:val="10"/>
      <w:lang w:val="en-US"/>
    </w:rPr>
  </w:style>
  <w:style w:type="character" w:customStyle="1" w:styleId="filenameChar">
    <w:name w:val="filename Char"/>
    <w:link w:val="filename"/>
    <w:rsid w:val="00DB7488"/>
    <w:rPr>
      <w:rFonts w:ascii="Verdana" w:eastAsia="Times New Roman" w:hAnsi="Verdana" w:cs="Times New Roman"/>
      <w:sz w:val="10"/>
      <w:szCs w:val="10"/>
      <w:lang w:val="en-US"/>
    </w:rPr>
  </w:style>
  <w:style w:type="character" w:styleId="MenoPendente">
    <w:name w:val="Unresolved Mention"/>
    <w:basedOn w:val="Fontepargpadro"/>
    <w:uiPriority w:val="99"/>
    <w:semiHidden/>
    <w:unhideWhenUsed/>
    <w:rsid w:val="00A06521"/>
    <w:rPr>
      <w:color w:val="605E5C"/>
      <w:shd w:val="clear" w:color="auto" w:fill="E1DFDD"/>
    </w:rPr>
  </w:style>
  <w:style w:type="paragraph" w:customStyle="1" w:styleId="Lista1">
    <w:name w:val="Lista1"/>
    <w:basedOn w:val="Normal"/>
    <w:qFormat/>
    <w:rsid w:val="00A06521"/>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A06521"/>
    <w:pPr>
      <w:tabs>
        <w:tab w:val="left" w:pos="7083"/>
      </w:tabs>
      <w:spacing w:before="120" w:after="120" w:line="240" w:lineRule="auto"/>
      <w:ind w:right="57"/>
      <w:jc w:val="both"/>
    </w:pPr>
    <w:rPr>
      <w:rFonts w:ascii="Calibri" w:hAnsi="Calibri"/>
      <w:color w:val="002D4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05991706">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image" Target="media/image2.svg"/><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footer" Target="foot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CEFD-C1B5-4BCB-A53C-67CCDA20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80</Pages>
  <Words>40079</Words>
  <Characters>216428</Characters>
  <Application>Microsoft Office Word</Application>
  <DocSecurity>0</DocSecurity>
  <Lines>1803</Lines>
  <Paragraphs>511</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255996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Germando Caixeta</cp:lastModifiedBy>
  <cp:revision>1006</cp:revision>
  <cp:lastPrinted>2022-02-04T22:51:00Z</cp:lastPrinted>
  <dcterms:created xsi:type="dcterms:W3CDTF">2020-02-06T19:06:00Z</dcterms:created>
  <dcterms:modified xsi:type="dcterms:W3CDTF">2022-02-04T22:54:00Z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a22eba-d59e-42ba-acb9-085eb1026b66_Enabled">
    <vt:lpwstr>true</vt:lpwstr>
  </property>
  <property fmtid="{D5CDD505-2E9C-101B-9397-08002B2CF9AE}" pid="3" name="MSIP_Label_1ba22eba-d59e-42ba-acb9-085eb1026b66_SetDate">
    <vt:lpwstr>2022-02-09T14:09:24Z</vt:lpwstr>
  </property>
  <property fmtid="{D5CDD505-2E9C-101B-9397-08002B2CF9AE}" pid="4" name="MSIP_Label_1ba22eba-d59e-42ba-acb9-085eb1026b66_Method">
    <vt:lpwstr>Privileged</vt:lpwstr>
  </property>
  <property fmtid="{D5CDD505-2E9C-101B-9397-08002B2CF9AE}" pid="5" name="MSIP_Label_1ba22eba-d59e-42ba-acb9-085eb1026b66_Name">
    <vt:lpwstr>1ba22eba-d59e-42ba-acb9-085eb1026b66</vt:lpwstr>
  </property>
  <property fmtid="{D5CDD505-2E9C-101B-9397-08002B2CF9AE}" pid="6" name="MSIP_Label_1ba22eba-d59e-42ba-acb9-085eb1026b66_SiteId">
    <vt:lpwstr>ea0c2907-38d2-4181-8750-b0b190b60443</vt:lpwstr>
  </property>
  <property fmtid="{D5CDD505-2E9C-101B-9397-08002B2CF9AE}" pid="7" name="MSIP_Label_1ba22eba-d59e-42ba-acb9-085eb1026b66_ActionId">
    <vt:lpwstr>6b7320d7-949f-4af3-b838-d4c035070dc5</vt:lpwstr>
  </property>
  <property fmtid="{D5CDD505-2E9C-101B-9397-08002B2CF9AE}" pid="8" name="MSIP_Label_1ba22eba-d59e-42ba-acb9-085eb1026b66_ContentBits">
    <vt:lpwstr>0</vt:lpwstr>
  </property>
</Properties>
</file>